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UNITED STATES </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40" w:after="283"/>
        <w:ind w:left="0" w:right="0" w:hanging="720"/>
        <w:jc w:val="left"/>
        <w:rPr/>
      </w:pPr>
      <w:r>
        <w:rPr>
          <w:color w:val="000000"/>
        </w:rPr>
        <w:t xml:space="preserve">☒ </w:t>
      </w:r>
      <w:r>
        <w:rPr>
          <w:rFonts w:ascii="Times New Roman;serif" w:hAnsi="Times New Roman;serif"/>
          <w:b/>
          <w:color w:val="000000"/>
          <w:sz w:val="24"/>
        </w:rPr>
        <w:t>Quarterly report pursuant to Section 13 or 15(d) of the Securities Exchange Act of 1934. For the quarterly period ended June 30, 2026.</w:t>
      </w:r>
    </w:p>
    <w:p>
      <w:pPr>
        <w:pStyle w:val="TextBody"/>
        <w:bidi w:val="0"/>
        <w:spacing w:lineRule="auto" w:line="288" w:before="20" w:after="283"/>
        <w:ind w:left="0" w:right="0" w:hanging="720"/>
        <w:jc w:val="left"/>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001-14195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AMERICAN TOWER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3"/>
        <w:gridCol w:w="433"/>
        <w:gridCol w:w="618"/>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65-0723837</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222 Berkeley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Boston, Massachusetts 02116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Telephone Number (617) 375-7500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913" w:type="dxa"/>
        <w:jc w:val="center"/>
        <w:tblInd w:w="0" w:type="dxa"/>
        <w:tblLayout w:type="fixed"/>
        <w:tblCellMar>
          <w:top w:w="28" w:type="dxa"/>
          <w:left w:w="28" w:type="dxa"/>
          <w:bottom w:w="28" w:type="dxa"/>
          <w:right w:w="28" w:type="dxa"/>
        </w:tblCellMar>
      </w:tblPr>
      <w:tblGrid>
        <w:gridCol w:w="888"/>
        <w:gridCol w:w="784"/>
        <w:gridCol w:w="787"/>
        <w:gridCol w:w="504"/>
        <w:gridCol w:w="504"/>
        <w:gridCol w:w="506"/>
        <w:gridCol w:w="861"/>
        <w:gridCol w:w="861"/>
        <w:gridCol w:w="1218"/>
      </w:tblGrid>
      <w:tr>
        <w:trPr/>
        <w:tc>
          <w:tcPr>
            <w:tcW w:w="88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$0.01 par value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AMT</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0.450% Senior Notes due 2027</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27C</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0.400% Senior Notes due 2027</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27D</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4.125% Senior Notes due 2027</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27F</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0.500% Senior Notes due 2028</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28A</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0.875% Senior Notes due 2029</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29B</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0.950% Senior Notes due 2030</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30C</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3.900% Senior Notes due 2030</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30D</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4.625% Senior Notes due 2031</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31B</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2032</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3.625% Senior Notes due 2032</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32B</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1.250% Senior Notes due 2033</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4.000% Senior Notes due 2033</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33D</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4.100% Senior Notes due 2034</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34A</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2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6316"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July 21, 2026, there were 465,960,048 shares of common stock outstanding.</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35"/>
        <w:gridCol w:w="469"/>
        <w:gridCol w:w="469"/>
        <w:gridCol w:w="2398"/>
        <w:gridCol w:w="2305"/>
        <w:gridCol w:w="2311"/>
        <w:gridCol w:w="132"/>
        <w:gridCol w:w="132"/>
        <w:gridCol w:w="132"/>
        <w:gridCol w:w="132"/>
        <w:gridCol w:w="132"/>
        <w:gridCol w:w="132"/>
        <w:gridCol w:w="109"/>
        <w:gridCol w:w="109"/>
        <w:gridCol w:w="109"/>
        <w:gridCol w:w="109"/>
        <w:gridCol w:w="109"/>
        <w:gridCol w:w="109"/>
        <w:gridCol w:w="109"/>
        <w:gridCol w:w="163"/>
      </w:tblGrid>
      <w:tr>
        <w:trPr/>
        <w:tc>
          <w:tcPr>
            <w:tcW w:w="5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Nos.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3">
              <w:r>
                <w:rPr>
                  <w:rStyle w:val="InternetLink"/>
                  <w:rFonts w:ascii="Times New Roman;serif" w:hAnsi="Times New Roman;serif"/>
                  <w:b w:val="false"/>
                  <w:color w:val="0000FF"/>
                  <w:sz w:val="20"/>
                  <w:u w:val="single"/>
                </w:rPr>
                <w:t>Unaudited Consolidated and Condensed Consolidated Financial Statements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3">
              <w:r>
                <w:rPr>
                  <w:rStyle w:val="InternetLink"/>
                  <w:rFonts w:ascii="Times New Roman;serif" w:hAnsi="Times New Roman;serif"/>
                  <w:b w:val="false"/>
                  <w:color w:val="0000FF"/>
                  <w:sz w:val="20"/>
                  <w:u w:val="single"/>
                </w:rPr>
                <w:t>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6">
              <w:r>
                <w:rPr>
                  <w:rStyle w:val="InternetLink"/>
                  <w:rFonts w:ascii="Times New Roman;serif" w:hAnsi="Times New Roman;serif"/>
                  <w:b w:val="false"/>
                  <w:color w:val="0000FF"/>
                  <w:sz w:val="20"/>
                  <w:u w:val="single"/>
                </w:rPr>
                <w:t>Consolidated Balance Sheets as of June 30, 2026 and December 31, 2025</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6">
              <w:r>
                <w:rPr>
                  <w:rStyle w:val="InternetLink"/>
                  <w:rFonts w:ascii="Times New Roman;serif" w:hAnsi="Times New Roman;serif"/>
                  <w:b w:val="false"/>
                  <w:color w:val="0000FF"/>
                  <w:sz w:val="20"/>
                  <w:u w:val="single"/>
                </w:rPr>
                <w:t>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9">
              <w:r>
                <w:rPr>
                  <w:rStyle w:val="InternetLink"/>
                  <w:rFonts w:ascii="Times New Roman;serif" w:hAnsi="Times New Roman;serif"/>
                  <w:b w:val="false"/>
                  <w:color w:val="0000FF"/>
                  <w:sz w:val="20"/>
                  <w:u w:val="single"/>
                </w:rPr>
                <w:t>Consolidated Statements of Operations for the three and six months ended June 30, 2026 and 2025</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9">
              <w:r>
                <w:rPr>
                  <w:rStyle w:val="InternetLink"/>
                  <w:rFonts w:ascii="Times New Roman;serif" w:hAnsi="Times New Roman;serif"/>
                  <w:b w:val="false"/>
                  <w:color w:val="0000FF"/>
                  <w:sz w:val="20"/>
                  <w:u w:val="single"/>
                </w:rPr>
                <w:t>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22">
              <w:r>
                <w:rPr>
                  <w:rStyle w:val="InternetLink"/>
                  <w:rFonts w:ascii="Times New Roman;serif" w:hAnsi="Times New Roman;serif"/>
                  <w:b w:val="false"/>
                  <w:color w:val="0000FF"/>
                  <w:sz w:val="20"/>
                  <w:u w:val="single"/>
                </w:rPr>
                <w:t>Consolidated Statements of Comprehensive Income for the three and six months ended June 30, 2026 and 2025</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22">
              <w:r>
                <w:rPr>
                  <w:rStyle w:val="InternetLink"/>
                  <w:rFonts w:ascii="Times New Roman;serif" w:hAnsi="Times New Roman;serif"/>
                  <w:b w:val="false"/>
                  <w:color w:val="0000FF"/>
                  <w:sz w:val="20"/>
                  <w:u w:val="single"/>
                </w:rPr>
                <w:t>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25">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25">
              <w:r>
                <w:rPr>
                  <w:rStyle w:val="InternetLink"/>
                  <w:rFonts w:ascii="Times New Roman;serif" w:hAnsi="Times New Roman;serif"/>
                  <w:b w:val="false"/>
                  <w:color w:val="0000FF"/>
                  <w:sz w:val="20"/>
                  <w:u w:val="single"/>
                </w:rPr>
                <w:t>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28">
              <w:r>
                <w:rPr>
                  <w:rStyle w:val="InternetLink"/>
                  <w:rFonts w:ascii="Times New Roman;serif" w:hAnsi="Times New Roman;serif"/>
                  <w:b w:val="false"/>
                  <w:color w:val="0000FF"/>
                  <w:sz w:val="20"/>
                  <w:u w:val="single"/>
                </w:rPr>
                <w:t>Consolidated Statements of Equity for the three and six months ended June 30, 2026 and 2025</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28">
              <w:r>
                <w:rPr>
                  <w:rStyle w:val="InternetLink"/>
                  <w:rFonts w:ascii="Times New Roman;serif" w:hAnsi="Times New Roman;serif"/>
                  <w:b w:val="false"/>
                  <w:color w:val="0000FF"/>
                  <w:sz w:val="20"/>
                  <w:u w:val="single"/>
                </w:rPr>
                <w:t>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31">
              <w:r>
                <w:rPr>
                  <w:rStyle w:val="InternetLink"/>
                  <w:rFonts w:ascii="Times New Roman;serif" w:hAnsi="Times New Roman;serif"/>
                  <w:b w:val="false"/>
                  <w:color w:val="0000FF"/>
                  <w:sz w:val="20"/>
                  <w:u w:val="single"/>
                </w:rPr>
                <w:t>Notes to Consolidated and Condensed Consolidated Financial Statements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31">
              <w:r>
                <w:rPr>
                  <w:rStyle w:val="InternetLink"/>
                  <w:rFonts w:ascii="Times New Roman;serif" w:hAnsi="Times New Roman;serif"/>
                  <w:b w:val="false"/>
                  <w:color w:val="0000FF"/>
                  <w:sz w:val="20"/>
                  <w:u w:val="single"/>
                </w:rPr>
                <w:t>6</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2. </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94">
              <w:r>
                <w:rPr>
                  <w:rStyle w:val="InternetLink"/>
                  <w:rFonts w:ascii="Times New Roman;serif" w:hAnsi="Times New Roman;serif"/>
                  <w:b w:val="false"/>
                  <w:color w:val="0000FF"/>
                  <w:sz w:val="20"/>
                  <w:u w:val="single"/>
                </w:rPr>
                <w:t>27</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15">
              <w:r>
                <w:rPr>
                  <w:rStyle w:val="InternetLink"/>
                  <w:rFonts w:ascii="Times New Roman;serif" w:hAnsi="Times New Roman;serif"/>
                  <w:b w:val="false"/>
                  <w:color w:val="0000FF"/>
                  <w:sz w:val="20"/>
                  <w:u w:val="single"/>
                </w:rPr>
                <w:t>Quantitative and Qualitative Disclosures about Market Risk</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15">
              <w:r>
                <w:rPr>
                  <w:rStyle w:val="InternetLink"/>
                  <w:rFonts w:ascii="Times New Roman;serif" w:hAnsi="Times New Roman;serif"/>
                  <w:b w:val="false"/>
                  <w:color w:val="0000FF"/>
                  <w:sz w:val="20"/>
                  <w:u w:val="single"/>
                </w:rPr>
                <w:t>52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18">
              <w:r>
                <w:rPr>
                  <w:rStyle w:val="InternetLink"/>
                  <w:rFonts w:ascii="Times New Roman;serif" w:hAnsi="Times New Roman;serif"/>
                  <w:b w:val="false"/>
                  <w:color w:val="0000FF"/>
                  <w:sz w:val="20"/>
                  <w:u w:val="single"/>
                </w:rPr>
                <w:t>Controls and Procedures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18">
              <w:r>
                <w:rPr>
                  <w:rStyle w:val="InternetLink"/>
                  <w:rFonts w:ascii="Times New Roman;serif" w:hAnsi="Times New Roman;serif"/>
                  <w:b w:val="false"/>
                  <w:color w:val="0000FF"/>
                  <w:sz w:val="20"/>
                  <w:u w:val="single"/>
                </w:rPr>
                <w:t>52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30">
              <w:r>
                <w:rPr>
                  <w:rStyle w:val="InternetLink"/>
                  <w:rFonts w:ascii="Times New Roman;serif" w:hAnsi="Times New Roman;serif"/>
                  <w:b w:val="false"/>
                  <w:color w:val="0000FF"/>
                  <w:sz w:val="20"/>
                  <w:u w:val="single"/>
                </w:rPr>
                <w:t>Legal Proceedings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30">
              <w:r>
                <w:rPr>
                  <w:rStyle w:val="InternetLink"/>
                  <w:rFonts w:ascii="Times New Roman;serif" w:hAnsi="Times New Roman;serif"/>
                  <w:b w:val="false"/>
                  <w:color w:val="0000FF"/>
                  <w:sz w:val="20"/>
                  <w:u w:val="single"/>
                </w:rPr>
                <w:t>53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33">
              <w:r>
                <w:rPr>
                  <w:rStyle w:val="InternetLink"/>
                  <w:rFonts w:ascii="Times New Roman;serif" w:hAnsi="Times New Roman;serif"/>
                  <w:b w:val="false"/>
                  <w:color w:val="0000FF"/>
                  <w:sz w:val="20"/>
                  <w:u w:val="single"/>
                </w:rPr>
                <w:t>Risk Factors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33">
              <w:r>
                <w:rPr>
                  <w:rStyle w:val="InternetLink"/>
                  <w:rFonts w:ascii="Times New Roman;serif" w:hAnsi="Times New Roman;serif"/>
                  <w:b w:val="false"/>
                  <w:color w:val="0000FF"/>
                  <w:sz w:val="20"/>
                  <w:u w:val="single"/>
                </w:rPr>
                <w:t>53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36">
              <w:r>
                <w:rPr>
                  <w:rStyle w:val="InternetLink"/>
                  <w:rFonts w:ascii="Times New Roman;serif" w:hAnsi="Times New Roman;serif"/>
                  <w:b w:val="false"/>
                  <w:color w:val="0000FF"/>
                  <w:sz w:val="20"/>
                  <w:u w:val="single"/>
                </w:rPr>
                <w:t>Unregistered Sales Of Equity Securities and Use Of Proceeds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36">
              <w:r>
                <w:rPr>
                  <w:rStyle w:val="InternetLink"/>
                  <w:rFonts w:ascii="Times New Roman;serif" w:hAnsi="Times New Roman;serif"/>
                  <w:b w:val="false"/>
                  <w:color w:val="0000FF"/>
                  <w:sz w:val="20"/>
                  <w:u w:val="single"/>
                </w:rPr>
                <w:t>53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39">
              <w:r>
                <w:rPr>
                  <w:rStyle w:val="InternetLink"/>
                  <w:rFonts w:ascii="Times New Roman;serif" w:hAnsi="Times New Roman;serif"/>
                  <w:b w:val="false"/>
                  <w:color w:val="0000FF"/>
                  <w:sz w:val="20"/>
                  <w:u w:val="single"/>
                </w:rPr>
                <w:t>Other Information</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39">
              <w:r>
                <w:rPr>
                  <w:rStyle w:val="InternetLink"/>
                  <w:rFonts w:ascii="Times New Roman;serif" w:hAnsi="Times New Roman;serif"/>
                  <w:b w:val="false"/>
                  <w:color w:val="0000FF"/>
                  <w:sz w:val="20"/>
                  <w:u w:val="single"/>
                </w:rPr>
                <w:t>54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7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45">
              <w:r>
                <w:rPr>
                  <w:rStyle w:val="InternetLink"/>
                  <w:rFonts w:ascii="Times New Roman;serif" w:hAnsi="Times New Roman;serif"/>
                  <w:b w:val="false"/>
                  <w:color w:val="0000FF"/>
                  <w:sz w:val="20"/>
                  <w:u w:val="single"/>
                </w:rPr>
                <w:t>Exhibits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45">
              <w:r>
                <w:rPr>
                  <w:rStyle w:val="InternetLink"/>
                  <w:rFonts w:ascii="Times New Roman;serif" w:hAnsi="Times New Roman;serif"/>
                  <w:b w:val="false"/>
                  <w:color w:val="0000FF"/>
                  <w:sz w:val="20"/>
                  <w:u w:val="single"/>
                </w:rPr>
                <w:t>55</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8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0d1380147ae4f4fb19f8c489029eccb_148">
              <w:r>
                <w:rPr>
                  <w:rStyle w:val="InternetLink"/>
                  <w:rFonts w:ascii="Times New Roman;serif" w:hAnsi="Times New Roman;serif"/>
                  <w:b w:val="false"/>
                  <w:color w:val="0000FF"/>
                  <w:sz w:val="20"/>
                  <w:u w:val="single"/>
                </w:rPr>
                <w:t>Signatures</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d1380147ae4f4fb19f8c489029eccb_148">
              <w:r>
                <w:rPr>
                  <w:rStyle w:val="InternetLink"/>
                  <w:rFonts w:ascii="Times New Roman;serif" w:hAnsi="Times New Roman;serif"/>
                  <w:b w:val="false"/>
                  <w:color w:val="0000FF"/>
                  <w:sz w:val="20"/>
                  <w:u w:val="single"/>
                </w:rPr>
                <w:t>57</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509" w:type="dxa"/>
        <w:jc w:val="center"/>
        <w:tblInd w:w="0" w:type="dxa"/>
        <w:tblLayout w:type="fixed"/>
        <w:tblCellMar>
          <w:top w:w="28" w:type="dxa"/>
          <w:left w:w="28" w:type="dxa"/>
          <w:bottom w:w="28" w:type="dxa"/>
          <w:right w:w="28" w:type="dxa"/>
        </w:tblCellMar>
      </w:tblPr>
      <w:tblGrid>
        <w:gridCol w:w="293"/>
        <w:gridCol w:w="257"/>
        <w:gridCol w:w="259"/>
        <w:gridCol w:w="790"/>
        <w:gridCol w:w="790"/>
        <w:gridCol w:w="1120"/>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55" w:type="dxa"/>
        <w:jc w:val="center"/>
        <w:tblInd w:w="0" w:type="dxa"/>
        <w:tblLayout w:type="fixed"/>
        <w:tblCellMar>
          <w:top w:w="28" w:type="dxa"/>
          <w:left w:w="28" w:type="dxa"/>
          <w:bottom w:w="28" w:type="dxa"/>
          <w:right w:w="28" w:type="dxa"/>
        </w:tblCellMar>
      </w:tblPr>
      <w:tblGrid>
        <w:gridCol w:w="304"/>
        <w:gridCol w:w="267"/>
        <w:gridCol w:w="269"/>
        <w:gridCol w:w="2552"/>
        <w:gridCol w:w="2552"/>
        <w:gridCol w:w="361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CONSOLIDATED AND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share count and per share data)</w:t>
      </w:r>
    </w:p>
    <w:tbl>
      <w:tblPr>
        <w:tblW w:w="10205" w:type="dxa"/>
        <w:jc w:val="center"/>
        <w:tblInd w:w="0" w:type="dxa"/>
        <w:tblLayout w:type="fixed"/>
        <w:tblCellMar>
          <w:top w:w="28" w:type="dxa"/>
          <w:left w:w="28" w:type="dxa"/>
          <w:bottom w:w="28" w:type="dxa"/>
          <w:right w:w="28" w:type="dxa"/>
        </w:tblCellMar>
      </w:tblPr>
      <w:tblGrid>
        <w:gridCol w:w="2762"/>
        <w:gridCol w:w="2102"/>
        <w:gridCol w:w="2114"/>
        <w:gridCol w:w="109"/>
        <w:gridCol w:w="109"/>
        <w:gridCol w:w="109"/>
        <w:gridCol w:w="211"/>
        <w:gridCol w:w="871"/>
        <w:gridCol w:w="109"/>
        <w:gridCol w:w="109"/>
        <w:gridCol w:w="109"/>
        <w:gridCol w:w="109"/>
        <w:gridCol w:w="235"/>
        <w:gridCol w:w="973"/>
        <w:gridCol w:w="174"/>
      </w:tblGrid>
      <w:tr>
        <w:trPr/>
        <w:tc>
          <w:tcPr>
            <w:tcW w:w="276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20,356.3 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63,190.4 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33,832.5 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1,000,000 shares authorized; 480,163 and 479,358 shares issued; and 465,959 and 466,318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(14,204 and 13,040 shares at cost,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American Tower Corporation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63,190.4 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and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share and per share data) </w:t>
      </w:r>
    </w:p>
    <w:tbl>
      <w:tblPr>
        <w:tblW w:w="10205" w:type="dxa"/>
        <w:jc w:val="center"/>
        <w:tblInd w:w="0" w:type="dxa"/>
        <w:tblLayout w:type="fixed"/>
        <w:tblCellMar>
          <w:top w:w="28" w:type="dxa"/>
          <w:left w:w="28" w:type="dxa"/>
          <w:bottom w:w="28" w:type="dxa"/>
          <w:right w:w="28" w:type="dxa"/>
        </w:tblCellMar>
      </w:tblPr>
      <w:tblGrid>
        <w:gridCol w:w="1843"/>
        <w:gridCol w:w="1328"/>
        <w:gridCol w:w="1336"/>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184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operations (exclusive of items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administrative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retirement of long-term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(including foreign currency gains (losses) of $42.1, $(484.0), $110.2 and $(829.7),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AMERICAN TOWER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American Tower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American Tower Corporation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466,265 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468,791 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466,578 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468,717 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consolidated and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03"/>
        <w:gridCol w:w="1470"/>
        <w:gridCol w:w="1484"/>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7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 (benefit) expense of $(0.1), $0.6, $(0.2) and $0.6,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American Tower Corporation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consolidated and condensed consolidated financial statements. </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742"/>
        <w:gridCol w:w="2378"/>
        <w:gridCol w:w="2392"/>
        <w:gridCol w:w="109"/>
        <w:gridCol w:w="109"/>
        <w:gridCol w:w="109"/>
        <w:gridCol w:w="196"/>
        <w:gridCol w:w="691"/>
        <w:gridCol w:w="109"/>
        <w:gridCol w:w="109"/>
        <w:gridCol w:w="109"/>
        <w:gridCol w:w="109"/>
        <w:gridCol w:w="196"/>
        <w:gridCol w:w="691"/>
        <w:gridCol w:w="156"/>
      </w:tblGrid>
      <w:tr>
        <w:trPr/>
        <w:tc>
          <w:tcPr>
            <w:tcW w:w="2742"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 reflected in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net deferred rent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 and Operating lease liability,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unearned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purchase of property and equipment and construction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short-term investments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notes payable, credit facilities, senior notes, secured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stock options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early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and 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effect of changes in foreign currency exchange rates on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 OF $9.2 AND $6.6,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684.2 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under finance leases and perpetual easements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accounts payable and accrued expenses for purchases of property and equipment and construction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Seller financed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7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See accompanying notes to unaudited consolidated and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(in millions, share counts in thousands)</w:t>
      </w:r>
    </w:p>
    <w:tbl>
      <w:tblPr>
        <w:tblW w:w="13885" w:type="dxa"/>
        <w:jc w:val="left"/>
        <w:tblInd w:w="0" w:type="dxa"/>
        <w:tblLayout w:type="fixed"/>
        <w:tblCellMar>
          <w:top w:w="28" w:type="dxa"/>
          <w:left w:w="28" w:type="dxa"/>
          <w:bottom w:w="28" w:type="dxa"/>
          <w:right w:w="28" w:type="dxa"/>
        </w:tblCellMar>
      </w:tblPr>
      <w:tblGrid>
        <w:gridCol w:w="642"/>
        <w:gridCol w:w="181"/>
        <w:gridCol w:w="183"/>
        <w:gridCol w:w="109"/>
        <w:gridCol w:w="109"/>
        <w:gridCol w:w="109"/>
        <w:gridCol w:w="109"/>
        <w:gridCol w:w="109"/>
        <w:gridCol w:w="109"/>
        <w:gridCol w:w="109"/>
        <w:gridCol w:w="210"/>
        <w:gridCol w:w="210"/>
        <w:gridCol w:w="211"/>
        <w:gridCol w:w="109"/>
        <w:gridCol w:w="308"/>
        <w:gridCol w:w="308"/>
        <w:gridCol w:w="171"/>
        <w:gridCol w:w="109"/>
        <w:gridCol w:w="109"/>
        <w:gridCol w:w="109"/>
        <w:gridCol w:w="181"/>
        <w:gridCol w:w="316"/>
        <w:gridCol w:w="109"/>
        <w:gridCol w:w="109"/>
        <w:gridCol w:w="109"/>
        <w:gridCol w:w="109"/>
        <w:gridCol w:w="278"/>
        <w:gridCol w:w="278"/>
        <w:gridCol w:w="251"/>
        <w:gridCol w:w="109"/>
        <w:gridCol w:w="109"/>
        <w:gridCol w:w="109"/>
        <w:gridCol w:w="210"/>
        <w:gridCol w:w="682"/>
        <w:gridCol w:w="129"/>
        <w:gridCol w:w="109"/>
        <w:gridCol w:w="109"/>
        <w:gridCol w:w="109"/>
        <w:gridCol w:w="181"/>
        <w:gridCol w:w="646"/>
        <w:gridCol w:w="109"/>
        <w:gridCol w:w="109"/>
        <w:gridCol w:w="109"/>
        <w:gridCol w:w="109"/>
        <w:gridCol w:w="210"/>
        <w:gridCol w:w="682"/>
        <w:gridCol w:w="129"/>
        <w:gridCol w:w="109"/>
        <w:gridCol w:w="109"/>
        <w:gridCol w:w="109"/>
        <w:gridCol w:w="181"/>
        <w:gridCol w:w="586"/>
        <w:gridCol w:w="109"/>
        <w:gridCol w:w="170"/>
        <w:gridCol w:w="170"/>
        <w:gridCol w:w="171"/>
        <w:gridCol w:w="181"/>
        <w:gridCol w:w="571"/>
        <w:gridCol w:w="109"/>
        <w:gridCol w:w="190"/>
        <w:gridCol w:w="190"/>
        <w:gridCol w:w="191"/>
        <w:gridCol w:w="181"/>
        <w:gridCol w:w="646"/>
        <w:gridCol w:w="109"/>
        <w:gridCol w:w="109"/>
        <w:gridCol w:w="109"/>
        <w:gridCol w:w="109"/>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Distributions</w:t>
              <w:br/>
              <w:t>in Excess of</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 2026 and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APRIL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479,131 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(11,004)</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(1,301.2)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(5,514.0)</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related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479,228 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(11,004)</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(1,301.2)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(4,959.7)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APRIL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480,083 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(14,093)</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(1,849.5)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(4,805.3)</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related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Impact of sale of Bangladesh partnership on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480,163 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(14,204)</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(4,661.0)</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360" w:type="dxa"/>
            <w:gridSpan w:val="16"/>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6" w:type="dxa"/>
            <w:gridSpan w:val="19"/>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3885" w:type="dxa"/>
        <w:jc w:val="left"/>
        <w:tblInd w:w="0" w:type="dxa"/>
        <w:tblLayout w:type="fixed"/>
        <w:tblCellMar>
          <w:top w:w="28" w:type="dxa"/>
          <w:left w:w="28" w:type="dxa"/>
          <w:bottom w:w="28" w:type="dxa"/>
          <w:right w:w="28" w:type="dxa"/>
        </w:tblCellMar>
      </w:tblPr>
      <w:tblGrid>
        <w:gridCol w:w="642"/>
        <w:gridCol w:w="181"/>
        <w:gridCol w:w="183"/>
        <w:gridCol w:w="109"/>
        <w:gridCol w:w="109"/>
        <w:gridCol w:w="109"/>
        <w:gridCol w:w="109"/>
        <w:gridCol w:w="109"/>
        <w:gridCol w:w="109"/>
        <w:gridCol w:w="109"/>
        <w:gridCol w:w="210"/>
        <w:gridCol w:w="210"/>
        <w:gridCol w:w="211"/>
        <w:gridCol w:w="109"/>
        <w:gridCol w:w="308"/>
        <w:gridCol w:w="308"/>
        <w:gridCol w:w="171"/>
        <w:gridCol w:w="109"/>
        <w:gridCol w:w="109"/>
        <w:gridCol w:w="109"/>
        <w:gridCol w:w="181"/>
        <w:gridCol w:w="316"/>
        <w:gridCol w:w="109"/>
        <w:gridCol w:w="109"/>
        <w:gridCol w:w="109"/>
        <w:gridCol w:w="109"/>
        <w:gridCol w:w="278"/>
        <w:gridCol w:w="278"/>
        <w:gridCol w:w="251"/>
        <w:gridCol w:w="109"/>
        <w:gridCol w:w="109"/>
        <w:gridCol w:w="109"/>
        <w:gridCol w:w="210"/>
        <w:gridCol w:w="682"/>
        <w:gridCol w:w="129"/>
        <w:gridCol w:w="109"/>
        <w:gridCol w:w="109"/>
        <w:gridCol w:w="109"/>
        <w:gridCol w:w="181"/>
        <w:gridCol w:w="646"/>
        <w:gridCol w:w="109"/>
        <w:gridCol w:w="109"/>
        <w:gridCol w:w="109"/>
        <w:gridCol w:w="109"/>
        <w:gridCol w:w="210"/>
        <w:gridCol w:w="682"/>
        <w:gridCol w:w="129"/>
        <w:gridCol w:w="109"/>
        <w:gridCol w:w="109"/>
        <w:gridCol w:w="109"/>
        <w:gridCol w:w="181"/>
        <w:gridCol w:w="586"/>
        <w:gridCol w:w="109"/>
        <w:gridCol w:w="170"/>
        <w:gridCol w:w="170"/>
        <w:gridCol w:w="171"/>
        <w:gridCol w:w="181"/>
        <w:gridCol w:w="571"/>
        <w:gridCol w:w="109"/>
        <w:gridCol w:w="190"/>
        <w:gridCol w:w="190"/>
        <w:gridCol w:w="191"/>
        <w:gridCol w:w="181"/>
        <w:gridCol w:w="646"/>
        <w:gridCol w:w="109"/>
        <w:gridCol w:w="109"/>
        <w:gridCol w:w="109"/>
        <w:gridCol w:w="109"/>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360" w:type="dxa"/>
            <w:gridSpan w:val="16"/>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6" w:type="dxa"/>
            <w:gridSpan w:val="19"/>
            <w:tcBorders/>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Distributions</w:t>
              <w:br/>
              <w:t>in Excess of</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 2026 and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478,388 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(11,004)</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(1,301.2)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(5,954.6)</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related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479,228 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(11,004)</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(1,301.2)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(4,959.7)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479,358 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(13,040)</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(1,665.8)</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(4,815.8)</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related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Impact of sale of Bangladesh partnership on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distributions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480,163 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(14,204)</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(1,868.7)</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(4,661.0)</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10,252.5 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and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    BASIS OF PRESENTATION AND SIGNIFICANT ACCOUNTING POLICIES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and condensed consolidated financial statements have been prepared by American Tower Corporation (together with its subsidiaries, “ATC” or the “Company”) pursuant to the rules and regulations of the Securities and Exchange Commission (the “SEC”). The financial information included herein is unaudited. However, the Company believes that all adjustments, which are of a normal and recurring nature, considered necessary for a fair presentation of its financial position and results of operations for such periods have been included. The consolidated and condensed consolidated financial statements and related notes should be read in conjunction with the Company’s Annual Report on Form 10-K for the year ended December 31, 2025 (the “2025 Form 10-K”). The results of operations for the three and six months ended June 30, 2026 are not necessarily indicative of the results that may be expected for the entire year. </w:t>
      </w:r>
    </w:p>
    <w:p>
      <w:pPr>
        <w:pStyle w:val="TextBody"/>
        <w:bidi w:val="0"/>
        <w:spacing w:lineRule="auto" w:line="288" w:before="0" w:after="160"/>
        <w:jc w:val="left"/>
        <w:rPr/>
      </w:pPr>
      <w:r>
        <w:rPr>
          <w:rFonts w:ascii="Times New Roman;serif" w:hAnsi="Times New Roman;serif"/>
          <w:b w:val="false"/>
          <w:i/>
          <w:color w:val="000000"/>
          <w:sz w:val="20"/>
        </w:rPr>
        <w:t>Principles of Consolidation and Basis of Presentation</w:t>
      </w:r>
      <w:r>
        <w:rPr>
          <w:color w:val="000000"/>
        </w:rPr>
        <w:t>—</w:t>
      </w:r>
      <w:r>
        <w:rPr>
          <w:rFonts w:ascii="Times New Roman;serif" w:hAnsi="Times New Roman;serif"/>
          <w:b w:val="false"/>
          <w:color w:val="000000"/>
          <w:sz w:val="20"/>
        </w:rPr>
        <w:t>The accompanying consolidated and condensed consolidated financial statements include the accounts of the Company and those entities in which it has a controlling interest. Investments in entities that the Company does not control are accounted for using the equity method or as investments in equity securities, depending upon the Company’s ability to exercise significant influence over operating and financial policies. All intercompany accounts and transactions have been eliminated.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holds (i) a 52% controlling interest in subsidiaries whose holdings consist of the Company’s operations in France, Germany and Spain (such subsidiaries collectively, “ATC Europe”) (Allianz and La Caisse (each as defined in note 11) hold the noncontrolling interests) and (ii) a controlling common equity interest of approximately 71% in the Company’s U.S. data center business (Stonepeak (as defined and further discussed in note 11) holds approximately 29% of the outstanding common equity and 100% of the outstanding mandatorily convertible preferred equity). As of June 30, 2026, ATC Europe holds an 87% and an 83% controlling interest in subsidiaries that consist of the Company’s operations in Germany and Spain, respectively (PGGM holds the noncontrolling interests). See note 11 for a discussion of changes to the Company’s noncontrolling interests during the six months ended June 30, 2026 and 2025.</w:t>
      </w:r>
    </w:p>
    <w:p>
      <w:pPr>
        <w:pStyle w:val="TextBody"/>
        <w:bidi w:val="0"/>
        <w:spacing w:lineRule="auto" w:line="288" w:before="0" w:after="160"/>
        <w:jc w:val="left"/>
        <w:rPr/>
      </w:pPr>
      <w:r>
        <w:rPr>
          <w:rFonts w:ascii="Times New Roman;serif" w:hAnsi="Times New Roman;serif"/>
          <w:b w:val="false"/>
          <w:i/>
          <w:color w:val="000000"/>
          <w:sz w:val="20"/>
        </w:rPr>
        <w:t>Sale of Philippines Subsidiary—</w:t>
      </w:r>
      <w:r>
        <w:rPr>
          <w:rFonts w:ascii="Times New Roman;serif" w:hAnsi="Times New Roman;serif"/>
          <w:b w:val="false"/>
          <w:color w:val="000000"/>
          <w:sz w:val="20"/>
        </w:rPr>
        <w:t xml:space="preserve">On June 15, 2026, the Company completed the sale of its subsidiary in the Philippines (“ATC Philippines”) for total consideration of $75.6 million, resulting in a gain on the sale of $33.2 million, which was included in Other operating (income) expense in the accompanying consolidated statements of operations. </w:t>
      </w:r>
    </w:p>
    <w:p>
      <w:pPr>
        <w:pStyle w:val="TextBody"/>
        <w:bidi w:val="0"/>
        <w:spacing w:lineRule="auto" w:line="288" w:before="0" w:after="160"/>
        <w:jc w:val="left"/>
        <w:rPr/>
      </w:pPr>
      <w:r>
        <w:rPr>
          <w:rFonts w:ascii="Times New Roman;serif" w:hAnsi="Times New Roman;serif"/>
          <w:b w:val="false"/>
          <w:i/>
          <w:color w:val="000000"/>
          <w:sz w:val="20"/>
        </w:rPr>
        <w:t>Sale of Bangladesh Partnership—</w:t>
      </w:r>
      <w:r>
        <w:rPr>
          <w:rFonts w:ascii="Times New Roman;serif" w:hAnsi="Times New Roman;serif"/>
          <w:b w:val="false"/>
          <w:color w:val="000000"/>
          <w:sz w:val="20"/>
        </w:rPr>
        <w:t>On June 29, 2026, the Company completed the sale of its controlling interest in Kirtonkhola Tower Bangladesh Limited (“KTBL,” and together with ATC Philippines, the “APAC operations” and the sites therein, the “APAC sites”) for total consideration of $6.9 million, resulting in a loss on the sale of $12.8 million, which was included in Other operating (income) expense in the accompanying consolidated statements of operations.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reclassification of the Company’s cumulative translation adjustment in the Philippines and Bangladesh upon exiting the markets was immaterial and is included within Foreign currency translation adjustment, net of tax within the consolidated statements of equity.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Company’s APAC operations represented less than 1% of each of the Company’s total property revenue, total segment gross margin and total segment operating profit. Prior to the completion of the sales of its APAC operations, the Company’s APAC sites represented approximately 1% of the Company’s total communications sites. The Company does not believe that the sales of its APAC operations represent a strategic shift that will have a major impact on its operations and financial results, and as such, the divestitures do not qualify for presentation as discontinued operations. Accordingly, the financial position and results of operations of the APAC operations are presented within the Africa &amp; APAC property segment through the dates of sale. </w:t>
      </w:r>
    </w:p>
    <w:p>
      <w:pPr>
        <w:pStyle w:val="TextBody"/>
        <w:bidi w:val="0"/>
        <w:spacing w:lineRule="auto" w:line="288" w:before="0" w:after="160"/>
        <w:jc w:val="left"/>
        <w:rPr/>
      </w:pPr>
      <w:r>
        <w:rPr>
          <w:rFonts w:ascii="Times New Roman;serif" w:hAnsi="Times New Roman;serif"/>
          <w:b w:val="false"/>
          <w:i/>
          <w:color w:val="000000"/>
          <w:sz w:val="20"/>
        </w:rPr>
        <w:t>Significant Accounting Policies</w:t>
      </w:r>
      <w:r>
        <w:rPr>
          <w:color w:val="000000"/>
        </w:rPr>
        <w:t>—</w:t>
      </w:r>
      <w:r>
        <w:rPr>
          <w:rFonts w:ascii="Times New Roman;serif" w:hAnsi="Times New Roman;serif"/>
          <w:b w:val="false"/>
          <w:color w:val="000000"/>
          <w:sz w:val="20"/>
        </w:rPr>
        <w:t>The Company’s significant accounting policies are described in note 1 to the Company’s consolidated financial statements included in the 2025 Form 10-K. There have been no material changes to the Company’s significant accounting policies during the six months ended June 30, 2026, other than those noted below.</w:t>
      </w:r>
    </w:p>
    <w:p>
      <w:pPr>
        <w:pStyle w:val="TextBody"/>
        <w:bidi w:val="0"/>
        <w:spacing w:lineRule="auto" w:line="288" w:before="0" w:after="0"/>
        <w:jc w:val="left"/>
        <w:rPr/>
      </w:pPr>
      <w:r>
        <w:rPr>
          <w:rFonts w:ascii="Times New Roman;serif" w:hAnsi="Times New Roman;serif"/>
          <w:b w:val="false"/>
          <w:i/>
          <w:color w:val="000000"/>
          <w:sz w:val="20"/>
        </w:rPr>
        <w:t>Cash and Cash Equivalents and Restricted Cash</w:t>
      </w:r>
      <w:r>
        <w:rPr>
          <w:color w:val="000000"/>
        </w:rPr>
        <w:t>—</w:t>
      </w:r>
      <w:r>
        <w:rPr>
          <w:rFonts w:ascii="Times New Roman;serif" w:hAnsi="Times New Roman;serif"/>
          <w:b w:val="false"/>
          <w:color w:val="000000"/>
          <w:sz w:val="20"/>
        </w:rPr>
        <w:t xml:space="preserve">The reconciliation of cash and cash equivalents and restricted cash reported within the applicable balance sheet that sum to the total of the same such amounts shown in the statements of cash flows is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tbl>
      <w:tblPr>
        <w:tblW w:w="6815"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766"/>
        <w:gridCol w:w="109"/>
        <w:gridCol w:w="109"/>
        <w:gridCol w:w="109"/>
        <w:gridCol w:w="109"/>
        <w:gridCol w:w="211"/>
        <w:gridCol w:w="76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left"/>
        <w:rPr/>
      </w:pPr>
      <w:r>
        <w:rPr>
          <w:rFonts w:ascii="Times New Roman;serif" w:hAnsi="Times New Roman;serif"/>
          <w:b w:val="false"/>
          <w:i/>
          <w:color w:val="000000"/>
          <w:sz w:val="20"/>
        </w:rPr>
        <w:t>Revenue</w:t>
      </w:r>
      <w:r>
        <w:rPr>
          <w:color w:val="000000"/>
        </w:rPr>
        <w:t>—</w:t>
      </w:r>
      <w:r>
        <w:rPr>
          <w:rFonts w:ascii="Times New Roman;serif" w:hAnsi="Times New Roman;serif"/>
          <w:b w:val="false"/>
          <w:color w:val="000000"/>
          <w:sz w:val="20"/>
        </w:rPr>
        <w:t xml:space="preserve">The Company’s revenue is derived from leasing the right to use its communications sites, the land on which the sites are located, the land underlying its customers’ sites and the space in its data center facilities (the “lease component”) and from the reimbursement of costs incurred by the Company in operating the communications sites and data center facilities and supporting its customers’ equipment as well as other services and contractual rights (the “non-lease component”). Most of the Company’s revenue is derived from leasing arrangements and is accounted for as lease revenue unless the timing and pattern of revenue recognition of the non-lease component differs from the lease component. If the timing and pattern of the non-lease component revenue recognition differs from that of the lease component, the Company separately determines the stand-alone selling prices and pattern of revenue recognition for each performance obligation. Revenue related to distributed antenna system (“DAS”) networks and fiber and other related assets results from agreements with customers that are generally not accounted for as leases. </w:t>
      </w:r>
    </w:p>
    <w:p>
      <w:pPr>
        <w:pStyle w:val="TextBody"/>
        <w:bidi w:val="0"/>
        <w:spacing w:lineRule="auto" w:line="288" w:before="0" w:after="160"/>
        <w:jc w:val="left"/>
        <w:rPr/>
      </w:pPr>
      <w:r>
        <w:rPr>
          <w:rFonts w:ascii="Times New Roman;serif" w:hAnsi="Times New Roman;serif"/>
          <w:b w:val="false"/>
          <w:i/>
          <w:color w:val="000000"/>
          <w:sz w:val="20"/>
        </w:rPr>
        <w:t>Non-lease property revenue</w:t>
      </w:r>
      <w:r>
        <w:rPr>
          <w:color w:val="000000"/>
        </w:rPr>
        <w:t>—</w:t>
      </w:r>
      <w:r>
        <w:rPr>
          <w:rFonts w:ascii="Times New Roman;serif" w:hAnsi="Times New Roman;serif"/>
          <w:b w:val="false"/>
          <w:color w:val="000000"/>
          <w:sz w:val="20"/>
        </w:rPr>
        <w:t>Non-lease property revenue consists primarily of revenue generated from DAS networks, fiber and other property related revenue. DAS networks and fiber arrangements generally require that the Company provide the tenant the right to use available capacity on the applicable communications infrastructure. Performance obligations are satisfied over time for the duration of the arrangements. Non-lease property revenue also includes revenue generated from interconnection offerings in the Company’s data center facilities. Interconnection offerings are generally contracted on a month-to-month basis and are cancellable by the Company or the data center customer at any time. Performance obligations are satisfied over time for the duration of the arrangements. Other property related revenue streams, which include site inspections, are not material on either an individual or consolidated basis. There were no material changes in the receivables, contract assets and contract liabilities from contracts with customers for the three and six months ended June 30, 2026.</w:t>
      </w:r>
    </w:p>
    <w:p>
      <w:pPr>
        <w:pStyle w:val="TextBody"/>
        <w:bidi w:val="0"/>
        <w:spacing w:lineRule="auto" w:line="288" w:before="0" w:after="160"/>
        <w:jc w:val="left"/>
        <w:rPr/>
      </w:pPr>
      <w:r>
        <w:rPr>
          <w:rFonts w:ascii="Times New Roman;serif" w:hAnsi="Times New Roman;serif"/>
          <w:b w:val="false"/>
          <w:i/>
          <w:color w:val="000000"/>
          <w:sz w:val="20"/>
        </w:rPr>
        <w:t>Services revenue</w:t>
      </w:r>
      <w:r>
        <w:rPr>
          <w:color w:val="000000"/>
        </w:rPr>
        <w:t>—</w:t>
      </w:r>
      <w:r>
        <w:rPr>
          <w:rFonts w:ascii="Times New Roman;serif" w:hAnsi="Times New Roman;serif"/>
          <w:b w:val="false"/>
          <w:color w:val="000000"/>
          <w:sz w:val="20"/>
        </w:rPr>
        <w:t xml:space="preserve">The Company offers tower-related services in the United States. These services include site application, zoning and permitting (“AZP”), structural and mount analyses, and construction management services, together with program management offerings that support customer deployment needs from project scoping through construction. There is a single performance obligation related to AZP and construction management, and revenue is recognized over time based on milestones achieved, which are determined based on costs expected to be incurred. Structural and mount analyses services may have more than one performance obligation, contingent upon the number of contracted services. Revenue is recognized at the point in time the services are completed.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revenue disaggregated by source and geography is as follows:</w:t>
      </w:r>
    </w:p>
    <w:tbl>
      <w:tblPr>
        <w:tblW w:w="10205" w:type="dxa"/>
        <w:jc w:val="left"/>
        <w:tblInd w:w="0" w:type="dxa"/>
        <w:tblLayout w:type="fixed"/>
        <w:tblCellMar>
          <w:top w:w="28" w:type="dxa"/>
          <w:left w:w="28" w:type="dxa"/>
          <w:bottom w:w="28" w:type="dxa"/>
          <w:right w:w="28" w:type="dxa"/>
        </w:tblCellMar>
      </w:tblPr>
      <w:tblGrid>
        <w:gridCol w:w="754"/>
        <w:gridCol w:w="552"/>
        <w:gridCol w:w="557"/>
        <w:gridCol w:w="109"/>
        <w:gridCol w:w="109"/>
        <w:gridCol w:w="109"/>
        <w:gridCol w:w="222"/>
        <w:gridCol w:w="809"/>
        <w:gridCol w:w="114"/>
        <w:gridCol w:w="109"/>
        <w:gridCol w:w="109"/>
        <w:gridCol w:w="109"/>
        <w:gridCol w:w="249"/>
        <w:gridCol w:w="729"/>
        <w:gridCol w:w="128"/>
        <w:gridCol w:w="109"/>
        <w:gridCol w:w="109"/>
        <w:gridCol w:w="109"/>
        <w:gridCol w:w="211"/>
        <w:gridCol w:w="616"/>
        <w:gridCol w:w="109"/>
        <w:gridCol w:w="109"/>
        <w:gridCol w:w="109"/>
        <w:gridCol w:w="109"/>
        <w:gridCol w:w="237"/>
        <w:gridCol w:w="692"/>
        <w:gridCol w:w="122"/>
        <w:gridCol w:w="109"/>
        <w:gridCol w:w="109"/>
        <w:gridCol w:w="109"/>
        <w:gridCol w:w="226"/>
        <w:gridCol w:w="661"/>
        <w:gridCol w:w="116"/>
        <w:gridCol w:w="109"/>
        <w:gridCol w:w="109"/>
        <w:gridCol w:w="109"/>
        <w:gridCol w:w="211"/>
        <w:gridCol w:w="766"/>
        <w:gridCol w:w="162"/>
      </w:tblGrid>
      <w:tr>
        <w:trPr/>
        <w:tc>
          <w:tcPr>
            <w:tcW w:w="7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Non-lease property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2,749.1 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4"/>
        <w:gridCol w:w="552"/>
        <w:gridCol w:w="557"/>
        <w:gridCol w:w="109"/>
        <w:gridCol w:w="109"/>
        <w:gridCol w:w="109"/>
        <w:gridCol w:w="222"/>
        <w:gridCol w:w="809"/>
        <w:gridCol w:w="114"/>
        <w:gridCol w:w="109"/>
        <w:gridCol w:w="109"/>
        <w:gridCol w:w="109"/>
        <w:gridCol w:w="249"/>
        <w:gridCol w:w="729"/>
        <w:gridCol w:w="128"/>
        <w:gridCol w:w="109"/>
        <w:gridCol w:w="109"/>
        <w:gridCol w:w="109"/>
        <w:gridCol w:w="211"/>
        <w:gridCol w:w="616"/>
        <w:gridCol w:w="109"/>
        <w:gridCol w:w="109"/>
        <w:gridCol w:w="109"/>
        <w:gridCol w:w="109"/>
        <w:gridCol w:w="237"/>
        <w:gridCol w:w="692"/>
        <w:gridCol w:w="122"/>
        <w:gridCol w:w="109"/>
        <w:gridCol w:w="109"/>
        <w:gridCol w:w="109"/>
        <w:gridCol w:w="226"/>
        <w:gridCol w:w="661"/>
        <w:gridCol w:w="116"/>
        <w:gridCol w:w="109"/>
        <w:gridCol w:w="109"/>
        <w:gridCol w:w="109"/>
        <w:gridCol w:w="211"/>
        <w:gridCol w:w="766"/>
        <w:gridCol w:w="162"/>
      </w:tblGrid>
      <w:tr>
        <w:trPr/>
        <w:tc>
          <w:tcPr>
            <w:tcW w:w="7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Non-lease property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2,626.9 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tbl>
      <w:tblPr>
        <w:tblW w:w="10205" w:type="dxa"/>
        <w:jc w:val="left"/>
        <w:tblInd w:w="0" w:type="dxa"/>
        <w:tblLayout w:type="fixed"/>
        <w:tblCellMar>
          <w:top w:w="28" w:type="dxa"/>
          <w:left w:w="28" w:type="dxa"/>
          <w:bottom w:w="28" w:type="dxa"/>
          <w:right w:w="28" w:type="dxa"/>
        </w:tblCellMar>
      </w:tblPr>
      <w:tblGrid>
        <w:gridCol w:w="734"/>
        <w:gridCol w:w="545"/>
        <w:gridCol w:w="550"/>
        <w:gridCol w:w="109"/>
        <w:gridCol w:w="109"/>
        <w:gridCol w:w="109"/>
        <w:gridCol w:w="223"/>
        <w:gridCol w:w="812"/>
        <w:gridCol w:w="115"/>
        <w:gridCol w:w="109"/>
        <w:gridCol w:w="109"/>
        <w:gridCol w:w="109"/>
        <w:gridCol w:w="253"/>
        <w:gridCol w:w="738"/>
        <w:gridCol w:w="130"/>
        <w:gridCol w:w="109"/>
        <w:gridCol w:w="109"/>
        <w:gridCol w:w="109"/>
        <w:gridCol w:w="211"/>
        <w:gridCol w:w="616"/>
        <w:gridCol w:w="109"/>
        <w:gridCol w:w="109"/>
        <w:gridCol w:w="109"/>
        <w:gridCol w:w="109"/>
        <w:gridCol w:w="239"/>
        <w:gridCol w:w="699"/>
        <w:gridCol w:w="123"/>
        <w:gridCol w:w="109"/>
        <w:gridCol w:w="109"/>
        <w:gridCol w:w="109"/>
        <w:gridCol w:w="227"/>
        <w:gridCol w:w="665"/>
        <w:gridCol w:w="117"/>
        <w:gridCol w:w="109"/>
        <w:gridCol w:w="109"/>
        <w:gridCol w:w="109"/>
        <w:gridCol w:w="211"/>
        <w:gridCol w:w="766"/>
        <w:gridCol w:w="160"/>
      </w:tblGrid>
      <w:tr>
        <w:trPr/>
        <w:tc>
          <w:tcPr>
            <w:tcW w:w="73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Non-lease property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4"/>
        <w:gridCol w:w="545"/>
        <w:gridCol w:w="550"/>
        <w:gridCol w:w="109"/>
        <w:gridCol w:w="109"/>
        <w:gridCol w:w="109"/>
        <w:gridCol w:w="223"/>
        <w:gridCol w:w="812"/>
        <w:gridCol w:w="115"/>
        <w:gridCol w:w="109"/>
        <w:gridCol w:w="109"/>
        <w:gridCol w:w="109"/>
        <w:gridCol w:w="253"/>
        <w:gridCol w:w="738"/>
        <w:gridCol w:w="130"/>
        <w:gridCol w:w="109"/>
        <w:gridCol w:w="109"/>
        <w:gridCol w:w="109"/>
        <w:gridCol w:w="211"/>
        <w:gridCol w:w="616"/>
        <w:gridCol w:w="109"/>
        <w:gridCol w:w="109"/>
        <w:gridCol w:w="109"/>
        <w:gridCol w:w="109"/>
        <w:gridCol w:w="239"/>
        <w:gridCol w:w="699"/>
        <w:gridCol w:w="123"/>
        <w:gridCol w:w="109"/>
        <w:gridCol w:w="109"/>
        <w:gridCol w:w="109"/>
        <w:gridCol w:w="227"/>
        <w:gridCol w:w="665"/>
        <w:gridCol w:w="117"/>
        <w:gridCol w:w="109"/>
        <w:gridCol w:w="109"/>
        <w:gridCol w:w="109"/>
        <w:gridCol w:w="211"/>
        <w:gridCol w:w="766"/>
        <w:gridCol w:w="160"/>
      </w:tblGrid>
      <w:tr>
        <w:trPr/>
        <w:tc>
          <w:tcPr>
            <w:tcW w:w="73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Non-lease property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Property revenue for the three months ended June 30, 2026 and 2025 includes straight-line revenue of $(18.9) million and $28.2 million, respectively. Property revenue for the six months ended June 30, 2026 and 2025 includes straight-line revenue of $0.0 million and $45.3 million, respectively.</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Company actively monitors the creditworthiness of its customers. In recognizing customer revenue, the Company assesses the collectibility of both the amounts billed and the portion recognized in advance of billing on a straight-line basis. This assessment takes customer credit risk and business and industry conditions into consideration to ultimately determine the collectibility of the amounts billed. To the extent the amounts, based on management’s estimates, may not be collectible, revenue recognition is deferred until such point as the uncertainty is resolved.</w:t>
      </w:r>
    </w:p>
    <w:p>
      <w:pPr>
        <w:pStyle w:val="TextBody"/>
        <w:bidi w:val="0"/>
        <w:spacing w:lineRule="auto" w:line="288" w:before="0" w:after="160"/>
        <w:jc w:val="left"/>
        <w:rPr/>
      </w:pPr>
      <w:r>
        <w:rPr>
          <w:rFonts w:ascii="Times New Roman;serif" w:hAnsi="Times New Roman;serif"/>
          <w:b w:val="false"/>
          <w:i/>
          <w:color w:val="000000"/>
          <w:sz w:val="20"/>
        </w:rPr>
        <w:t>Accounting Standards Updates</w:t>
      </w:r>
      <w:r>
        <w:rPr>
          <w:color w:val="000000"/>
        </w:rPr>
        <w:t>—</w:t>
      </w:r>
      <w:r>
        <w:rPr>
          <w:rFonts w:ascii="Times New Roman;serif" w:hAnsi="Times New Roman;serif"/>
          <w:b w:val="false"/>
          <w:color w:val="000000"/>
          <w:sz w:val="20"/>
        </w:rPr>
        <w:t>In November 2024, the FASB issued guidance which is intended to improve the disclosures about a public business entity’s expenses, primarily through additional disclosures about the types of expenses (including purchases of inventory, employee compensation, depreciation, amortization, and depletion) included in each relevant expense caption presented on the face of the income statement within continuing operations. The guidance is effective on a prospective basis, with the option for retrospective application, for annual periods beginning after December 15, 2026 and interim reporting periods beginning after December 15, 2027, with early adoption permitted. The Company is currently evaluating the impact of this guidance on its consolidated financial statements and related disclosures.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guidance which is intended to more closely align hedge accounting with the economics of an entity’s risk management activities. The amendments are intended to better reflect those strategies in financial reporting by enabling entities to achieve and maintain hedge accounting for highly effective economic hedges of forecasted transactions. The guidance is effective on a prospective basis for annual periods beginning after December 15, 2026, and interim reporting periods within those annual reporting periods. The Company is currently evaluating the impact of this guidance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2.    PREPAID AND OTHER CURRENT ASSETS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Prepaid and other current assets consisted of the following: </w:t>
      </w:r>
    </w:p>
    <w:tbl>
      <w:tblPr>
        <w:tblW w:w="7943" w:type="dxa"/>
        <w:jc w:val="left"/>
        <w:tblInd w:w="0" w:type="dxa"/>
        <w:tblLayout w:type="fixed"/>
        <w:tblCellMar>
          <w:top w:w="28" w:type="dxa"/>
          <w:left w:w="28" w:type="dxa"/>
          <w:bottom w:w="28" w:type="dxa"/>
          <w:right w:w="28" w:type="dxa"/>
        </w:tblCellMar>
      </w:tblPr>
      <w:tblGrid>
        <w:gridCol w:w="1671"/>
        <w:gridCol w:w="1468"/>
        <w:gridCol w:w="1481"/>
        <w:gridCol w:w="109"/>
        <w:gridCol w:w="109"/>
        <w:gridCol w:w="109"/>
        <w:gridCol w:w="253"/>
        <w:gridCol w:w="741"/>
        <w:gridCol w:w="131"/>
        <w:gridCol w:w="109"/>
        <w:gridCol w:w="109"/>
        <w:gridCol w:w="109"/>
        <w:gridCol w:w="332"/>
        <w:gridCol w:w="970"/>
        <w:gridCol w:w="242"/>
      </w:tblGrid>
      <w:tr>
        <w:trPr/>
        <w:tc>
          <w:tcPr>
            <w:tcW w:w="167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and other consumption tax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3.    LEASES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the agreement. The Company considers an arrangement to be a lease if it conveys the right to control the use of the communications infrastructure or ground space underneath communications infrastructure for a period of time in exchange for consideration. The Company is both a lessor and a lessee.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made no changes to the methods described in note 4 to its consolidated financial statements included in the 2025 Form 10-K. As of June 30, 2026, the Company does not have any material related party leases as either a lessor or a lessee. To the extent there are any intercompany leases, these are eliminated in consolidation. </w:t>
      </w:r>
    </w:p>
    <w:p>
      <w:pPr>
        <w:pStyle w:val="TextBody"/>
        <w:bidi w:val="0"/>
        <w:spacing w:lineRule="auto" w:line="288" w:before="0" w:after="0"/>
        <w:jc w:val="left"/>
        <w:rPr/>
      </w:pPr>
      <w:r>
        <w:rPr>
          <w:rFonts w:ascii="Times New Roman;serif" w:hAnsi="Times New Roman;serif"/>
          <w:b w:val="false"/>
          <w:i/>
          <w:color w:val="000000"/>
          <w:sz w:val="20"/>
        </w:rPr>
        <w:t>Lessor</w:t>
      </w:r>
      <w:r>
        <w:rPr>
          <w:color w:val="000000"/>
        </w:rPr>
        <w:t xml:space="preserve">— </w:t>
      </w:r>
      <w:r>
        <w:rPr>
          <w:rFonts w:ascii="Times New Roman;serif" w:hAnsi="Times New Roman;serif"/>
          <w:b w:val="false"/>
          <w:color w:val="000000"/>
          <w:sz w:val="20"/>
        </w:rPr>
        <w:t>Historically, the Company has been able to successfully renew its applicable leases as needed to ensure continuation of its revenue. Accordingly, the Company assumes that it will have access to the communications infrastructure or ground space underlying its sites when calculating future minimum rental receipts through the end of the respective terms. Future minimum rental receipts expected under non-cancellable operating lease agreements as of June 30, 2026 were as follows:</w:t>
      </w:r>
    </w:p>
    <w:tbl>
      <w:tblPr>
        <w:tblW w:w="3311" w:type="dxa"/>
        <w:jc w:val="center"/>
        <w:tblInd w:w="0" w:type="dxa"/>
        <w:tblLayout w:type="fixed"/>
        <w:tblCellMar>
          <w:top w:w="28" w:type="dxa"/>
          <w:left w:w="28" w:type="dxa"/>
          <w:bottom w:w="28" w:type="dxa"/>
          <w:right w:w="28" w:type="dxa"/>
        </w:tblCellMar>
      </w:tblPr>
      <w:tblGrid>
        <w:gridCol w:w="608"/>
        <w:gridCol w:w="533"/>
        <w:gridCol w:w="539"/>
        <w:gridCol w:w="109"/>
        <w:gridCol w:w="109"/>
        <w:gridCol w:w="109"/>
        <w:gridCol w:w="222"/>
        <w:gridCol w:w="920"/>
        <w:gridCol w:w="162"/>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Amount (1) (2)</w:t>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49,895.6 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(1)Balances are translated at the applicable period-end exchange rate, which may impact comparability between periods.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(2)Balances represent contractual amounts owed with no adjustments made for expected collectibility. As of June 30, 2026, balances exclude contractual amounts owed from one of the Company’s U.S. customers, DISH Wireless L.L.C., a subsidiary of DISH Network Corporation (“DISH”).</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incentives are present in the Company’s leases, they are evaluated to determine proper treatment and, to the extent present, are recorded in Other current assets and Other non-current assets in the consolidated balance sheets and amortized on a straight line basis over the corresponding lease term as a non-cash reduction to revenue. As of June 30, 2026, the remaining weighted average amortization period of the Company’s lease incentives was 8 years. As of June 30, 2026, Other current assets and Other non-current assets include $50.4 million and $338.2 million, respectively, for lease incentives. </w:t>
      </w:r>
    </w:p>
    <w:p>
      <w:pPr>
        <w:pStyle w:val="TextBody"/>
        <w:bidi w:val="0"/>
        <w:spacing w:lineRule="auto" w:line="288" w:before="160" w:after="283"/>
        <w:jc w:val="left"/>
        <w:rPr/>
      </w:pPr>
      <w:r>
        <w:rPr>
          <w:rFonts w:ascii="Times New Roman;serif" w:hAnsi="Times New Roman;serif"/>
          <w:b w:val="false"/>
          <w:i/>
          <w:color w:val="000000"/>
          <w:sz w:val="20"/>
        </w:rPr>
        <w:t>Lessee</w:t>
      </w:r>
      <w:r>
        <w:rPr>
          <w:color w:val="000000"/>
        </w:rPr>
        <w:t>—</w:t>
      </w:r>
      <w:r>
        <w:rPr>
          <w:rFonts w:ascii="Times New Roman;serif" w:hAnsi="Times New Roman;serif"/>
          <w:b w:val="false"/>
          <w:color w:val="000000"/>
          <w:sz w:val="20"/>
        </w:rPr>
        <w:t>The Company assesses its right-of-use asset and other lease-related assets for impairment, as described in note 1 to the Company’s consolidated financial statements included in the 2025 Form 10-K. There were no material impairments recorded related to these assets during the three and six months ended June 30, 2026 and 2025. The Company leases certain land, buildings, equipment and office space under operating leases and land and improvements, towers, equipment and vehicles under finance leases. As of June 30, 2026, operating lease assets were included in Right-of-use asset and finance lease assets were included in Property and equipment, net in the consolidated balance sheet. During the six months ended June 30, 2026, there were no material changes in the terms and provisions of the Company’s operating leases in which the Company is a lessee. There were no material changes in finance lease assets and liabilities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Information about other lease-related balances is as follows:</w:t>
      </w:r>
    </w:p>
    <w:tbl>
      <w:tblPr>
        <w:tblW w:w="6069" w:type="dxa"/>
        <w:jc w:val="left"/>
        <w:tblInd w:w="0" w:type="dxa"/>
        <w:tblLayout w:type="fixed"/>
        <w:tblCellMar>
          <w:top w:w="28" w:type="dxa"/>
          <w:left w:w="28" w:type="dxa"/>
          <w:bottom w:w="28" w:type="dxa"/>
          <w:right w:w="28" w:type="dxa"/>
        </w:tblCellMar>
      </w:tblPr>
      <w:tblGrid>
        <w:gridCol w:w="994"/>
        <w:gridCol w:w="872"/>
        <w:gridCol w:w="879"/>
        <w:gridCol w:w="109"/>
        <w:gridCol w:w="109"/>
        <w:gridCol w:w="109"/>
        <w:gridCol w:w="218"/>
        <w:gridCol w:w="794"/>
        <w:gridCol w:w="113"/>
        <w:gridCol w:w="109"/>
        <w:gridCol w:w="109"/>
        <w:gridCol w:w="109"/>
        <w:gridCol w:w="288"/>
        <w:gridCol w:w="1047"/>
        <w:gridCol w:w="210"/>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7,743.6 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terms and incremental borrowing rates are as follows:</w:t>
      </w:r>
    </w:p>
    <w:tbl>
      <w:tblPr>
        <w:tblW w:w="7237" w:type="dxa"/>
        <w:jc w:val="left"/>
        <w:tblInd w:w="0" w:type="dxa"/>
        <w:tblLayout w:type="fixed"/>
        <w:tblCellMar>
          <w:top w:w="28" w:type="dxa"/>
          <w:left w:w="28" w:type="dxa"/>
          <w:bottom w:w="28" w:type="dxa"/>
          <w:right w:w="28" w:type="dxa"/>
        </w:tblCellMar>
      </w:tblPr>
      <w:tblGrid>
        <w:gridCol w:w="1416"/>
        <w:gridCol w:w="1243"/>
        <w:gridCol w:w="1255"/>
        <w:gridCol w:w="109"/>
        <w:gridCol w:w="109"/>
        <w:gridCol w:w="109"/>
        <w:gridCol w:w="250"/>
        <w:gridCol w:w="250"/>
        <w:gridCol w:w="624"/>
        <w:gridCol w:w="109"/>
        <w:gridCol w:w="109"/>
        <w:gridCol w:w="109"/>
        <w:gridCol w:w="314"/>
        <w:gridCol w:w="314"/>
        <w:gridCol w:w="917"/>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incremental borrowing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lease cost:</w:t>
      </w:r>
    </w:p>
    <w:tbl>
      <w:tblPr>
        <w:tblW w:w="9585" w:type="dxa"/>
        <w:jc w:val="left"/>
        <w:tblInd w:w="0" w:type="dxa"/>
        <w:tblLayout w:type="fixed"/>
        <w:tblCellMar>
          <w:top w:w="28" w:type="dxa"/>
          <w:left w:w="28" w:type="dxa"/>
          <w:bottom w:w="28" w:type="dxa"/>
          <w:right w:w="28" w:type="dxa"/>
        </w:tblCellMar>
      </w:tblPr>
      <w:tblGrid>
        <w:gridCol w:w="1601"/>
        <w:gridCol w:w="1407"/>
        <w:gridCol w:w="1417"/>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 not included in lease liability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(1)Primarily includes property tax paid on behalf of the landlord.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is as follows:</w:t>
      </w:r>
    </w:p>
    <w:tbl>
      <w:tblPr>
        <w:tblW w:w="8585" w:type="dxa"/>
        <w:jc w:val="center"/>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691"/>
        <w:gridCol w:w="109"/>
        <w:gridCol w:w="109"/>
        <w:gridCol w:w="109"/>
        <w:gridCol w:w="109"/>
        <w:gridCol w:w="211"/>
        <w:gridCol w:w="69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operating leases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modifications and reassessments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 includes new operating leases and leases acquired in connection with acquisitions.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does not have material operating or financing leases that have not yet commenced.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operating lease liabilities as of June 30, 2026 were as follows: </w:t>
      </w:r>
    </w:p>
    <w:tbl>
      <w:tblPr>
        <w:tblW w:w="5254" w:type="dxa"/>
        <w:jc w:val="center"/>
        <w:tblInd w:w="0" w:type="dxa"/>
        <w:tblLayout w:type="fixed"/>
        <w:tblCellMar>
          <w:top w:w="28" w:type="dxa"/>
          <w:left w:w="28" w:type="dxa"/>
          <w:bottom w:w="28" w:type="dxa"/>
          <w:right w:w="28" w:type="dxa"/>
        </w:tblCellMar>
      </w:tblPr>
      <w:tblGrid>
        <w:gridCol w:w="1123"/>
        <w:gridCol w:w="985"/>
        <w:gridCol w:w="996"/>
        <w:gridCol w:w="109"/>
        <w:gridCol w:w="109"/>
        <w:gridCol w:w="109"/>
        <w:gridCol w:w="303"/>
        <w:gridCol w:w="1101"/>
        <w:gridCol w:w="156"/>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 (1)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(1)Balances are translated at the applicable period-end exchange rate, which may impact comparability between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4.    GOODWILL AND OTHER INTANGIBLE 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for each of the Company’s business segments were as follows:</w:t>
      </w:r>
    </w:p>
    <w:tbl>
      <w:tblPr>
        <w:tblW w:w="10372" w:type="dxa"/>
        <w:jc w:val="left"/>
        <w:tblInd w:w="0" w:type="dxa"/>
        <w:tblLayout w:type="fixed"/>
        <w:tblCellMar>
          <w:top w:w="28" w:type="dxa"/>
          <w:left w:w="28" w:type="dxa"/>
          <w:bottom w:w="28" w:type="dxa"/>
          <w:right w:w="28" w:type="dxa"/>
        </w:tblCellMar>
      </w:tblPr>
      <w:tblGrid>
        <w:gridCol w:w="493"/>
        <w:gridCol w:w="248"/>
        <w:gridCol w:w="250"/>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406"/>
        <w:gridCol w:w="109"/>
        <w:gridCol w:w="109"/>
        <w:gridCol w:w="109"/>
        <w:gridCol w:w="109"/>
        <w:gridCol w:w="211"/>
        <w:gridCol w:w="871"/>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other intangible assets subject to amortization consisted of the following: </w:t>
      </w:r>
    </w:p>
    <w:tbl>
      <w:tblPr>
        <w:tblW w:w="11750" w:type="dxa"/>
        <w:jc w:val="left"/>
        <w:tblInd w:w="0" w:type="dxa"/>
        <w:tblLayout w:type="fixed"/>
        <w:tblCellMar>
          <w:top w:w="28" w:type="dxa"/>
          <w:left w:w="28" w:type="dxa"/>
          <w:bottom w:w="28" w:type="dxa"/>
          <w:right w:w="28" w:type="dxa"/>
        </w:tblCellMar>
      </w:tblPr>
      <w:tblGrid>
        <w:gridCol w:w="585"/>
        <w:gridCol w:w="330"/>
        <w:gridCol w:w="331"/>
        <w:gridCol w:w="440"/>
        <w:gridCol w:w="440"/>
        <w:gridCol w:w="441"/>
        <w:gridCol w:w="109"/>
        <w:gridCol w:w="109"/>
        <w:gridCol w:w="109"/>
        <w:gridCol w:w="211"/>
        <w:gridCol w:w="871"/>
        <w:gridCol w:w="109"/>
        <w:gridCol w:w="109"/>
        <w:gridCol w:w="109"/>
        <w:gridCol w:w="109"/>
        <w:gridCol w:w="211"/>
        <w:gridCol w:w="886"/>
        <w:gridCol w:w="109"/>
        <w:gridCol w:w="109"/>
        <w:gridCol w:w="109"/>
        <w:gridCol w:w="109"/>
        <w:gridCol w:w="211"/>
        <w:gridCol w:w="871"/>
        <w:gridCol w:w="109"/>
        <w:gridCol w:w="109"/>
        <w:gridCol w:w="109"/>
        <w:gridCol w:w="109"/>
        <w:gridCol w:w="211"/>
        <w:gridCol w:w="871"/>
        <w:gridCol w:w="109"/>
        <w:gridCol w:w="109"/>
        <w:gridCol w:w="109"/>
        <w:gridCol w:w="109"/>
        <w:gridCol w:w="211"/>
        <w:gridCol w:w="886"/>
        <w:gridCol w:w="109"/>
        <w:gridCol w:w="109"/>
        <w:gridCol w:w="109"/>
        <w:gridCol w:w="109"/>
        <w:gridCol w:w="211"/>
        <w:gridCol w:w="87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w:t>
              <w:b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network location intangibles (1)</w:t>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Up to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tenant-related intangibles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Up to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licenses and other intangibles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(1)Acquired network location intangibles are amortized over the remaining estimated useful life of the tower, taking into account residual value, generally up to 30 years, as the Company considers these intangibles to be directly related to the tower assets.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acquired network location intangibles represent the value to the Company of the incremental revenue growth that could potentially be obtained from leasing the excess capacity on acquired tower communications infrastructure. The acquired tenant-related intangibles typically represent the value to the Company of tenant contracts and relationships in place at the time of an acquisition or similar transaction, including assumptions regarding estimated renewals. Other intangibles represent the value of acquired licenses, trade name and in place leases. In place lease value represents the fair value of costs avoided in securing data center customers, including vacancy periods, legal costs and commissions. In place lease value also includes assumptions on similar costs avoided upon the renewal or extension of existing leases on a basis consistent with occupancy assumptions used in the fair value of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amortizes its acquired intangible assets on a straight-line basis over their estimated useful lives. As of June 30, 2026, the remaining weighted average amortization period of the Company’s intangible assets was 19 years. Amortization of intangible assets for the three and six months ended June 30, 2026 was $215.9 million and $432.3 million, respectively. Amortization of intangible assets for the three and six months ended June 30, 2025 was $218.9 million and $433.0 million, respectively. Based on current exchange rates, the Company expects to record amortization expense as follows over the remainder of the current year and the five subsequent years: </w:t>
      </w:r>
    </w:p>
    <w:tbl>
      <w:tblPr>
        <w:tblW w:w="2988" w:type="dxa"/>
        <w:jc w:val="left"/>
        <w:tblInd w:w="0" w:type="dxa"/>
        <w:tblLayout w:type="fixed"/>
        <w:tblCellMar>
          <w:top w:w="28" w:type="dxa"/>
          <w:left w:w="28" w:type="dxa"/>
          <w:bottom w:w="28" w:type="dxa"/>
          <w:right w:w="28" w:type="dxa"/>
        </w:tblCellMar>
      </w:tblPr>
      <w:tblGrid>
        <w:gridCol w:w="608"/>
        <w:gridCol w:w="533"/>
        <w:gridCol w:w="539"/>
        <w:gridCol w:w="109"/>
        <w:gridCol w:w="109"/>
        <w:gridCol w:w="109"/>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5.    ACCRUED EXPENSES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consisted of the following: </w:t>
      </w:r>
    </w:p>
    <w:tbl>
      <w:tblPr>
        <w:tblW w:w="6519" w:type="dxa"/>
        <w:jc w:val="left"/>
        <w:tblInd w:w="0" w:type="dxa"/>
        <w:tblLayout w:type="fixed"/>
        <w:tblCellMar>
          <w:top w:w="28" w:type="dxa"/>
          <w:left w:w="28" w:type="dxa"/>
          <w:bottom w:w="28" w:type="dxa"/>
          <w:right w:w="28" w:type="dxa"/>
        </w:tblCellMar>
      </w:tblPr>
      <w:tblGrid>
        <w:gridCol w:w="1156"/>
        <w:gridCol w:w="1017"/>
        <w:gridCol w:w="1022"/>
        <w:gridCol w:w="109"/>
        <w:gridCol w:w="109"/>
        <w:gridCol w:w="109"/>
        <w:gridCol w:w="218"/>
        <w:gridCol w:w="794"/>
        <w:gridCol w:w="113"/>
        <w:gridCol w:w="109"/>
        <w:gridCol w:w="109"/>
        <w:gridCol w:w="109"/>
        <w:gridCol w:w="288"/>
        <w:gridCol w:w="1047"/>
        <w:gridCol w:w="210"/>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pass-through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payable for acquisitions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payable to tenants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and 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 of June 30, 2026 and December 31, 2025 includes $106.2 million and $106.9 million of deferred payments, respectively, including post-closing adjustments, associated with the Company’s 2021 acquisition of the European and Latin American tower divisions from Telxius Telecom, S.A. due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6.    LONG-TERM OBLIGATIONS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amounts under the Company’s long-term obligations, reflecting discounts, premiums and debt issuance costs, consisted of the following:</w:t>
      </w:r>
    </w:p>
    <w:tbl>
      <w:tblPr>
        <w:tblW w:w="8302" w:type="dxa"/>
        <w:jc w:val="left"/>
        <w:tblInd w:w="0" w:type="dxa"/>
        <w:tblLayout w:type="fixed"/>
        <w:tblCellMar>
          <w:top w:w="28" w:type="dxa"/>
          <w:left w:w="28" w:type="dxa"/>
          <w:bottom w:w="28" w:type="dxa"/>
          <w:right w:w="28" w:type="dxa"/>
        </w:tblCellMar>
      </w:tblPr>
      <w:tblGrid>
        <w:gridCol w:w="1180"/>
        <w:gridCol w:w="1036"/>
        <w:gridCol w:w="1039"/>
        <w:gridCol w:w="218"/>
        <w:gridCol w:w="794"/>
        <w:gridCol w:w="113"/>
        <w:gridCol w:w="109"/>
        <w:gridCol w:w="109"/>
        <w:gridCol w:w="109"/>
        <w:gridCol w:w="338"/>
        <w:gridCol w:w="987"/>
        <w:gridCol w:w="174"/>
        <w:gridCol w:w="109"/>
        <w:gridCol w:w="109"/>
        <w:gridCol w:w="109"/>
        <w:gridCol w:w="516"/>
        <w:gridCol w:w="516"/>
        <w:gridCol w:w="737"/>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Multicurrency Credit Facility (1)</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2029</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Term Loan (1)</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2029</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Credit Facility (1)</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2031</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(2)</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1.600% senior notes (3)</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1.950% senior notes (4)</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1.450% senior notes (5)</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15, 2026</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3.375% senior notes (5)</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15, 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3.125% senior notes (5)</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2027</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2.750% senior notes (5)</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2027</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0.450% senior notes (5) (6)</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2027</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0.400% senior notes (5) (6)</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2027</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3.650% senior notes (5)</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tbl>
      <w:tblPr>
        <w:tblW w:w="8570" w:type="dxa"/>
        <w:jc w:val="left"/>
        <w:tblInd w:w="0" w:type="dxa"/>
        <w:tblLayout w:type="fixed"/>
        <w:tblCellMar>
          <w:top w:w="28" w:type="dxa"/>
          <w:left w:w="28" w:type="dxa"/>
          <w:bottom w:w="28" w:type="dxa"/>
          <w:right w:w="28" w:type="dxa"/>
        </w:tblCellMar>
      </w:tblPr>
      <w:tblGrid>
        <w:gridCol w:w="1363"/>
        <w:gridCol w:w="1199"/>
        <w:gridCol w:w="1203"/>
        <w:gridCol w:w="211"/>
        <w:gridCol w:w="871"/>
        <w:gridCol w:w="109"/>
        <w:gridCol w:w="109"/>
        <w:gridCol w:w="109"/>
        <w:gridCol w:w="109"/>
        <w:gridCol w:w="211"/>
        <w:gridCol w:w="871"/>
        <w:gridCol w:w="109"/>
        <w:gridCol w:w="109"/>
        <w:gridCol w:w="109"/>
        <w:gridCol w:w="109"/>
        <w:gridCol w:w="517"/>
        <w:gridCol w:w="517"/>
        <w:gridCol w:w="735"/>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4.125% senior notes (5) (6) (7)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16, 2027</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3.55%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15, 2027</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2028</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0.500% senior notes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2028</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31, 2028</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2028</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15, 2028</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15, 2028</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2029</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3.950%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2029</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0.875% senior notes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21, 2029</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15, 2029</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2030</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31, 2030</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2030</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3.900% senior notes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16, 2030</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15, 2030</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0.950% senior notes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5, 2030</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1.875%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15, 2030</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15, 2031</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16, 2031</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15, 2031</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senior notes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2032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4.050%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2032</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3.625% senior notes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30, 2032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15, 2032</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5.650%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2033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1.250% senior notes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21, 2033</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5.550%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15, 2033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notes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2033</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15, 2033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2034</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4.100% senior notes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16, 2034</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31, 2035</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5.350%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2035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3.700%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15, 2049</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3.100% senior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15, 2050</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2.950% senior notes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2051</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American Tower Corporation debt </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2018-1A securities (8)</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2028</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2023-1A securities (9)</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2028</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subsidiary debt (10)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American Tower subsidiary debt</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(1)Accrues interest at a variable rate.</w:t>
      </w:r>
    </w:p>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(2)Repaid in full on February 13, 2026 using borrowings under the 2021 Credit Facility (as defined below) and cash on hand.</w:t>
      </w:r>
    </w:p>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(3)Repaid in full on April 14, 2026 using borrowings under the 2021 Credit Facility and cash on hand.</w:t>
      </w:r>
    </w:p>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(4)Repaid in full on May 21, 2026 using borrowings under the 2021 Multicurrency Credit Facility.</w:t>
      </w:r>
    </w:p>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(5)</w:t>
      </w:r>
      <w:r>
        <w:rPr>
          <w:rFonts w:ascii="Times New Roman;serif" w:hAnsi="Times New Roman;serif"/>
          <w:b w:val="false"/>
          <w:color w:val="000000"/>
          <w:sz w:val="16"/>
        </w:rPr>
        <w:t>Included in Current portion of long-term obligations.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(6)Notes are denominated in Euro (“EUR”).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(7)Partially redeemed on June 18, 2026 using proceeds from the issuance of the 4.000% Notes (as defined below).</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(8)Maturity date reflects the anticipated repayment date; final legal maturity is March 15, 2048.</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(9)Maturity date reflects the anticipated repayment date; final legal maturity is March 15, 2053.</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(10)As of June 30, 2026 includes debt entered into by the Company’s Data Centers business in connection with an acquisition of a multi-tenant data facility in Denver, Colorado, which is denominated in U.S. Dollars and is payable in monthly installments through March 31, 2028. As of December 31, 2025 also included borrowings under an unsecured term loan in Bangladesh, which was denominated in Bangladeshi Taka (the “Bangladesh Term Loan”). The Bangladesh Term Loan was assumed by the buyer in the sale of the Company’s noncontrolling interest in KTBL. </w:t>
      </w:r>
    </w:p>
    <w:p>
      <w:pPr>
        <w:pStyle w:val="TextBody"/>
        <w:bidi w:val="0"/>
        <w:spacing w:lineRule="auto" w:line="288" w:before="160" w:after="160"/>
        <w:jc w:val="left"/>
        <w:rPr/>
      </w:pPr>
      <w:r>
        <w:rPr>
          <w:rFonts w:ascii="Times New Roman;serif" w:hAnsi="Times New Roman;serif"/>
          <w:b w:val="false"/>
          <w:i/>
          <w:color w:val="000000"/>
          <w:sz w:val="20"/>
        </w:rPr>
        <w:t>Securitized Debt—</w:t>
      </w:r>
      <w:r>
        <w:rPr>
          <w:rFonts w:ascii="Times New Roman;serif" w:hAnsi="Times New Roman;serif"/>
          <w:b w:val="false"/>
          <w:color w:val="000000"/>
          <w:sz w:val="20"/>
        </w:rPr>
        <w:t>Cash flows generated by the communications sites that secure the securitized debt of the Company</w:t>
      </w:r>
      <w:r>
        <w:rPr>
          <w:color w:val="FF0000"/>
        </w:rPr>
        <w:t xml:space="preserve"> </w:t>
      </w:r>
      <w:r>
        <w:rPr>
          <w:rFonts w:ascii="Times New Roman;serif" w:hAnsi="Times New Roman;serif"/>
          <w:b w:val="false"/>
          <w:color w:val="000000"/>
          <w:sz w:val="20"/>
        </w:rPr>
        <w:t>are only available for payment of such debt and related costs and are not available to pay the Company’s other obligations or the claims of its creditors. However, subject to certain restrictions, the Company holds the right to receive the excess cash flows not needed to service the securitized debt and other obligations arising out of the securitizations. The securitized debt is the obligation of the issuers thereof or borrowers thereunder, as applicable, and their subsidiaries, and not of the Company or its other subsidiaries.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Repayments of Senior Notes</w:t>
      </w:r>
    </w:p>
    <w:p>
      <w:pPr>
        <w:pStyle w:val="TextBody"/>
        <w:bidi w:val="0"/>
        <w:spacing w:lineRule="auto" w:line="288" w:before="0" w:after="160"/>
        <w:jc w:val="left"/>
        <w:rPr/>
      </w:pPr>
      <w:r>
        <w:rPr>
          <w:rFonts w:ascii="Times New Roman;serif" w:hAnsi="Times New Roman;serif"/>
          <w:b w:val="false"/>
          <w:i/>
          <w:color w:val="000000"/>
          <w:sz w:val="20"/>
        </w:rPr>
        <w:t>Repayment of 4.400% Senior Notes</w:t>
      </w:r>
      <w:r>
        <w:rPr>
          <w:color w:val="000000"/>
        </w:rPr>
        <w:t>—</w:t>
      </w:r>
      <w:r>
        <w:rPr>
          <w:rFonts w:ascii="Times New Roman;serif" w:hAnsi="Times New Roman;serif"/>
          <w:b w:val="false"/>
          <w:color w:val="000000"/>
          <w:sz w:val="20"/>
        </w:rPr>
        <w:t>On February 13, 2026, the Company repaid $500.0 million aggregate principal amount of the Company’s 4.400% senior unsecured notes due 2026 (the “4.400% Notes”) upon their maturity. The 4.400% Notes were repaid using borrowings under the 2021 Credit Facility and cash on hand. Upon completion of the repayment, none of the 4.400% Notes remained outstanding.</w:t>
      </w:r>
    </w:p>
    <w:p>
      <w:pPr>
        <w:pStyle w:val="TextBody"/>
        <w:bidi w:val="0"/>
        <w:spacing w:lineRule="auto" w:line="268" w:before="160" w:after="160"/>
        <w:jc w:val="left"/>
        <w:rPr/>
      </w:pPr>
      <w:r>
        <w:rPr>
          <w:rFonts w:ascii="Times New Roman;serif" w:hAnsi="Times New Roman;serif"/>
          <w:b w:val="false"/>
          <w:i/>
          <w:color w:val="000000"/>
          <w:sz w:val="20"/>
        </w:rPr>
        <w:t>Repayment of 1.600% Senior Notes—</w:t>
      </w:r>
      <w:r>
        <w:rPr>
          <w:rFonts w:ascii="Times New Roman;serif" w:hAnsi="Times New Roman;serif"/>
          <w:b w:val="false"/>
          <w:color w:val="000000"/>
          <w:sz w:val="20"/>
        </w:rPr>
        <w:t>On April 14, 2026, the Company repaid $700.0 million aggregate principal amount of the Company’s 1.600% senior unsecured notes due 2026 (the “1.600% Notes”) upon their maturity. The 1.600% Notes were repaid using borrowings under the 2021 Credit Facility and cash on hand. Upon completion of the repayment, none of the 1.600% Notes remained outstanding.</w:t>
      </w:r>
    </w:p>
    <w:p>
      <w:pPr>
        <w:pStyle w:val="TextBody"/>
        <w:bidi w:val="0"/>
        <w:spacing w:lineRule="auto" w:line="268" w:before="160" w:after="160"/>
        <w:jc w:val="left"/>
        <w:rPr/>
      </w:pPr>
      <w:r>
        <w:rPr>
          <w:rFonts w:ascii="Times New Roman;serif" w:hAnsi="Times New Roman;serif"/>
          <w:b w:val="false"/>
          <w:i/>
          <w:color w:val="000000"/>
          <w:sz w:val="20"/>
        </w:rPr>
        <w:t>Repayment of 1.950% Senior Notes</w:t>
      </w:r>
      <w:r>
        <w:rPr>
          <w:color w:val="000000"/>
        </w:rPr>
        <w:t>—</w:t>
      </w:r>
      <w:r>
        <w:rPr>
          <w:rFonts w:ascii="Times New Roman;serif" w:hAnsi="Times New Roman;serif"/>
          <w:b w:val="false"/>
          <w:color w:val="000000"/>
          <w:sz w:val="20"/>
        </w:rPr>
        <w:t>On May 21, 2026, the Company repaid 500.0 million EUR aggregate principal amount of the Company’s 1.950% senior unsecured notes due 2026 (the “1.950% Notes”) upon their maturity. The 1.950% Notes were repaid using borrowings under the 2021 Multicurrency Credit Facility. Upon completion of the repayment, none of the 1.950% Notes remained outstanding.</w:t>
      </w:r>
    </w:p>
    <w:p>
      <w:pPr>
        <w:pStyle w:val="TextBody"/>
        <w:bidi w:val="0"/>
        <w:spacing w:lineRule="auto" w:line="268" w:before="160" w:after="160"/>
        <w:jc w:val="left"/>
        <w:rPr/>
      </w:pPr>
      <w:r>
        <w:rPr>
          <w:rFonts w:ascii="Times New Roman;serif" w:hAnsi="Times New Roman;serif"/>
          <w:b w:val="false"/>
          <w:i/>
          <w:color w:val="000000"/>
          <w:sz w:val="20"/>
        </w:rPr>
        <w:t>Partial Redemption of 4.125% Senior Notes</w:t>
      </w:r>
      <w:r>
        <w:rPr>
          <w:color w:val="000000"/>
        </w:rPr>
        <w:t>—</w:t>
      </w:r>
      <w:r>
        <w:rPr>
          <w:rFonts w:ascii="Times New Roman;serif" w:hAnsi="Times New Roman;serif"/>
          <w:b w:val="false"/>
          <w:color w:val="000000"/>
          <w:sz w:val="20"/>
        </w:rPr>
        <w:t>On June 18, 2026, the Company redeemed 250.0 million EUR of its 4.125% senior unsecured notes due 2027 (the “4.125% Notes”) at a price equal to 100.969%, plus accrued and unpaid interest up to, but excluding June 18, 2026, for an aggregate redemption price of approximately 253.3 million EUR (approximately $290.2 million as of the repayment date), including 0.9 million EUR (approximately $1.0 million as of the repayment date) in accrued and unpaid interest. The Company recorded a loss on retirement of long-term obligations of approximately $3.2 million, which included prepayment consideration of $2.8 million and the associated unamortized discount and deferred financing costs. The redemption was funded with proceeds from the issuance of the 4.000% Notes. Upon completion of this partial redemption, 350.0 million EUR aggregate principal amount of the 4.125% Notes remained outstanding.</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Offerings of Senior Notes</w:t>
      </w:r>
    </w:p>
    <w:p>
      <w:pPr>
        <w:pStyle w:val="TextBody"/>
        <w:bidi w:val="0"/>
        <w:spacing w:lineRule="auto" w:line="288" w:before="160" w:after="283"/>
        <w:jc w:val="left"/>
        <w:rPr/>
      </w:pPr>
      <w:r>
        <w:rPr>
          <w:rFonts w:ascii="Times New Roman;serif" w:hAnsi="Times New Roman;serif"/>
          <w:b w:val="false"/>
          <w:i/>
          <w:color w:val="000000"/>
          <w:sz w:val="20"/>
        </w:rPr>
        <w:t>4.000% Senior Notes Offering—</w:t>
      </w:r>
      <w:r>
        <w:rPr>
          <w:rFonts w:ascii="Times New Roman;serif" w:hAnsi="Times New Roman;serif"/>
          <w:b w:val="false"/>
          <w:color w:val="000000"/>
          <w:sz w:val="20"/>
        </w:rPr>
        <w:t>On May 27, 2026, the Company completed a registered public offering of 750.0 million EUR (approximately $872.0 million at the date of issuance) aggregate principal amount of 4.000% senior unsecured notes due 2033 (the “4.000% Notes”). The net proceeds from this offering were approximately 742.7 million EUR (approximately $863.5 million at the date of issuance), after deducting commissions and estimated expenses. The Company used the net proceeds to repay existing indebtedness under the 2021 Multicurrency Credit Facility and to partially redeem the 4.125% Notes (as discussed above).</w:t>
      </w:r>
    </w:p>
    <w:p>
      <w:pPr>
        <w:pStyle w:val="TextBody"/>
        <w:bidi w:val="0"/>
        <w:spacing w:lineRule="auto" w:line="288" w:before="160" w:after="283"/>
        <w:jc w:val="left"/>
        <w:rPr/>
      </w:pPr>
      <w:r>
        <w:rPr>
          <w:rFonts w:ascii="Times New Roman;serif" w:hAnsi="Times New Roman;serif"/>
          <w:b w:val="false"/>
          <w:color w:val="000000"/>
          <w:sz w:val="20"/>
        </w:rPr>
        <w:t>The key terms of the 4.000%</w:t>
      </w:r>
      <w:r>
        <w:rPr>
          <w:color w:val="000000"/>
        </w:rPr>
        <w:t xml:space="preserve"> </w:t>
      </w:r>
      <w:r>
        <w:rPr>
          <w:rFonts w:ascii="Times New Roman;serif" w:hAnsi="Times New Roman;serif"/>
          <w:b w:val="false"/>
          <w:color w:val="000000"/>
          <w:sz w:val="20"/>
        </w:rPr>
        <w:t>Notes are as follows:</w:t>
      </w:r>
    </w:p>
    <w:tbl>
      <w:tblPr>
        <w:tblW w:w="10205" w:type="dxa"/>
        <w:jc w:val="left"/>
        <w:tblInd w:w="0" w:type="dxa"/>
        <w:tblLayout w:type="fixed"/>
        <w:tblCellMar>
          <w:top w:w="28" w:type="dxa"/>
          <w:left w:w="28" w:type="dxa"/>
          <w:bottom w:w="28" w:type="dxa"/>
          <w:right w:w="28" w:type="dxa"/>
        </w:tblCellMar>
      </w:tblPr>
      <w:tblGrid>
        <w:gridCol w:w="396"/>
        <w:gridCol w:w="226"/>
        <w:gridCol w:w="226"/>
        <w:gridCol w:w="109"/>
        <w:gridCol w:w="109"/>
        <w:gridCol w:w="109"/>
        <w:gridCol w:w="272"/>
        <w:gridCol w:w="795"/>
        <w:gridCol w:w="140"/>
        <w:gridCol w:w="109"/>
        <w:gridCol w:w="109"/>
        <w:gridCol w:w="109"/>
        <w:gridCol w:w="312"/>
        <w:gridCol w:w="312"/>
        <w:gridCol w:w="313"/>
        <w:gridCol w:w="109"/>
        <w:gridCol w:w="109"/>
        <w:gridCol w:w="109"/>
        <w:gridCol w:w="403"/>
        <w:gridCol w:w="348"/>
        <w:gridCol w:w="291"/>
        <w:gridCol w:w="109"/>
        <w:gridCol w:w="109"/>
        <w:gridCol w:w="109"/>
        <w:gridCol w:w="371"/>
        <w:gridCol w:w="371"/>
        <w:gridCol w:w="372"/>
        <w:gridCol w:w="109"/>
        <w:gridCol w:w="109"/>
        <w:gridCol w:w="109"/>
        <w:gridCol w:w="474"/>
        <w:gridCol w:w="291"/>
        <w:gridCol w:w="292"/>
        <w:gridCol w:w="109"/>
        <w:gridCol w:w="109"/>
        <w:gridCol w:w="109"/>
        <w:gridCol w:w="450"/>
        <w:gridCol w:w="319"/>
        <w:gridCol w:w="320"/>
        <w:gridCol w:w="109"/>
        <w:gridCol w:w="109"/>
        <w:gridCol w:w="109"/>
        <w:gridCol w:w="178"/>
        <w:gridCol w:w="178"/>
        <w:gridCol w:w="266"/>
      </w:tblGrid>
      <w:tr>
        <w:trPr/>
        <w:tc>
          <w:tcPr>
            <w:tcW w:w="3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Amount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 Date and Interest Accrual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 Interest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Payments Due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Call Date (2)</w:t>
            </w:r>
          </w:p>
        </w:tc>
      </w:tr>
      <w:tr>
        <w:trPr/>
        <w:tc>
          <w:tcPr>
            <w:tcW w:w="8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4.000% Notes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60" w:after="160"/>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 2033</w:t>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Company may redeem the 4.000% Notes at any time, in whole or in part, at a redemption price equal to 100% of the principal amount of the 4.000% Notes plus a make-whole premium, together with accrued interest to the redemption date. If the Company redeems the 4.000% Notes on or after the par call date, the Company will not be required to pay a make-whole premium.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4.000% Notes are denominated in EUR; dollar amounts represent the aggregate principal amount at the issuance date.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If the Company undergoes a change of control and corresponding ratings decline, each as defined in the supplemental indenture for the 4.000% Notes, the Company may be required to repurchase all of the 4.000% Notes at a purchase price equal to 101% of the aggregate principal amount of the 4.000% Notes repurchased, plus accrued and unpaid interest (including additional interest, if any), up to but not including the repurchase date. The 4.000% Notes rank equally in right of payment with all of the Company’s other senior unsecured debt obligations and are structurally subordinated to all existing and future indebtedness and other obligations of its subsidiaries.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supplemental indenture contains certain covenants that restrict the Company’s ability to merge, consolidate or sell assets and its (together with its subsidiaries’) ability to incur liens. These covenants are subject to a number of exceptions, including that the Company and its subsidiaries may incur certain liens on assets, mortgages or other liens securing indebtedness if the aggregate amount of indebtedness secured by such liens does not exceed 3.5x Adjusted EBITDA, as defined in the supplemental indenture.</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Bank Facilities</w:t>
      </w:r>
    </w:p>
    <w:p>
      <w:pPr>
        <w:pStyle w:val="TextBody"/>
        <w:bidi w:val="0"/>
        <w:spacing w:lineRule="auto" w:line="288" w:before="160" w:after="283"/>
        <w:jc w:val="left"/>
        <w:rPr/>
      </w:pPr>
      <w:r>
        <w:rPr>
          <w:rFonts w:ascii="Times New Roman;serif" w:hAnsi="Times New Roman;serif"/>
          <w:b w:val="false"/>
          <w:i/>
          <w:color w:val="000000"/>
          <w:sz w:val="20"/>
        </w:rPr>
        <w:t>Amendments to Bank Facilities—</w:t>
      </w:r>
      <w:r>
        <w:rPr>
          <w:rFonts w:ascii="Times New Roman;serif" w:hAnsi="Times New Roman;serif"/>
          <w:b w:val="false"/>
          <w:color w:val="000000"/>
          <w:sz w:val="20"/>
        </w:rPr>
        <w:t>On May 7, 2026, the Company amended its (i) $6.0 billion senior unsecured multicurrency revolving credit facility, as amended and restated on December 8, 2021, as further amended, (the “2021 Multicurrency Credit Facility”), (ii) $4.0 billion senior unsecured revolving credit facility, as amended and restated on December 8, 2021, as further amended, (the “2021 Credit Facility”) and (iii) $1.0 billion unsecured term loan, as amended and restated on December 8, 2021, as further amended (the “2021 Term Loan” collectively with the 2021 Multicurrency Credit Facility and the 2021 Credit Facility, the “Loans”).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These amendments, among other things,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i.extend the maturity dates of the 2021 Multicurrency Credit Facility, the 2021 Credit Facility and the 2021 Term Loan to May 1, 2029, May 1, 2031 and May 1, 2029, respectively;</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ii.include limited conditionality provisions in the 2021 Multicurrency Credit Facility, permitting the Company to borrow up to $5.0 billion in connection with certain acquisitions subject to such limited conditionality provisions;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iii.increase the swingline sublimit under each of the 2021 Multicurrency Credit Facility and the 2021 Credit Facility from $50.0 million to $100.0 million;</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iv.amend the covenant governing the incurrence of liens under each of the Loans to permit the incurrence of liens securing indebtedness in an aggregate amount not to exceed the 3.5x ratio of Senior Secured Debt to Adjusted EBITDA (each as defined in each of the Loans);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v.amend the covenant governing the incurrence of indebtedness under each of the Loans to restrict the incurrence of indebtedness to subsidiaries of the Company only.</w:t>
      </w:r>
    </w:p>
    <w:p>
      <w:pPr>
        <w:pStyle w:val="TextBody"/>
        <w:bidi w:val="0"/>
        <w:spacing w:lineRule="auto" w:line="288" w:before="160" w:after="283"/>
        <w:jc w:val="left"/>
        <w:rPr/>
      </w:pPr>
      <w:r>
        <w:rPr>
          <w:rFonts w:ascii="Times New Roman;serif" w:hAnsi="Times New Roman;serif"/>
          <w:b w:val="false"/>
          <w:i/>
          <w:color w:val="000000"/>
          <w:sz w:val="20"/>
        </w:rPr>
        <w:t>2021 Multicurrency Credit Facility—</w:t>
      </w:r>
      <w:r>
        <w:rPr>
          <w:rFonts w:ascii="Times New Roman;serif" w:hAnsi="Times New Roman;serif"/>
          <w:b w:val="false"/>
          <w:color w:val="000000"/>
          <w:sz w:val="20"/>
        </w:rPr>
        <w:t xml:space="preserve">During the six months ended June 30, 2026, the Company borrowed an aggregate of $2.3 billion, including 500.0 million EUR ($581.1 million as of the borrowing date) and repaid an aggregate of $1.6 billion, including 500.0 million EUR ($581.1 million as of the repayment date) of revolving indebtedness under the 2021 Multicurrency Credit Facility. The Company used the borrowings to repay outstanding indebtedness, including the 1.950% Notes, and for general corporate purposes. </w:t>
      </w:r>
    </w:p>
    <w:p>
      <w:pPr>
        <w:pStyle w:val="TextBody"/>
        <w:bidi w:val="0"/>
        <w:spacing w:lineRule="auto" w:line="288" w:before="160" w:after="160"/>
        <w:jc w:val="left"/>
        <w:rPr/>
      </w:pPr>
      <w:r>
        <w:rPr>
          <w:rFonts w:ascii="Times New Roman;serif" w:hAnsi="Times New Roman;serif"/>
          <w:b w:val="false"/>
          <w:i/>
          <w:color w:val="000000"/>
          <w:sz w:val="20"/>
        </w:rPr>
        <w:t>2021 Credit Facility—</w:t>
      </w:r>
      <w:r>
        <w:rPr>
          <w:rFonts w:ascii="Times New Roman;serif" w:hAnsi="Times New Roman;serif"/>
          <w:b w:val="false"/>
          <w:color w:val="000000"/>
          <w:sz w:val="20"/>
        </w:rPr>
        <w:t>During the six months ended June 30, 2026, the Company borrowed an aggregate of $1.3 billion and repaid an aggregate of $0.6 billion of revolving indebtedness under the 2021 Credit Facility. The Company used the borrowings to repay outstanding indebtedness, including the 4.400% Notes and the 1.600% Notes, and for general corporate purposes.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key terms under the Loans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tbl>
      <w:tblPr>
        <w:tblW w:w="10205" w:type="dxa"/>
        <w:jc w:val="left"/>
        <w:tblInd w:w="0" w:type="dxa"/>
        <w:tblLayout w:type="fixed"/>
        <w:tblCellMar>
          <w:top w:w="28" w:type="dxa"/>
          <w:left w:w="28" w:type="dxa"/>
          <w:bottom w:w="28" w:type="dxa"/>
          <w:right w:w="28" w:type="dxa"/>
        </w:tblCellMar>
      </w:tblPr>
      <w:tblGrid>
        <w:gridCol w:w="678"/>
        <w:gridCol w:w="595"/>
        <w:gridCol w:w="596"/>
        <w:gridCol w:w="293"/>
        <w:gridCol w:w="1065"/>
        <w:gridCol w:w="151"/>
        <w:gridCol w:w="109"/>
        <w:gridCol w:w="109"/>
        <w:gridCol w:w="109"/>
        <w:gridCol w:w="310"/>
        <w:gridCol w:w="752"/>
        <w:gridCol w:w="160"/>
        <w:gridCol w:w="109"/>
        <w:gridCol w:w="109"/>
        <w:gridCol w:w="109"/>
        <w:gridCol w:w="299"/>
        <w:gridCol w:w="299"/>
        <w:gridCol w:w="300"/>
        <w:gridCol w:w="109"/>
        <w:gridCol w:w="109"/>
        <w:gridCol w:w="109"/>
        <w:gridCol w:w="507"/>
        <w:gridCol w:w="387"/>
        <w:gridCol w:w="963"/>
        <w:gridCol w:w="109"/>
        <w:gridCol w:w="109"/>
        <w:gridCol w:w="109"/>
        <w:gridCol w:w="387"/>
        <w:gridCol w:w="293"/>
        <w:gridCol w:w="862"/>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Principal Balance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Undrawn letters of credit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margin over SOFR or EURIBOR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commitment fee (2)</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Multicurrency Credit Facility</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0.875</w:t>
            </w:r>
          </w:p>
        </w:tc>
        <w:tc>
          <w:tcPr>
            <w:tcW w:w="9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0.100</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Credit Facility</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2031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0.875</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0.100</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Term Loan</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0.875</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(1)Secured Overnight Financing Rate (“SOFR”) applies to the USD denominated borrowings under the 2021 Multicurrency Credit Facility, the 2021 Credit Facility and the 2021 Term Loan. Euro Interbank Offer Rate (“EURIBOR”) applies for EURIBOR based borrowings.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(2)Fee on undrawn portion of each credit facility.</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(3)Subject to two optional renewal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7.    FAIR VALUE MEASUREMENTS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its financial instruments based on the fair value hierarchy, which requires an entity to maximize the use of observable inputs and minimize the use of unobservable inputs when measuring fair value. Below are the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8"/>
        <w:gridCol w:w="208"/>
        <w:gridCol w:w="209"/>
        <w:gridCol w:w="2731"/>
        <w:gridCol w:w="2693"/>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in active markets for identical assets or liabilities that the Company has the ability to access at the measurement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that are supported by little or no market activity and that are significant to the fair value of the assets or liabilities.</w:t>
            </w:r>
          </w:p>
        </w:tc>
      </w:tr>
    </w:tbl>
    <w:p>
      <w:pPr>
        <w:pStyle w:val="TextBody"/>
        <w:bidi w:val="0"/>
        <w:spacing w:lineRule="auto" w:line="288" w:before="0" w:after="0"/>
        <w:jc w:val="left"/>
        <w:rPr/>
      </w:pPr>
      <w:r>
        <w:rPr>
          <w:rFonts w:ascii="Times New Roman;serif" w:hAnsi="Times New Roman;serif"/>
          <w:b w:val="false"/>
          <w:i/>
          <w:color w:val="000000"/>
          <w:sz w:val="20"/>
        </w:rPr>
        <w:t>Items Measured at Fair Value on a Recurring Basis</w:t>
      </w:r>
      <w:r>
        <w:rPr>
          <w:color w:val="000000"/>
        </w:rPr>
        <w:t>—</w:t>
      </w:r>
      <w:r>
        <w:rPr>
          <w:rFonts w:ascii="Times New Roman;serif" w:hAnsi="Times New Roman;serif"/>
          <w:b w:val="false"/>
          <w:color w:val="000000"/>
          <w:sz w:val="20"/>
        </w:rPr>
        <w:t>The fair values of the Company’s financial assets and liabilities that are required to be measured on a recurring basis at fair value were as follows:</w:t>
      </w:r>
    </w:p>
    <w:tbl>
      <w:tblPr>
        <w:tblW w:w="9767" w:type="dxa"/>
        <w:jc w:val="left"/>
        <w:tblInd w:w="0" w:type="dxa"/>
        <w:tblLayout w:type="fixed"/>
        <w:tblCellMar>
          <w:top w:w="28" w:type="dxa"/>
          <w:left w:w="28" w:type="dxa"/>
          <w:bottom w:w="28" w:type="dxa"/>
          <w:right w:w="28" w:type="dxa"/>
        </w:tblCellMar>
      </w:tblPr>
      <w:tblGrid>
        <w:gridCol w:w="1068"/>
        <w:gridCol w:w="941"/>
        <w:gridCol w:w="946"/>
        <w:gridCol w:w="109"/>
        <w:gridCol w:w="109"/>
        <w:gridCol w:w="109"/>
        <w:gridCol w:w="211"/>
        <w:gridCol w:w="511"/>
        <w:gridCol w:w="109"/>
        <w:gridCol w:w="109"/>
        <w:gridCol w:w="109"/>
        <w:gridCol w:w="109"/>
        <w:gridCol w:w="211"/>
        <w:gridCol w:w="616"/>
        <w:gridCol w:w="109"/>
        <w:gridCol w:w="109"/>
        <w:gridCol w:w="109"/>
        <w:gridCol w:w="109"/>
        <w:gridCol w:w="209"/>
        <w:gridCol w:w="209"/>
        <w:gridCol w:w="211"/>
        <w:gridCol w:w="109"/>
        <w:gridCol w:w="109"/>
        <w:gridCol w:w="109"/>
        <w:gridCol w:w="211"/>
        <w:gridCol w:w="511"/>
        <w:gridCol w:w="109"/>
        <w:gridCol w:w="109"/>
        <w:gridCol w:w="109"/>
        <w:gridCol w:w="109"/>
        <w:gridCol w:w="211"/>
        <w:gridCol w:w="616"/>
        <w:gridCol w:w="109"/>
        <w:gridCol w:w="109"/>
        <w:gridCol w:w="109"/>
        <w:gridCol w:w="109"/>
        <w:gridCol w:w="203"/>
        <w:gridCol w:w="203"/>
        <w:gridCol w:w="281"/>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(1)Investments in equity securities are recorded in Notes receivable and other non-current assets in the consolidated balance sheets at fair value. Unrealized holding gains and losses for equity securities are recorded in Other income (expense) in the consolidated statements of operations in the current period. During three and six months ended June 30, 2026, the Company recognized unrealized gains of $12.0 million and $36.4 million, respectively, for equity securities held as of June 30, 2026. During three and six months ended June 30, 2025, the Company recognized unrealized gains of $110.7 million and $118.3 million, respectively, for equity securities held as of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Items Measured at Fair Value on a Nonrecurring Basis</w:t>
      </w:r>
    </w:p>
    <w:p>
      <w:pPr>
        <w:pStyle w:val="TextBody"/>
        <w:bidi w:val="0"/>
        <w:spacing w:lineRule="auto" w:line="288" w:before="160" w:after="160"/>
        <w:jc w:val="left"/>
        <w:rPr/>
      </w:pPr>
      <w:r>
        <w:rPr>
          <w:rFonts w:ascii="Times New Roman;serif" w:hAnsi="Times New Roman;serif"/>
          <w:b w:val="false"/>
          <w:i/>
          <w:color w:val="000000"/>
          <w:sz w:val="20"/>
        </w:rPr>
        <w:t>Assets Held and Used</w:t>
      </w:r>
      <w:r>
        <w:rPr>
          <w:color w:val="000000"/>
        </w:rPr>
        <w:t>—</w:t>
      </w:r>
      <w:r>
        <w:rPr>
          <w:rFonts w:ascii="Times New Roman;serif" w:hAnsi="Times New Roman;serif"/>
          <w:b w:val="false"/>
          <w:color w:val="000000"/>
          <w:sz w:val="20"/>
        </w:rPr>
        <w:t>The Company’s long-lived assets are recorded at amortized cost and, if impaired, are adjusted to fair value using Level 3 inputs. The significant unobservable inputs used to determine the fair value of long-lived assets during the three and six months ended June 30, 2026 or 2025 are consistent with those described in note 10 to the consolidated financial statements included in the 2025 Form 10-K.</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There were no other items measured at fair value on a nonrecurring basis during the six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160" w:after="160"/>
        <w:jc w:val="left"/>
        <w:rPr/>
      </w:pPr>
      <w:r>
        <w:rPr>
          <w:rFonts w:ascii="Times New Roman;serif" w:hAnsi="Times New Roman;serif"/>
          <w:b w:val="false"/>
          <w:i/>
          <w:color w:val="000000"/>
          <w:sz w:val="20"/>
        </w:rPr>
        <w:t>Fair Value of Financial Instruments</w:t>
      </w:r>
      <w:r>
        <w:rPr>
          <w:color w:val="000000"/>
        </w:rPr>
        <w:t>—</w:t>
      </w:r>
      <w:r>
        <w:rPr>
          <w:rFonts w:ascii="Times New Roman;serif" w:hAnsi="Times New Roman;serif"/>
          <w:b w:val="false"/>
          <w:color w:val="000000"/>
          <w:sz w:val="20"/>
        </w:rPr>
        <w:t>The Company’s financial instruments for which the carrying value reasonably approximates fair value at June 30, 2026 and December 31, 2025 include cash and cash equivalents, restricted cash, accounts receivable and accounts payable. The Company’s estimates of fair value of its long-term obligations, including the current portion, are based primarily upon reported market values. For long-term debt not actively traded, fair value is estimated using either indicative price quotes or a discounted cash flow analysis using rates for debt with similar terms and maturities. As of June 30, 2026 and December 31, 2025, the carrying value of long-term obligations, including the current portion, was $37.2 billion and $37.2 billion, respectively. As of June 30, 2026, the fair value of long-term obligations, including the current portion, was $35.9 billion, of which $31.3 billion was measured using Level 1 inputs and $4.6 billion was measured using Level 2 inputs. As of December 31, 2025, the fair value of long-term obligations, including the current portion, was $36.1 billion, of which $32.9 billion was measured using Level 1 inputs and $3.2 billion was measured using Level 2 inputs.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Net Investment Hedge</w:t>
      </w:r>
    </w:p>
    <w:p>
      <w:pPr>
        <w:pStyle w:val="TextBody"/>
        <w:bidi w:val="0"/>
        <w:spacing w:lineRule="auto" w:line="288" w:before="160" w:after="283"/>
        <w:jc w:val="left"/>
        <w:rPr/>
      </w:pPr>
      <w:r>
        <w:rPr>
          <w:rFonts w:ascii="Times New Roman;serif" w:hAnsi="Times New Roman;serif"/>
          <w:b w:val="false"/>
          <w:i/>
          <w:color w:val="000000"/>
          <w:sz w:val="20"/>
        </w:rPr>
        <w:t>Foreign Currency Debt—</w:t>
      </w:r>
      <w:r>
        <w:rPr>
          <w:rFonts w:ascii="Times New Roman;serif" w:hAnsi="Times New Roman;serif"/>
          <w:b w:val="false"/>
          <w:color w:val="000000"/>
          <w:sz w:val="20"/>
        </w:rPr>
        <w:t>On June 1, 2025, the Company designated approximately 4.7 billion EUR (approximately $5.3 billion at the designation date) of senior unsecured notes as a non-derivative net investment hedge on the Company’s net investments in its European subsidiaries, whose functional currency is the EUR, to mitigate against the effect of exchange rate fluctuations on the translation of foreign currency balances to the USD.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amounts of the Company's outstanding instruments:</w:t>
      </w:r>
    </w:p>
    <w:tbl>
      <w:tblPr>
        <w:tblW w:w="8914" w:type="dxa"/>
        <w:jc w:val="left"/>
        <w:tblInd w:w="0" w:type="dxa"/>
        <w:tblLayout w:type="fixed"/>
        <w:tblCellMar>
          <w:top w:w="28" w:type="dxa"/>
          <w:left w:w="28" w:type="dxa"/>
          <w:bottom w:w="28" w:type="dxa"/>
          <w:right w:w="28" w:type="dxa"/>
        </w:tblCellMar>
      </w:tblPr>
      <w:tblGrid>
        <w:gridCol w:w="1217"/>
        <w:gridCol w:w="1069"/>
        <w:gridCol w:w="1073"/>
        <w:gridCol w:w="109"/>
        <w:gridCol w:w="109"/>
        <w:gridCol w:w="109"/>
        <w:gridCol w:w="632"/>
        <w:gridCol w:w="632"/>
        <w:gridCol w:w="640"/>
        <w:gridCol w:w="109"/>
        <w:gridCol w:w="109"/>
        <w:gridCol w:w="109"/>
        <w:gridCol w:w="218"/>
        <w:gridCol w:w="794"/>
        <w:gridCol w:w="113"/>
        <w:gridCol w:w="109"/>
        <w:gridCol w:w="109"/>
        <w:gridCol w:w="109"/>
        <w:gridCol w:w="288"/>
        <w:gridCol w:w="1047"/>
        <w:gridCol w:w="210"/>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currency-denominated debt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5,461.6 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(1)During the three and six months ended June 30, 2026 and 2025, the Company recorded $61.4 million, $(204.6) million, $151.0 million and $(204.6) million, respectively, of unrealized foreign currency gains (losses) related to the EUR denominated debt that was designated as a net investment hedge as a foreign currency translation adjustment in Accumulated other comprehensive loss. As of June 30, 2026, includes 4.7 billion EUR ($5.4 billion) of outstanding EUR denominated debt designated as hedges of a portion of the Company’s net investment in foreign operations. This debt matures in fiscal years 2027 through 2034.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8.    INCOME TAXES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provides for income taxes at the end of each interim period based on the estimated effective tax rate (“ETR”) for the full fiscal year. Cumulative adjustments to the Company’s estimate are recorded in the interim period in which a change in the estimated annual ETR is determined. Under the provisions of the Internal Revenue Code of 1986, as amended, the Company may deduct earnings distributed to stockholders against the income generated by its real estate investment trust (“REIT”) operations. The Company continues to be subject to income taxes on the income of its domestic taxable REIT subsidiaries and income taxes in foreign jurisdictions where it conducts operations.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provides valuation allowances if, based on the available evidence, it is more likely than not that some or all of the deferred tax assets will not be realized. Management assesses the available evidence to estimate if sufficient future taxable income will be generated to use the existing deferred tax assets. Valuation allowances may be reversed if, based on changes in facts and circumstances, the net deferred tax assets have been determined to be realizable.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the income tax provision during the three months ended June 30, 2026 was primarily attributable to unrealized gains from equity securities in the United States and the accrual of taxes related to the anticipated repatriation of funds from certain foreign subsidiaries during the three months ended June 30, 2025, partially offset by an increase in earnings in certain foreign jurisdictions during the three months ended June 30, 2026. The increase in the income tax provision during the six months ended June 30, 2026 was primarily attributable to an increase in earnings in certain foreign jurisdictions, partially offset by unrealized gains from equity securities in the United States and taxes related to the sale of the Company’s fiber assets in South Africa (“South Africa Fiber”) during the six months ended June 30, 2025.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total unrecognized tax benefits that would impact the ETR, if recognized, were approximately $134.2 million and $128.6 million, respectively. The amount of unrecognized tax benefits during the three and six months ended June 30, 2026 includes (i) additions to the Company’s existing tax positions of $4.8 million and $6.4 million, respectively, and (ii) additions due to foreign currency exchange rate fluctuations of $2.1 million and $3.0 million, respectively, and for both the three and six months ended June 30, 2026 (iii) reductions of existing tax positions of $2.1 million, (iv) reductions due to the expiration of statue of limitations of $0.3 million and (v) reductions due to settlements of $1.4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the following penalties and income tax-related interest expense during the three and six months ended June 30, 2026 and 2025: </w:t>
      </w:r>
    </w:p>
    <w:tbl>
      <w:tblPr>
        <w:tblW w:w="9136" w:type="dxa"/>
        <w:jc w:val="left"/>
        <w:tblInd w:w="0" w:type="dxa"/>
        <w:tblLayout w:type="fixed"/>
        <w:tblCellMar>
          <w:top w:w="28" w:type="dxa"/>
          <w:left w:w="28" w:type="dxa"/>
          <w:bottom w:w="28" w:type="dxa"/>
          <w:right w:w="28" w:type="dxa"/>
        </w:tblCellMar>
      </w:tblPr>
      <w:tblGrid>
        <w:gridCol w:w="1489"/>
        <w:gridCol w:w="1306"/>
        <w:gridCol w:w="1315"/>
        <w:gridCol w:w="109"/>
        <w:gridCol w:w="109"/>
        <w:gridCol w:w="109"/>
        <w:gridCol w:w="268"/>
        <w:gridCol w:w="517"/>
        <w:gridCol w:w="138"/>
        <w:gridCol w:w="138"/>
        <w:gridCol w:w="138"/>
        <w:gridCol w:w="138"/>
        <w:gridCol w:w="268"/>
        <w:gridCol w:w="517"/>
        <w:gridCol w:w="138"/>
        <w:gridCol w:w="109"/>
        <w:gridCol w:w="109"/>
        <w:gridCol w:w="109"/>
        <w:gridCol w:w="219"/>
        <w:gridCol w:w="531"/>
        <w:gridCol w:w="113"/>
        <w:gridCol w:w="113"/>
        <w:gridCol w:w="113"/>
        <w:gridCol w:w="113"/>
        <w:gridCol w:w="219"/>
        <w:gridCol w:w="531"/>
        <w:gridCol w:w="160"/>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Penalties and income tax-related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total amount of accrued income tax related interest and penalties included in the consolidated balance sheets were $103.0 million and $86.8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9.    STOCK-BASED COMPENSATION </w:t>
      </w:r>
    </w:p>
    <w:p>
      <w:pPr>
        <w:pStyle w:val="TextBody"/>
        <w:bidi w:val="0"/>
        <w:spacing w:lineRule="auto" w:line="288" w:before="0" w:after="160"/>
        <w:jc w:val="left"/>
        <w:rPr/>
      </w:pPr>
      <w:r>
        <w:rPr>
          <w:rFonts w:ascii="Times New Roman;serif" w:hAnsi="Times New Roman;serif"/>
          <w:b w:val="false"/>
          <w:i/>
          <w:color w:val="000000"/>
          <w:sz w:val="20"/>
        </w:rPr>
        <w:t>Summary of Stock-Based Compensation Plans</w:t>
      </w:r>
      <w:r>
        <w:rPr>
          <w:color w:val="000000"/>
        </w:rPr>
        <w:t>—</w:t>
      </w:r>
      <w:r>
        <w:rPr>
          <w:rFonts w:ascii="Times New Roman;serif" w:hAnsi="Times New Roman;serif"/>
          <w:b w:val="false"/>
          <w:color w:val="000000"/>
          <w:sz w:val="20"/>
        </w:rPr>
        <w:t>The Company maintains an equity incentive plan that provides for the grant of stock-based awards to its directors, officers and employees. Until May 20, 2026, the Company’s 2007 Equity Incentive Plan, as amended (the “2007 Plan”), provided for the grant of non-qualified and incentive stock options, as well as restricted stock units, restricted stock and other stock-based awards. The Company’s 2026 Equity Incentive Plan (the “2026 Plan”) was approved by the Company’s stockholders on May 20, 2026, replacing the 2007 Plan, and provides for the grant of equity and equity-based awards, including options (including nonqualified stock options and incentive stock options), restricted stock, restricted stock units and other equity-based awards and cash awards, to employees, directors, consultants and advisors of the Company and its majority-owned subsidiaries.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Exercise prices for non-qualified and incentive stock options are not less than the fair value of the underlying common stock on the date of grant. Equity awards typically vest ratably. Awards granted prior to March 10, 2023 generally vest over four years for time-based restricted stock units (“RSUs”) and stock options. In December 2022, the Company’s Compensation and Human Capital Committee (the “Compensation Committee”) changed the terms of its awards to generally vest over three years. The change in vesting terms is applicable for new awards granted beginning on March 10, 2023 and does not change the vesting terms applicable to grants awarded prior to March 10, 2023. Performance-based restricted stock units (“PSUs”) generally vest over three years. Stock options generally expire ten years from the date of grant. As of June 30, 2026, the Company had the ability to grant stock-based awards with respect to an aggregate of 13.9 million shares of common stock under the 2026 Plan. In addition, the Company maintains an employee stock purchase plan (the “ESPP”) pursuant to which eligible employees may purchase shares of the Company’s common stock on the last day of each bi-annual offering period at a 15% discount from the lower of the closing market value on the first or last day of such offering period. The offering periods run from June 1 through November 30 and from December 1 through May 31 of each year.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recorded the following stock-based compensation expense in selling, general, administrative and development expense:</w:t>
      </w:r>
    </w:p>
    <w:tbl>
      <w:tblPr>
        <w:tblW w:w="8327" w:type="dxa"/>
        <w:jc w:val="left"/>
        <w:tblInd w:w="0" w:type="dxa"/>
        <w:tblLayout w:type="fixed"/>
        <w:tblCellMar>
          <w:top w:w="28" w:type="dxa"/>
          <w:left w:w="28" w:type="dxa"/>
          <w:bottom w:w="28" w:type="dxa"/>
          <w:right w:w="28" w:type="dxa"/>
        </w:tblCellMar>
      </w:tblPr>
      <w:tblGrid>
        <w:gridCol w:w="1185"/>
        <w:gridCol w:w="1040"/>
        <w:gridCol w:w="1045"/>
        <w:gridCol w:w="109"/>
        <w:gridCol w:w="109"/>
        <w:gridCol w:w="109"/>
        <w:gridCol w:w="240"/>
        <w:gridCol w:w="582"/>
        <w:gridCol w:w="124"/>
        <w:gridCol w:w="124"/>
        <w:gridCol w:w="124"/>
        <w:gridCol w:w="124"/>
        <w:gridCol w:w="240"/>
        <w:gridCol w:w="582"/>
        <w:gridCol w:w="124"/>
        <w:gridCol w:w="109"/>
        <w:gridCol w:w="109"/>
        <w:gridCol w:w="109"/>
        <w:gridCol w:w="211"/>
        <w:gridCol w:w="511"/>
        <w:gridCol w:w="109"/>
        <w:gridCol w:w="109"/>
        <w:gridCol w:w="109"/>
        <w:gridCol w:w="109"/>
        <w:gridCol w:w="211"/>
        <w:gridCol w:w="61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(1)For the six months ended June 30, 2025, includes the reversal of $7.1 million of previously recognized stock-based compensation expense associated with awards forfeited in connection with the departure of the Company’s former Executive Vice President and President, APAC due to such role being eliminated. </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0"/>
        </w:rPr>
        <w:t>Stock Options</w:t>
      </w:r>
      <w:r>
        <w:rPr>
          <w:color w:val="000000"/>
        </w:rPr>
        <w:t>—</w:t>
      </w:r>
      <w:r>
        <w:rPr>
          <w:rFonts w:ascii="Times New Roman;serif" w:hAnsi="Times New Roman;serif"/>
          <w:b w:val="false"/>
          <w:color w:val="000000"/>
          <w:sz w:val="20"/>
        </w:rPr>
        <w:t>As of June 30, 2026, there was no unrecognized compensation expense related to unvested stock options.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option activity for the six months ended June 30, 2026 was as follows (shares disclosed in full amounts):</w:t>
      </w:r>
    </w:p>
    <w:tbl>
      <w:tblPr>
        <w:tblW w:w="4750" w:type="dxa"/>
        <w:jc w:val="left"/>
        <w:tblInd w:w="0" w:type="dxa"/>
        <w:tblLayout w:type="fixed"/>
        <w:tblCellMar>
          <w:top w:w="28" w:type="dxa"/>
          <w:left w:w="28" w:type="dxa"/>
          <w:bottom w:w="28" w:type="dxa"/>
          <w:right w:w="28" w:type="dxa"/>
        </w:tblCellMar>
      </w:tblPr>
      <w:tblGrid>
        <w:gridCol w:w="1043"/>
        <w:gridCol w:w="915"/>
        <w:gridCol w:w="921"/>
        <w:gridCol w:w="109"/>
        <w:gridCol w:w="109"/>
        <w:gridCol w:w="109"/>
        <w:gridCol w:w="451"/>
        <w:gridCol w:w="451"/>
        <w:gridCol w:w="642"/>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133,623 </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(133,623)</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0" w:after="160"/>
        <w:jc w:val="left"/>
        <w:rPr/>
      </w:pPr>
      <w:r>
        <w:rPr>
          <w:rFonts w:ascii="Times New Roman;serif" w:hAnsi="Times New Roman;serif"/>
          <w:b w:val="false"/>
          <w:i/>
          <w:color w:val="000000"/>
          <w:sz w:val="20"/>
        </w:rPr>
        <w:t>Restricted Stock Units—</w:t>
      </w:r>
      <w:r>
        <w:rPr>
          <w:rFonts w:ascii="Times New Roman;serif" w:hAnsi="Times New Roman;serif"/>
          <w:b w:val="false"/>
          <w:color w:val="000000"/>
          <w:sz w:val="20"/>
        </w:rPr>
        <w:t>As of June 30, 2026, total unrecognized compensation expense related to unvested RSUs granted under the 2007 Plan and the 2026 Plan was $146.2 million and is expected to be recognized over a weighted average period of approximately two years. Vesting of RSUs is subject generally to the employee’s continued employment or death, disability or qualified retirement (each as defined in the applicable RSU award agreement). RSUs will accrue dividend equivalents prior to vesting, which will be paid out only in respect of shares that actually vest.</w:t>
      </w:r>
    </w:p>
    <w:p>
      <w:pPr>
        <w:pStyle w:val="TextBody"/>
        <w:bidi w:val="0"/>
        <w:spacing w:lineRule="auto" w:line="288" w:before="0" w:after="160"/>
        <w:jc w:val="left"/>
        <w:rPr/>
      </w:pPr>
      <w:r>
        <w:rPr>
          <w:rFonts w:ascii="Times New Roman;serif" w:hAnsi="Times New Roman;serif"/>
          <w:b w:val="false"/>
          <w:i/>
          <w:color w:val="000000"/>
          <w:sz w:val="20"/>
        </w:rPr>
        <w:t>Performance-Based Restricted Stock Units—</w:t>
      </w:r>
      <w:r>
        <w:rPr>
          <w:rFonts w:ascii="Times New Roman;serif" w:hAnsi="Times New Roman;serif"/>
          <w:b w:val="false"/>
          <w:color w:val="000000"/>
          <w:sz w:val="20"/>
        </w:rPr>
        <w:t>During the six months ended June 30, 2026, the Compensation Committee granted an aggregate of 100,692 PSUs (the “2026 PSUs”) to its executive officers and established the performance and market metrics for these awards. During the years ended December 31, 2025 and 2024, the Compensation Committee granted an aggregate of 86,911 PSUs (the “2025 PSUs”) and 87,550 PSUs (the “2024 PSUs”), respectively, to its executive officers and established the performance metrics for these awards. Threshold, target and maximum parameters were established for the metrics for a three-year performance period with respect to each of the 2026 PSUs, the 2025 PSUs and the 2024 PSUs and will be used to calculate the number of shares that will be issuable when each award vests, which may range from zero to 200% of the target amounts. At the end of each three-year performance period, the number of shares that vest will depend on the degree of achievement against the pre-established goals. PSUs will be paid out in common stock at the end of each performance period, subject generally to the executive’s continued employment or death, disability or qualified retirement (each as defined in the applicable PSU award agreement). PSUs will accrue dividend equivalents prior to vesting, which will be paid out only in respect of shares that actually vest.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2026 PSUs, the 2025 PSUs and the 2024 PSUs include a market condition component based on relative total shareholder return as measured against the REIT constituents included in the S&amp;P 500 Index. For the component of the 2026 PSUs, the 2025 PSUs and the 2024 PSUs subject to a market condition, fair value is determined using a Monte Carlo simulation model, which uses multiple input variables to determine the probability of satisfying the market condition requirements. The grant date fair value of the market condition component of the 2026 PSUs, the 2025 PSUs and the 2024 PSUs is $211.01, $286.21 and $216.11, respectively.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Key assumptions used to apply this pricing model were as follows:</w:t>
      </w:r>
    </w:p>
    <w:tbl>
      <w:tblPr>
        <w:tblW w:w="5562"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307"/>
        <w:gridCol w:w="309"/>
        <w:gridCol w:w="271"/>
        <w:gridCol w:w="109"/>
        <w:gridCol w:w="109"/>
        <w:gridCol w:w="109"/>
        <w:gridCol w:w="307"/>
        <w:gridCol w:w="309"/>
        <w:gridCol w:w="271"/>
        <w:gridCol w:w="109"/>
        <w:gridCol w:w="109"/>
        <w:gridCol w:w="109"/>
        <w:gridCol w:w="307"/>
        <w:gridCol w:w="309"/>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i/>
          <w:color w:val="000000"/>
          <w:sz w:val="20"/>
        </w:rPr>
        <w:t>Restricted Stock Units and Performance-Based Restricted Stock Units</w:t>
      </w:r>
      <w:r>
        <w:rPr>
          <w:color w:val="000000"/>
        </w:rPr>
        <w:t>—</w:t>
      </w:r>
      <w:r>
        <w:rPr>
          <w:rFonts w:ascii="Times New Roman;serif" w:hAnsi="Times New Roman;serif"/>
          <w:b w:val="false"/>
          <w:color w:val="000000"/>
          <w:sz w:val="20"/>
        </w:rPr>
        <w:t>The Company’s RSU and PSU activity for the six months ended June 30, 2026 was as follows (shares disclosed in full amounts):</w:t>
      </w:r>
      <w:r>
        <w:rPr>
          <w:color w:val="000000"/>
        </w:rPr>
        <w:t> </w:t>
      </w:r>
    </w:p>
    <w:tbl>
      <w:tblPr>
        <w:tblW w:w="6186" w:type="dxa"/>
        <w:jc w:val="left"/>
        <w:tblInd w:w="0" w:type="dxa"/>
        <w:tblLayout w:type="fixed"/>
        <w:tblCellMar>
          <w:top w:w="28" w:type="dxa"/>
          <w:left w:w="28" w:type="dxa"/>
          <w:bottom w:w="28" w:type="dxa"/>
          <w:right w:w="28" w:type="dxa"/>
        </w:tblCellMar>
      </w:tblPr>
      <w:tblGrid>
        <w:gridCol w:w="1304"/>
        <w:gridCol w:w="1144"/>
        <w:gridCol w:w="1151"/>
        <w:gridCol w:w="488"/>
        <w:gridCol w:w="488"/>
        <w:gridCol w:w="166"/>
        <w:gridCol w:w="109"/>
        <w:gridCol w:w="109"/>
        <w:gridCol w:w="109"/>
        <w:gridCol w:w="449"/>
        <w:gridCol w:w="451"/>
        <w:gridCol w:w="218"/>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2026 (1)</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1,283,669 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333,401 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Released (3)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1,199,374 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264,995 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deferred as of June 30, 2026 (4)</w:t>
            </w:r>
          </w:p>
        </w:tc>
        <w:tc>
          <w:tcPr>
            <w:tcW w:w="9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20,358 </w:t>
            </w:r>
          </w:p>
        </w:tc>
        <w:tc>
          <w:tcPr>
            <w:tcW w:w="1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(1)PSUs consist of the target number of shares issuable at the end of the three-year performance period for the outstanding 2025 PSUs and the outstanding 2024 PSUs, or 86,911 shares and 77,392 shares, respectively, and the shares issuable at the end of the three-year performance period for the PSUs granted in 2023 (the “2023 PSUs”) based on achievement against the performance metrics for the three-year performance period, or 169,098 shares.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(2)PSUs consist of the target number of shares issuable at the end of the three-year performance period for the 2026 PSUs, or 100,692 shares.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(3)PSUs consist of shares vested pursuant to the 2023 PSUs. There are no additional shares to be earned related to the 2023 PSUs.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(4)Vested and deferred RSUs are related to deferred compensation for certain former employees.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$8.8 million and $11.1 million in stock-based compensation expense for equity awards in which the performance goals have been established and were probable of being achieved. The remaining unrecognized compensation expense related to these awards at June 30, 2026 was $9.9 million based on the Company’s current assessment of the probability of achieving the performance goals. The weighted average period over which the cost will be recognized is approximately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10.    EQUITY</w:t>
      </w:r>
    </w:p>
    <w:p>
      <w:pPr>
        <w:pStyle w:val="TextBody"/>
        <w:bidi w:val="0"/>
        <w:spacing w:lineRule="auto" w:line="288" w:before="0" w:after="160"/>
        <w:jc w:val="left"/>
        <w:rPr/>
      </w:pPr>
      <w:r>
        <w:rPr>
          <w:rFonts w:ascii="Times New Roman;serif" w:hAnsi="Times New Roman;serif"/>
          <w:b w:val="false"/>
          <w:i/>
          <w:color w:val="000000"/>
          <w:sz w:val="20"/>
        </w:rPr>
        <w:t>Sales of Equity Securities</w:t>
      </w:r>
      <w:r>
        <w:rPr>
          <w:color w:val="000000"/>
        </w:rPr>
        <w:t>—</w:t>
      </w:r>
      <w:r>
        <w:rPr>
          <w:rFonts w:ascii="Times New Roman;serif" w:hAnsi="Times New Roman;serif"/>
          <w:b w:val="false"/>
          <w:color w:val="000000"/>
          <w:sz w:val="20"/>
        </w:rPr>
        <w:t>The Company receives proceeds from sales of its equity securities pursuant to the ESPP and upon exercise of stock options granted under the 2007 Plan. During the six months ended June 30, 2026, the Company received an aggregate of $21.0 million in proceeds upon exercises of stock options and sales pursuant to the ESPP.</w:t>
      </w:r>
    </w:p>
    <w:p>
      <w:pPr>
        <w:pStyle w:val="TextBody"/>
        <w:bidi w:val="0"/>
        <w:spacing w:lineRule="auto" w:line="288" w:before="0" w:after="160"/>
        <w:jc w:val="left"/>
        <w:rPr/>
      </w:pPr>
      <w:r>
        <w:rPr>
          <w:rFonts w:ascii="Times New Roman;serif" w:hAnsi="Times New Roman;serif"/>
          <w:b w:val="false"/>
          <w:i/>
          <w:color w:val="000000"/>
          <w:sz w:val="20"/>
        </w:rPr>
        <w:t>Stock Repurchase Program</w:t>
      </w:r>
      <w:r>
        <w:rPr>
          <w:color w:val="000000"/>
        </w:rPr>
        <w:t>—</w:t>
      </w:r>
      <w:r>
        <w:rPr>
          <w:rFonts w:ascii="Times New Roman;serif" w:hAnsi="Times New Roman;serif"/>
          <w:b w:val="false"/>
          <w:color w:val="000000"/>
          <w:sz w:val="20"/>
        </w:rPr>
        <w:t>In December 2017, the Board of Directors approved a stock repurchase program, pursuant to which the Company is authorized to repurchase up to $2.0 billion of its common stock (the “Buyback Program”).</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Under the Buyback Program, the Company is authorized to purchase shares from time to time through open market purchases, in privately negotiated transactions not to exceed market prices, and (with respect to such open market purchases) pursuant to plans adopted in accordance with Rule 10b5-1 under the Securities Exchange Act of 1934, as amended (the “Exchange Act”), in accordance with securities laws and other legal requirements and subject to market conditions and other factors.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repurchased 1,164,378 shares of its common stock for an aggregate of $202.9 million, including commissions and fees, under the Buyback Program. As of June 30, 2026, the Company has repurchased a total of 3,105,690 shares of its common stock under the Buyback Program for an aggregate of $550.0 million, including commissions and fees.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expects to fund any further repurchases of its common stock through a combination of cash on hand, cash generated by operations and borrowings under its credit facilities. Repurchases under the Buyback Program are subject to, among other things, the Company having available cash to fund the repurchases.</w:t>
      </w:r>
    </w:p>
    <w:p>
      <w:pPr>
        <w:pStyle w:val="TextBody"/>
        <w:bidi w:val="0"/>
        <w:spacing w:lineRule="auto" w:line="288" w:before="0" w:after="0"/>
        <w:jc w:val="left"/>
        <w:rPr/>
      </w:pPr>
      <w:r>
        <w:rPr>
          <w:rFonts w:ascii="Times New Roman;serif" w:hAnsi="Times New Roman;serif"/>
          <w:b w:val="false"/>
          <w:i/>
          <w:color w:val="000000"/>
          <w:sz w:val="20"/>
        </w:rPr>
        <w:t>Distributions</w:t>
      </w:r>
      <w:r>
        <w:rPr>
          <w:color w:val="000000"/>
        </w:rPr>
        <w:t>—</w:t>
      </w:r>
      <w:r>
        <w:rPr>
          <w:rFonts w:ascii="Times New Roman;serif" w:hAnsi="Times New Roman;serif"/>
          <w:b w:val="false"/>
          <w:color w:val="000000"/>
          <w:sz w:val="20"/>
        </w:rPr>
        <w:t>During the six months ended June 30, 2026, the Company declared or paid the following cash distributions (per share data reflects actual amounts):</w:t>
      </w:r>
    </w:p>
    <w:tbl>
      <w:tblPr>
        <w:tblW w:w="10205" w:type="dxa"/>
        <w:jc w:val="center"/>
        <w:tblInd w:w="0" w:type="dxa"/>
        <w:tblLayout w:type="fixed"/>
        <w:tblCellMar>
          <w:top w:w="28" w:type="dxa"/>
          <w:left w:w="28" w:type="dxa"/>
          <w:bottom w:w="28" w:type="dxa"/>
          <w:right w:w="28" w:type="dxa"/>
        </w:tblCellMar>
      </w:tblPr>
      <w:tblGrid>
        <w:gridCol w:w="572"/>
        <w:gridCol w:w="505"/>
        <w:gridCol w:w="506"/>
        <w:gridCol w:w="109"/>
        <w:gridCol w:w="109"/>
        <w:gridCol w:w="109"/>
        <w:gridCol w:w="492"/>
        <w:gridCol w:w="491"/>
        <w:gridCol w:w="493"/>
        <w:gridCol w:w="109"/>
        <w:gridCol w:w="109"/>
        <w:gridCol w:w="109"/>
        <w:gridCol w:w="557"/>
        <w:gridCol w:w="556"/>
        <w:gridCol w:w="558"/>
        <w:gridCol w:w="109"/>
        <w:gridCol w:w="109"/>
        <w:gridCol w:w="109"/>
        <w:gridCol w:w="427"/>
        <w:gridCol w:w="1037"/>
        <w:gridCol w:w="223"/>
        <w:gridCol w:w="109"/>
        <w:gridCol w:w="109"/>
        <w:gridCol w:w="109"/>
        <w:gridCol w:w="531"/>
        <w:gridCol w:w="1554"/>
        <w:gridCol w:w="395"/>
      </w:tblGrid>
      <w:tr>
        <w:trPr/>
        <w:tc>
          <w:tcPr>
            <w:tcW w:w="57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Payment Amount (1)</w:t>
            </w:r>
          </w:p>
        </w:tc>
      </w:tr>
      <w:tr>
        <w:trPr/>
        <w:tc>
          <w:tcPr>
            <w:tcW w:w="15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(1)Does not include amounts accrued for distributions payable related to unvested restricted stock units.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declared or paid the following cash distributions (per share data reflects actual amounts): </w:t>
      </w:r>
    </w:p>
    <w:tbl>
      <w:tblPr>
        <w:tblW w:w="10205" w:type="dxa"/>
        <w:jc w:val="left"/>
        <w:tblInd w:w="0" w:type="dxa"/>
        <w:tblLayout w:type="fixed"/>
        <w:tblCellMar>
          <w:top w:w="28" w:type="dxa"/>
          <w:left w:w="28" w:type="dxa"/>
          <w:bottom w:w="28" w:type="dxa"/>
          <w:right w:w="28" w:type="dxa"/>
        </w:tblCellMar>
      </w:tblPr>
      <w:tblGrid>
        <w:gridCol w:w="572"/>
        <w:gridCol w:w="505"/>
        <w:gridCol w:w="506"/>
        <w:gridCol w:w="109"/>
        <w:gridCol w:w="109"/>
        <w:gridCol w:w="109"/>
        <w:gridCol w:w="492"/>
        <w:gridCol w:w="491"/>
        <w:gridCol w:w="493"/>
        <w:gridCol w:w="109"/>
        <w:gridCol w:w="109"/>
        <w:gridCol w:w="109"/>
        <w:gridCol w:w="557"/>
        <w:gridCol w:w="556"/>
        <w:gridCol w:w="558"/>
        <w:gridCol w:w="109"/>
        <w:gridCol w:w="109"/>
        <w:gridCol w:w="109"/>
        <w:gridCol w:w="427"/>
        <w:gridCol w:w="1037"/>
        <w:gridCol w:w="223"/>
        <w:gridCol w:w="109"/>
        <w:gridCol w:w="109"/>
        <w:gridCol w:w="109"/>
        <w:gridCol w:w="531"/>
        <w:gridCol w:w="1554"/>
        <w:gridCol w:w="395"/>
      </w:tblGrid>
      <w:tr>
        <w:trPr/>
        <w:tc>
          <w:tcPr>
            <w:tcW w:w="57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Payment Amount (1)</w:t>
            </w:r>
          </w:p>
        </w:tc>
      </w:tr>
      <w:tr>
        <w:trPr/>
        <w:tc>
          <w:tcPr>
            <w:tcW w:w="15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(1)Does not include amounts accrued for distributions payable related to unvested restricted stock units.</w:t>
      </w:r>
    </w:p>
    <w:p>
      <w:pPr>
        <w:pStyle w:val="TextBody"/>
        <w:bidi w:val="0"/>
        <w:spacing w:lineRule="auto" w:line="288" w:before="0" w:after="160"/>
        <w:jc w:val="left"/>
        <w:rPr/>
      </w:pPr>
      <w:r>
        <w:rPr>
          <w:rFonts w:ascii="Times New Roman;serif" w:hAnsi="Times New Roman;serif"/>
          <w:b w:val="false"/>
          <w:color w:val="000000"/>
          <w:sz w:val="20"/>
        </w:rPr>
        <w:t>The Company accrues distributions on unvested restricted stock units, which are payable upon vesting. As of June 30, 2026, the amount accrued for distributions payable related to unvested restricted stock units was $11.8 million. During the six months ended June 30, 2026 and 2025, the Company paid $14.3 million and $11.8 million of distributions upon the vesting of restricted stock units, respectively. To maintain its qualification for taxation as a REIT, the Company expects to continue paying distributions, the amount, timing and frequency of which will be determined, and subject to adjustment, by the Company’s Board of Directors.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11.    NONCONTROLLING INTERESTS </w:t>
      </w:r>
    </w:p>
    <w:p>
      <w:pPr>
        <w:pStyle w:val="TextBody"/>
        <w:bidi w:val="0"/>
        <w:spacing w:lineRule="auto" w:line="288" w:before="160" w:after="160"/>
        <w:jc w:val="left"/>
        <w:rPr/>
      </w:pPr>
      <w:r>
        <w:rPr>
          <w:rFonts w:ascii="Times New Roman;serif" w:hAnsi="Times New Roman;serif"/>
          <w:b w:val="false"/>
          <w:i/>
          <w:color w:val="000000"/>
          <w:sz w:val="20"/>
        </w:rPr>
        <w:t>European Interests—</w:t>
      </w:r>
      <w:r>
        <w:rPr>
          <w:rFonts w:ascii="Times New Roman;serif" w:hAnsi="Times New Roman;serif"/>
          <w:b w:val="false"/>
          <w:color w:val="000000"/>
          <w:sz w:val="20"/>
        </w:rPr>
        <w:t>As of June 30, 2026, ATC Europe consists of the Company’s operations in France, Germany and Spain. The Company currently holds a 52% controlling interest in ATC Europe, with Caisse de dépôt et placement du Québec (“La Caisse”) and Allianz insurance companies and funds managed by Allianz Capital Partners GmbH, including the Allianz European Infrastructure Fund (collectively, “Allianz”) holding 30% and 18% noncontrolling interests, respectively. ATC Europe holds a 100% interest in the subsidiaries that consist of the Company’s operations in France and an 87% and an 83% controlling interest in the subsidiaries that consist of the Company’s operations in Germany and Spain, respectively, with PGGM holding a 13% and a 17% noncontrolling interest in each respective subsidiary.</w:t>
      </w:r>
    </w:p>
    <w:p>
      <w:pPr>
        <w:pStyle w:val="TextBody"/>
        <w:bidi w:val="0"/>
        <w:spacing w:lineRule="auto" w:line="288" w:before="160" w:after="160"/>
        <w:jc w:val="left"/>
        <w:rPr/>
      </w:pPr>
      <w:r>
        <w:rPr>
          <w:rFonts w:ascii="Times New Roman;serif" w:hAnsi="Times New Roman;serif"/>
          <w:b w:val="false"/>
          <w:i/>
          <w:color w:val="000000"/>
          <w:sz w:val="20"/>
        </w:rPr>
        <w:t>Bangladesh Partnership</w:t>
      </w:r>
      <w:r>
        <w:rPr>
          <w:color w:val="000000"/>
        </w:rPr>
        <w:t>—</w:t>
      </w:r>
      <w:r>
        <w:rPr>
          <w:rFonts w:ascii="Times New Roman;serif" w:hAnsi="Times New Roman;serif"/>
          <w:b w:val="false"/>
          <w:color w:val="000000"/>
          <w:sz w:val="20"/>
        </w:rPr>
        <w:t xml:space="preserve">In </w:t>
      </w:r>
      <w:r>
        <w:rPr>
          <w:rFonts w:ascii="Times New Roman;serif" w:hAnsi="Times New Roman;serif"/>
          <w:b w:val="false"/>
          <w:color w:val="000000"/>
          <w:sz w:val="20"/>
          <w:shd w:fill="FFFFFF" w:val="clear"/>
        </w:rPr>
        <w:t>2021</w:t>
      </w:r>
      <w:r>
        <w:rPr>
          <w:rFonts w:ascii="Times New Roman;serif" w:hAnsi="Times New Roman;serif"/>
          <w:b w:val="false"/>
          <w:color w:val="000000"/>
          <w:sz w:val="20"/>
        </w:rPr>
        <w:t>, the Company acquired a 51% controlling interest in KTBL. Confidence Tower Holdings Ltd. (“Confidence Group”) held a 49% noncontrolling interest in KTBL. On June 29, 2026, the Company completed the sale of its interest in KTBL to Confidence Group.</w:t>
      </w:r>
    </w:p>
    <w:p>
      <w:pPr>
        <w:pStyle w:val="TextBody"/>
        <w:bidi w:val="0"/>
        <w:spacing w:lineRule="auto" w:line="288" w:before="160" w:after="160"/>
        <w:jc w:val="left"/>
        <w:rPr/>
      </w:pPr>
      <w:r>
        <w:rPr>
          <w:rFonts w:ascii="Times New Roman;serif" w:hAnsi="Times New Roman;serif"/>
          <w:b w:val="false"/>
          <w:i/>
          <w:color w:val="000000"/>
          <w:sz w:val="20"/>
        </w:rPr>
        <w:t>Stonepeak Transaction</w:t>
      </w:r>
      <w:r>
        <w:rPr>
          <w:color w:val="000000"/>
        </w:rPr>
        <w:t>—</w:t>
      </w:r>
      <w:r>
        <w:rPr>
          <w:rFonts w:ascii="Times New Roman;serif" w:hAnsi="Times New Roman;serif"/>
          <w:b w:val="false"/>
          <w:color w:val="000000"/>
          <w:sz w:val="20"/>
        </w:rPr>
        <w:t>In 2022, the Company entered into agreements pursuant to which certain investment vehicles affiliated with Stonepeak Partners LP (such investment vehicles, collectively, “Stonepeak”) acquired a noncontrolling ownership interest in the Company’s U.S. data center business, through an investment in common equity and mandatorily convertible preferred equity.</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holds a common equity interest of approximately 71% in its U.S. data center business, with Stonepeak holding approximately 29% of the outstanding common equity and 100% of the outstanding mandatorily convertible preferred equity. On a fully converted basis, which is expected to occur in August 2026, and on the basis of the currently outstanding equity, the Company will hold a controlling ownership interest of approximately 64%, with Stonepeak holding approximately 36%. The mandatorily convertible preferred equity, which accrues dividends at 5.0% through the August 2026 conversion date, will convert into common equity on a one for one basis, subject to adjustment that will be measured upon conversion.</w:t>
      </w:r>
    </w:p>
    <w:p>
      <w:pPr>
        <w:pStyle w:val="TextBody"/>
        <w:bidi w:val="0"/>
        <w:spacing w:lineRule="auto" w:line="288" w:before="160" w:after="160"/>
        <w:jc w:val="left"/>
        <w:rPr/>
      </w:pPr>
      <w:r>
        <w:rPr>
          <w:rFonts w:ascii="Times New Roman;serif" w:hAnsi="Times New Roman;serif"/>
          <w:b w:val="false"/>
          <w:i/>
          <w:color w:val="000000"/>
          <w:sz w:val="20"/>
          <w:shd w:fill="FFFFFF" w:val="clear"/>
        </w:rPr>
        <w:t>Dividends to noncontrolling interests—</w:t>
      </w:r>
      <w:r>
        <w:rPr>
          <w:rFonts w:ascii="Times New Roman;serif" w:hAnsi="Times New Roman;serif"/>
          <w:b w:val="false"/>
          <w:color w:val="000000"/>
          <w:sz w:val="20"/>
          <w:shd w:fill="FFFFFF" w:val="clear"/>
        </w:rPr>
        <w:t xml:space="preserve">Certain of the Company’s subsidiaries may, from time to time, declare dividends. </w:t>
      </w:r>
      <w:r>
        <w:rPr>
          <w:rFonts w:ascii="Times New Roman;serif" w:hAnsi="Times New Roman;serif"/>
          <w:b w:val="false"/>
          <w:color w:val="000000"/>
          <w:sz w:val="20"/>
        </w:rPr>
        <w:t xml:space="preserve">During the six months ended June 30, 2026, the Company’s U.S. data center business declared distributions of $22.8 million related to the outstanding Stonepeak mandatorily convertible preferred equity (the “Stonepeak Preferred Distributions”). As of June 30, 2026, the amount accrued for Stonepeak Preferred Distributions was $11.5 million.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ownership agreement with Stonepeak, the Company’s U.S. data center business distributes common dividends to the Company and to Stonepeak in proportion to their respective equity interests in the Company’s U.S. data center business (the “Stonepeak Common Dividend”) on a quarterly basis. During the six months ended June 30, 2026, the Company’s U.S. data center business declared and paid distributions of $36.4 million, related to the Stonepeak Common Dividend.</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pursuant to the terms of the ownership agreements, ATC Europe C.V., one of the Company’s subsidiaries in the Netherlands, declared and paid a dividend of 41.4 million EUR (approximately $47.1 million at the date of payment) to the Company, La Caisse and Allianz in proportion to their respective equity interests in ATC Europe C.V.</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pursuant to the terms of the ownership agreements, AT Iberia C.V., one of the Company’s subsidiaries in Spain, declared and paid a dividend of 67.6 million EUR (approximately $77.0 million at the date of payment) to ATC Europe and PGGM in proportion to their respective equity interests in AT Iberia C.V.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changes in noncontrolling interests were as follows:</w:t>
      </w:r>
    </w:p>
    <w:tbl>
      <w:tblPr>
        <w:tblW w:w="10205" w:type="dxa"/>
        <w:jc w:val="left"/>
        <w:tblInd w:w="0" w:type="dxa"/>
        <w:tblLayout w:type="fixed"/>
        <w:tblCellMar>
          <w:top w:w="28" w:type="dxa"/>
          <w:left w:w="28" w:type="dxa"/>
          <w:bottom w:w="28" w:type="dxa"/>
          <w:right w:w="28" w:type="dxa"/>
        </w:tblCellMar>
      </w:tblPr>
      <w:tblGrid>
        <w:gridCol w:w="2591"/>
        <w:gridCol w:w="2254"/>
        <w:gridCol w:w="2270"/>
        <w:gridCol w:w="109"/>
        <w:gridCol w:w="109"/>
        <w:gridCol w:w="109"/>
        <w:gridCol w:w="211"/>
        <w:gridCol w:w="766"/>
        <w:gridCol w:w="109"/>
        <w:gridCol w:w="109"/>
        <w:gridCol w:w="109"/>
        <w:gridCol w:w="109"/>
        <w:gridCol w:w="211"/>
        <w:gridCol w:w="766"/>
        <w:gridCol w:w="109"/>
        <w:gridCol w:w="109"/>
        <w:gridCol w:w="155"/>
      </w:tblGrid>
      <w:tr>
        <w:trPr/>
        <w:tc>
          <w:tcPr>
            <w:tcW w:w="2591"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January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sale of Bangladesh partnership on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attributable to noncontrolling interests,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12.    EARNINGS PER COMMON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basic and diluted net income per common share computational data (shares in thousands, except per share data): </w:t>
      </w:r>
    </w:p>
    <w:tbl>
      <w:tblPr>
        <w:tblW w:w="10205" w:type="dxa"/>
        <w:jc w:val="left"/>
        <w:tblInd w:w="0" w:type="dxa"/>
        <w:tblLayout w:type="fixed"/>
        <w:tblCellMar>
          <w:top w:w="28" w:type="dxa"/>
          <w:left w:w="28" w:type="dxa"/>
          <w:bottom w:w="28" w:type="dxa"/>
          <w:right w:w="28" w:type="dxa"/>
        </w:tblCellMar>
      </w:tblPr>
      <w:tblGrid>
        <w:gridCol w:w="1785"/>
        <w:gridCol w:w="1567"/>
        <w:gridCol w:w="1572"/>
        <w:gridCol w:w="109"/>
        <w:gridCol w:w="109"/>
        <w:gridCol w:w="109"/>
        <w:gridCol w:w="214"/>
        <w:gridCol w:w="625"/>
        <w:gridCol w:w="110"/>
        <w:gridCol w:w="110"/>
        <w:gridCol w:w="110"/>
        <w:gridCol w:w="110"/>
        <w:gridCol w:w="214"/>
        <w:gridCol w:w="625"/>
        <w:gridCol w:w="110"/>
        <w:gridCol w:w="109"/>
        <w:gridCol w:w="109"/>
        <w:gridCol w:w="109"/>
        <w:gridCol w:w="211"/>
        <w:gridCol w:w="766"/>
        <w:gridCol w:w="109"/>
        <w:gridCol w:w="109"/>
        <w:gridCol w:w="109"/>
        <w:gridCol w:w="109"/>
        <w:gridCol w:w="211"/>
        <w:gridCol w:w="616"/>
        <w:gridCol w:w="159"/>
      </w:tblGrid>
      <w:tr>
        <w:trPr/>
        <w:tc>
          <w:tcPr>
            <w:tcW w:w="178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American Tower Corporation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465,938 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468,178 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467,909 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466,265 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468,791 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468,717 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American Tower Corporation common stockholders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American Tower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20"/>
        </w:rPr>
        <w:t>Shares Excluded From Dilutive Effect</w:t>
      </w:r>
      <w:r>
        <w:rPr>
          <w:color w:val="000000"/>
        </w:rPr>
        <w:t>—</w:t>
      </w:r>
      <w:r>
        <w:rPr>
          <w:rFonts w:ascii="Times New Roman;serif" w:hAnsi="Times New Roman;serif"/>
          <w:b w:val="false"/>
          <w:color w:val="000000"/>
          <w:sz w:val="20"/>
        </w:rPr>
        <w:t>The following shares were not included in the computation of diluted earnings per share because the effect would be anti-dilutive (in thousands, on a weighted average basis)</w:t>
      </w:r>
    </w:p>
    <w:tbl>
      <w:tblPr>
        <w:tblW w:w="6896"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13.    COMMITMENTS AND CONTINGENCIES </w:t>
      </w:r>
    </w:p>
    <w:p>
      <w:pPr>
        <w:pStyle w:val="TextBody"/>
        <w:bidi w:val="0"/>
        <w:spacing w:lineRule="auto" w:line="288" w:before="0" w:after="160"/>
        <w:jc w:val="left"/>
        <w:rPr/>
      </w:pP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The Company periodically becomes involved in various claims and lawsuits that are incidental to its business. While the Company’s management, after consultation with counsel, currently believes the ultimate outcome of these legal proceedings, individually and in the aggregate, will not have a material adverse impact on its consolidated financial position, results of operations or liquidity, litigation is subject to inherent uncertainties. Were an unfavorable ruling to occur, there exists the possibility of a material adverse impact on the Company’s financial condition and results of operations.</w:t>
      </w:r>
    </w:p>
    <w:p>
      <w:pPr>
        <w:pStyle w:val="TextBody"/>
        <w:bidi w:val="0"/>
        <w:spacing w:lineRule="auto" w:line="288" w:before="0" w:after="160"/>
        <w:jc w:val="left"/>
        <w:rPr/>
      </w:pPr>
      <w:r>
        <w:rPr>
          <w:rFonts w:ascii="Times New Roman;serif" w:hAnsi="Times New Roman;serif"/>
          <w:b w:val="false"/>
          <w:i/>
          <w:color w:val="000000"/>
          <w:sz w:val="20"/>
        </w:rPr>
        <w:t>Verizon Transaction</w:t>
      </w:r>
      <w:r>
        <w:rPr>
          <w:color w:val="000000"/>
        </w:rPr>
        <w:t>—</w:t>
      </w:r>
      <w:r>
        <w:rPr>
          <w:rFonts w:ascii="Times New Roman;serif" w:hAnsi="Times New Roman;serif"/>
          <w:b w:val="false"/>
          <w:color w:val="000000"/>
          <w:sz w:val="20"/>
        </w:rPr>
        <w:t xml:space="preserve">In March 2015, the Company entered into an agreement with various operating entities of Verizon Communications Inc. (“Verizon”) that currently provides for the lease, sublease or management of approximately 11,100 wireless communications sites, which commenced on March 27, 2015. The average term of the lease or sublease for all communications sites at the inception of the agreement was approximately 28 years, assuming renewals or extensions of the underlying ground leases for the sites. The Company has the option to purchase the leased sites in tranches, subject to the applicable lease, sublease or management rights upon its scheduled expiration. Each tower is assigned to an annual tranche, ranging from 2034 to 2047, which represents the outside expiration date for the sublease rights to the towers in that tranche. The purchase price for each tranche is a fixed amount stated in the lease for such tranche plus the fair market value of certain alterations made to the related towers. The aggregate purchase option price for the towers leased and subleased is approximately $5.0 billion. Verizon occupied the sites as a tenant for an initial term of ten years and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exercised its first renewal option for a five-year term. Verizon has seven optional successive five-year terms remaining; each such term shall be governed by standard master lease agreement terms established as a part of the transaction.</w:t>
      </w:r>
    </w:p>
    <w:p>
      <w:pPr>
        <w:pStyle w:val="TextBody"/>
        <w:bidi w:val="0"/>
        <w:spacing w:lineRule="auto" w:line="288" w:before="0" w:after="160"/>
        <w:jc w:val="left"/>
        <w:rPr/>
      </w:pPr>
      <w:r>
        <w:rPr>
          <w:rFonts w:ascii="Times New Roman;serif" w:hAnsi="Times New Roman;serif"/>
          <w:b w:val="false"/>
          <w:i/>
          <w:color w:val="000000"/>
          <w:sz w:val="20"/>
        </w:rPr>
        <w:t>AT&amp;T Transaction</w:t>
      </w:r>
      <w:r>
        <w:rPr>
          <w:color w:val="000000"/>
        </w:rPr>
        <w:t>—</w:t>
      </w:r>
      <w:r>
        <w:rPr>
          <w:rFonts w:ascii="Times New Roman;serif" w:hAnsi="Times New Roman;serif"/>
          <w:b w:val="false"/>
          <w:color w:val="000000"/>
          <w:sz w:val="20"/>
        </w:rPr>
        <w:t xml:space="preserve">The Company has an agreement with SBC Communications Inc., a predecessor entity to AT&amp;T Inc. (“AT&amp;T”), that currently provides for the lease or sublease of approximately 1,500 towers, which commenced between December 2000 and August 2004. Substantially all of the towers are part of the securitization transactions completed in March 2018 and March 2023 (together, the “Trust Securitization”). The average term of the lease or sublease for all sites at the inception of the agreement was approximately 27 years, assuming renewals or extensions of the underlying ground leases for the sites. The Company has the option to purchase the sites subject to the applicable lease or sublease upon its expiration. Each tower is assigned to an annual tranche, ranging from 2013 to 2032, which represents the outside expiration date for the sublease rights to that tower. The purchase price for each site is a fixed amount stated in the lease for that site plus the fair market value of certain alterations made to the related tower by AT&amp;T. As of June 30, 2026, the Company has purchased an aggregate of approximately 900 of the subleased towers which are subject to the applicable agreement, including 120 towers purchased during the six months ended June 30, 2026 for an aggregate purchase price of $102.1 million. The aggregate purchase option price for the remaining towers leased and subleased is $1.1 billion and includes per annum accretion through the applicable expiration of the lease or sublease of a site. For the applicable sites, AT&amp;T has the right to continue to lease space subject to a monthly fee, which shall escalate in accordance with the standard master lease agreement for the remainder of AT&amp;T’s tenancy. AT&amp;T shall have the right to renew each lease for up to five successive five-year terms. </w:t>
      </w:r>
    </w:p>
    <w:p>
      <w:pPr>
        <w:pStyle w:val="TextBody"/>
        <w:bidi w:val="0"/>
        <w:spacing w:lineRule="auto" w:line="288" w:before="0" w:after="160"/>
        <w:jc w:val="left"/>
        <w:rPr/>
      </w:pPr>
      <w:r>
        <w:rPr>
          <w:rFonts w:ascii="Times New Roman;serif" w:hAnsi="Times New Roman;serif"/>
          <w:b w:val="false"/>
          <w:i/>
          <w:color w:val="000000"/>
          <w:sz w:val="20"/>
        </w:rPr>
        <w:t>Other Contingencies</w:t>
      </w:r>
      <w:r>
        <w:rPr>
          <w:color w:val="000000"/>
        </w:rPr>
        <w:t>—</w:t>
      </w:r>
      <w:r>
        <w:rPr>
          <w:rFonts w:ascii="Times New Roman;serif" w:hAnsi="Times New Roman;serif"/>
          <w:b w:val="false"/>
          <w:color w:val="000000"/>
          <w:sz w:val="20"/>
        </w:rPr>
        <w:t xml:space="preserve">The Company is subject to income tax and other taxes in the geographic areas where it holds assets or operates, and periodically receives notifications of audits, assessments or other actions by taxing authorities. Taxing authorities may issue notices or assessments while audits are being conducted. In certain jurisdictions, taxing authorities may issue assessments with minimal examination. These notices and assessments do not represent amounts that the Company is obligated to pay and are often not reflective of the actual tax liability for which the Company will ultimately be liable. In the process of responding to assessments of taxes that the Company believes are not enforceable, the Company avails itself of both administrative and judicial remedies. The Company evaluates the circumstances of each notification or assessment based on the information available and, in those instances in which the Company does not anticipate a successful defense of positions taken in its tax filings, a liability is recorded in the appropriate amount based on the underlying assessment.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14.    BUSINESS SEGMENTS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Property</w:t>
      </w:r>
    </w:p>
    <w:p>
      <w:pPr>
        <w:pStyle w:val="TextBody"/>
        <w:bidi w:val="0"/>
        <w:spacing w:lineRule="auto" w:line="288" w:before="0" w:after="160"/>
        <w:jc w:val="left"/>
        <w:rPr/>
      </w:pPr>
      <w:r>
        <w:rPr>
          <w:rFonts w:ascii="Times New Roman;serif" w:hAnsi="Times New Roman;serif"/>
          <w:b w:val="false"/>
          <w:i/>
          <w:color w:val="000000"/>
          <w:sz w:val="20"/>
        </w:rPr>
        <w:t>Communications Sites and Related Communications Infrastructure</w:t>
      </w:r>
      <w:r>
        <w:rPr>
          <w:color w:val="000000"/>
        </w:rPr>
        <w:t>—</w:t>
      </w:r>
      <w:r>
        <w:rPr>
          <w:rFonts w:ascii="Times New Roman;serif" w:hAnsi="Times New Roman;serif"/>
          <w:b w:val="false"/>
          <w:color w:val="000000"/>
          <w:sz w:val="20"/>
        </w:rPr>
        <w:t xml:space="preserve">The Company’s primary business is leasing space on multitenant communications sites to wireless service providers, radio and television broadcast companies, wireless data providers, government agencies and municipalities and tenants in a number of other industries. The Company has historically reported these operations on a geographic basis. </w:t>
      </w:r>
    </w:p>
    <w:p>
      <w:pPr>
        <w:pStyle w:val="TextBody"/>
        <w:bidi w:val="0"/>
        <w:spacing w:lineRule="auto" w:line="288" w:before="0" w:after="160"/>
        <w:jc w:val="left"/>
        <w:rPr/>
      </w:pPr>
      <w:r>
        <w:rPr>
          <w:rFonts w:ascii="Times New Roman;serif" w:hAnsi="Times New Roman;serif"/>
          <w:b w:val="false"/>
          <w:i/>
          <w:color w:val="000000"/>
          <w:sz w:val="20"/>
        </w:rPr>
        <w:t>Data Centers</w:t>
      </w:r>
      <w:r>
        <w:rPr>
          <w:color w:val="000000"/>
        </w:rPr>
        <w:t>—</w:t>
      </w:r>
      <w:r>
        <w:rPr>
          <w:rFonts w:ascii="Times New Roman;serif" w:hAnsi="Times New Roman;serif"/>
          <w:b w:val="false"/>
          <w:color w:val="000000"/>
          <w:sz w:val="20"/>
        </w:rPr>
        <w:t>The Company operates 30 data center facilities across eleven markets in the United States. The Company’s Data Centers segment relates to data center facilities and related assets that the Company owns and operates in the United States. The Data Centers segment offers different types of leased land, infrastructure and related services from, and requires different resources, skill sets and marketing strategies than the existing property operating segment in the U.S. &amp; Canada.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property operations consisted of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&amp; Canada: property operations in Canada and the United States;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Africa &amp; APAC: property operations in Burkina Faso, Ghana, Kenya, Niger, Nigeria, South Africa and Uganda;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Europe: property operations in France, Germany and Spain;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Latin America: property operations in Argentina, Brazil, Chile, Colombia, Costa Rica, Mexico, Paraguay and Peru;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Data Centers: data center property operations in the United States.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Services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Services segment offers tower-related services in the United States, including AZP, structural and mount analyses, and construction management services, together with program management offerings that support customer deployment needs from project scoping through construction. The Company’s services operations primarily support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site leasing business, including the addition of new tenants and equipment on its communications sites. The Services segment is a strategic business unit that offers different services from, and requires different resources, skill sets and marketing strategies than, the property operating segments.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accounting policies applied in compiling segment information below are similar to those described in note 1. Among other factors, in evaluating financial performance in each business segment, management uses segment gross margin and segment operating profit. The Company defines segment gross margin as segment revenue less segment operating expenses excluding Depreciation, amortization and accretion; Selling, general, administrative and development expense; and Other operating expenses. The Company defines segment operating profit as segment gross margin less Selling, general, administrative and development expense attributable to the segment, excluding stock-based compensation expense and corporate expenses. These measures of segment gross margin and segment operating profit are also before Interest income, Interest expense, Gain (loss) on retirement of long-term obligations, Other income (expense), Net income (loss) attributable to noncontrolling interests and Income tax benefit (provision). The categories of expenses indicated above, such as depreciation, have been excluded from segment operating performance as they are not considered in the review of information or the evaluation of results by management. The Company’s definition of segment operating profit aligns with the Company’s definition of Adjusted EBITDA.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(the “CODM”) is the Company’s chief executive officer. The CODM uses segment gross margin and segment operating profit to evaluate the segments’ operating performance, in making capital allocation decisions, and in establishing management’s compensation. Additionally, the CODM uses these metrics to monitor budget versus actual results. There are no significant revenues resulting from transactions between the Company’s operating segments. All intercompany transactions are eliminated to reconcile segment results and assets to the consolidated statements of operations and consolidated balance sheets.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concerning the Company’s reportable segments for the three and six months ended June 30, 2026 and 2025 is shown in the following tables. The “Other” column (i) represents amounts excluded from specific segments, such as business development operations, stock-based compensation expense and corporate expenses included in Selling, general, administrative and development expense; Other operating expenses; Interest income; Interest expense; Gain (loss) on retirement of long-term obligations; and Other income (expense), and (ii) reconciles segment operating profit to Income from continuing operations before income taxes.</w:t>
      </w:r>
    </w:p>
    <w:tbl>
      <w:tblPr>
        <w:tblW w:w="12043" w:type="dxa"/>
        <w:jc w:val="left"/>
        <w:tblInd w:w="0" w:type="dxa"/>
        <w:tblLayout w:type="fixed"/>
        <w:tblCellMar>
          <w:top w:w="28" w:type="dxa"/>
          <w:left w:w="28" w:type="dxa"/>
          <w:bottom w:w="28" w:type="dxa"/>
          <w:right w:w="28" w:type="dxa"/>
        </w:tblCellMar>
      </w:tblPr>
      <w:tblGrid>
        <w:gridCol w:w="659"/>
        <w:gridCol w:w="210"/>
        <w:gridCol w:w="212"/>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466"/>
        <w:gridCol w:w="109"/>
        <w:gridCol w:w="109"/>
        <w:gridCol w:w="109"/>
        <w:gridCol w:w="109"/>
        <w:gridCol w:w="196"/>
        <w:gridCol w:w="69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selling, general, administrative and development expense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selling, general, administrative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from continuing operations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(1)Segment selling, general, administrative and development expenses exclude stock-based compensation expense of $34.2 million. </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includes interest expense, partially offset by gains from foreign currency exchange rate fluctuations. Three months ended June 30, 2026 also includes a net gain on the sales of ATC Philippines and the controlling interest in KTBL of $20.4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tbl>
      <w:tblPr>
        <w:tblW w:w="12043" w:type="dxa"/>
        <w:jc w:val="left"/>
        <w:tblInd w:w="0" w:type="dxa"/>
        <w:tblLayout w:type="fixed"/>
        <w:tblCellMar>
          <w:top w:w="28" w:type="dxa"/>
          <w:left w:w="28" w:type="dxa"/>
          <w:bottom w:w="28" w:type="dxa"/>
          <w:right w:w="28" w:type="dxa"/>
        </w:tblCellMar>
      </w:tblPr>
      <w:tblGrid>
        <w:gridCol w:w="659"/>
        <w:gridCol w:w="210"/>
        <w:gridCol w:w="212"/>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466"/>
        <w:gridCol w:w="109"/>
        <w:gridCol w:w="109"/>
        <w:gridCol w:w="109"/>
        <w:gridCol w:w="109"/>
        <w:gridCol w:w="196"/>
        <w:gridCol w:w="69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selling, general, administrative and development expense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selling, general, administrative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from continuing operations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Segment selling, general, administrative and development expenses exclude stock-based compensation expense of $47.3 million.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Primarily includes interest expense and losses from foreign currency exchange rate fluctuations, partially offset by an unrealized gain from equity     securities of $110.7 million.</w:t>
      </w:r>
    </w:p>
    <w:tbl>
      <w:tblPr>
        <w:tblW w:w="13213" w:type="dxa"/>
        <w:jc w:val="left"/>
        <w:tblInd w:w="0" w:type="dxa"/>
        <w:tblLayout w:type="fixed"/>
        <w:tblCellMar>
          <w:top w:w="28" w:type="dxa"/>
          <w:left w:w="28" w:type="dxa"/>
          <w:bottom w:w="28" w:type="dxa"/>
          <w:right w:w="28" w:type="dxa"/>
        </w:tblCellMar>
      </w:tblPr>
      <w:tblGrid>
        <w:gridCol w:w="659"/>
        <w:gridCol w:w="210"/>
        <w:gridCol w:w="212"/>
        <w:gridCol w:w="109"/>
        <w:gridCol w:w="109"/>
        <w:gridCol w:w="109"/>
        <w:gridCol w:w="196"/>
        <w:gridCol w:w="78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781"/>
        <w:gridCol w:w="109"/>
        <w:gridCol w:w="109"/>
        <w:gridCol w:w="109"/>
        <w:gridCol w:w="109"/>
        <w:gridCol w:w="196"/>
        <w:gridCol w:w="781"/>
        <w:gridCol w:w="109"/>
        <w:gridCol w:w="109"/>
        <w:gridCol w:w="109"/>
        <w:gridCol w:w="109"/>
        <w:gridCol w:w="196"/>
        <w:gridCol w:w="556"/>
        <w:gridCol w:w="109"/>
        <w:gridCol w:w="109"/>
        <w:gridCol w:w="109"/>
        <w:gridCol w:w="109"/>
        <w:gridCol w:w="196"/>
        <w:gridCol w:w="556"/>
        <w:gridCol w:w="109"/>
        <w:gridCol w:w="109"/>
        <w:gridCol w:w="109"/>
        <w:gridCol w:w="109"/>
        <w:gridCol w:w="196"/>
        <w:gridCol w:w="78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selling, general, administrative and development expense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selling, general, administrative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from continuing operations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63,300.1 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(1)Segment selling, general, administrative and development expenses exclude stock-based compensation expense of $92.6 million. </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(2)Primarily includes interest expense, partially offset by gains from foreign currency exchange rate fluctuations. Six months ended June 30, 2026 also includes a net gain on the sales of ATC Philippines and the controlling interest in KTBL of $20.4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TOWER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AND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(tabular amounts in millions, unless otherwise noted)</w:t>
      </w:r>
    </w:p>
    <w:tbl>
      <w:tblPr>
        <w:tblW w:w="13213" w:type="dxa"/>
        <w:jc w:val="left"/>
        <w:tblInd w:w="0" w:type="dxa"/>
        <w:tblLayout w:type="fixed"/>
        <w:tblCellMar>
          <w:top w:w="28" w:type="dxa"/>
          <w:left w:w="28" w:type="dxa"/>
          <w:bottom w:w="28" w:type="dxa"/>
          <w:right w:w="28" w:type="dxa"/>
        </w:tblCellMar>
      </w:tblPr>
      <w:tblGrid>
        <w:gridCol w:w="659"/>
        <w:gridCol w:w="210"/>
        <w:gridCol w:w="212"/>
        <w:gridCol w:w="109"/>
        <w:gridCol w:w="109"/>
        <w:gridCol w:w="109"/>
        <w:gridCol w:w="196"/>
        <w:gridCol w:w="78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781"/>
        <w:gridCol w:w="109"/>
        <w:gridCol w:w="109"/>
        <w:gridCol w:w="109"/>
        <w:gridCol w:w="109"/>
        <w:gridCol w:w="196"/>
        <w:gridCol w:w="781"/>
        <w:gridCol w:w="109"/>
        <w:gridCol w:w="109"/>
        <w:gridCol w:w="109"/>
        <w:gridCol w:w="109"/>
        <w:gridCol w:w="196"/>
        <w:gridCol w:w="556"/>
        <w:gridCol w:w="109"/>
        <w:gridCol w:w="109"/>
        <w:gridCol w:w="109"/>
        <w:gridCol w:w="109"/>
        <w:gridCol w:w="196"/>
        <w:gridCol w:w="556"/>
        <w:gridCol w:w="109"/>
        <w:gridCol w:w="109"/>
        <w:gridCol w:w="109"/>
        <w:gridCol w:w="109"/>
        <w:gridCol w:w="196"/>
        <w:gridCol w:w="781"/>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selling, general, administrative and development expense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selling, general, administrative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from continuing operations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63,754.5 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652.9 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(1)Segment selling, general, administrative and development expenses exclude stock-based compensation expense of $100.7 million.</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(2)Primarily includes interest expense and losses from foreign currency exchange rate fluctuations, partially offset by an unrealized gain from equity securities of $118.3 million and a gain on the sale of South Africa Fiber of $53.6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2"/>
        <w:gridCol w:w="265"/>
        <w:gridCol w:w="267"/>
        <w:gridCol w:w="2740"/>
        <w:gridCol w:w="2740"/>
        <w:gridCol w:w="3891"/>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60" w:after="160"/>
        <w:jc w:val="left"/>
        <w:rPr/>
      </w:pPr>
      <w:r>
        <w:rPr>
          <w:rFonts w:ascii="Times New Roman;serif" w:hAnsi="Times New Roman;serif"/>
          <w:b w:val="false"/>
          <w:i/>
          <w:color w:val="000000"/>
          <w:sz w:val="20"/>
        </w:rPr>
        <w:t>This Quarterly Report on Form 10-Q (this “Quarterly Report”) contains statements about future events and expectations, or “forward-looking statements,” which relate to our goals, beliefs, strategies, plans or current expectations and other statements that are not of historical facts. For example, when we use words such as “project,” “plan,” “believe,” “anticipate,” “expect,” “forecast,” “estimate,” “intend,” “should,” “would,” “could,”</w:t>
      </w:r>
      <w:r>
        <w:rPr>
          <w:color w:val="000000"/>
        </w:rPr>
        <w:t xml:space="preserve"> “</w:t>
      </w:r>
      <w:r>
        <w:rPr>
          <w:rFonts w:ascii="Times New Roman;serif" w:hAnsi="Times New Roman;serif"/>
          <w:b w:val="false"/>
          <w:i/>
          <w:color w:val="000000"/>
          <w:sz w:val="20"/>
        </w:rPr>
        <w:t>may” or other words that convey uncertainty of future events or outcomes, we are making forward-looking statements. Certain important factors may cause actual results to differ materially from those indicated by our forward-looking statements, including those factors set forth under the caption “Risk Factors” in Part I, Item 1A of our Annual Report on Form 10-K for the year ended December 31, 2025 (the “2025 Form 10-K”). Forward-looking statements represent management’s current expectations, beliefs and assumptions, and are inherently uncertain. We do not undertake any obligation to update our forward-looking statements.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that follow are based upon our consolidated and condensed consolidated financial statements, which have been prepared in accordance with accounting principles generally accepted in the United States (“GAAP”). The preparation of our financial statements requires us to make estimates and assumptions that affect the reported amounts of assets and liabilities, revenues and expenses, and the related disclosure of contingent assets and liabilities at the date of our financial statements. Actual results may differ from these estimates and such differences could be material to the financial statements. This discussion should be read in conjunction with our consolidated and condensed consolidated financial statements herein and the accompanying notes, information set forth under the caption “Critical Accounting Policies and Estimates” in the 2025 Form 10-K, and in particular, the information set forth therein under 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are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In addition to the communications sites in our portfolio, we manage rooftop and tower sites for property owners under various contractual arrangements. We also hold other telecommunications infrastructure and property interests that we lease primarily to communications service providers and third-party tower operators, and, as discussed further below, we hold a portfolio of highly interconnected data center facilities and related assets in the United States. Our customers include our tenants, licensees and other payers. We refer to the business encompassing the above as our property operations, which accounted for 98% and 98% of our total revenues for the three and six months ended June 30, 2026, respectively, and includes our U.S. &amp; Canada property, Africa &amp; Asia-Pacific (“APAC”) property, Europe property and Latin America property segments and Data Centers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also offer tower-related services in the United States, including site application, zoning and permitting, structural and mount analyses, and construction management, which primarily support our site leasing business, including the addition of new tenants and equipment on our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table details the number of communications sites, excluding managed sites, that we owned or operated as of June 30, 2026:</w:t>
      </w:r>
      <w:r>
        <w:rPr>
          <w:color w:val="000000"/>
        </w:rPr>
        <w:t> </w:t>
      </w:r>
    </w:p>
    <w:tbl>
      <w:tblPr>
        <w:tblW w:w="6631" w:type="dxa"/>
        <w:jc w:val="left"/>
        <w:tblInd w:w="0" w:type="dxa"/>
        <w:tblLayout w:type="fixed"/>
        <w:tblCellMar>
          <w:top w:w="28" w:type="dxa"/>
          <w:left w:w="28" w:type="dxa"/>
          <w:bottom w:w="28" w:type="dxa"/>
          <w:right w:w="28" w:type="dxa"/>
        </w:tblCellMar>
      </w:tblPr>
      <w:tblGrid>
        <w:gridCol w:w="646"/>
        <w:gridCol w:w="567"/>
        <w:gridCol w:w="571"/>
        <w:gridCol w:w="109"/>
        <w:gridCol w:w="109"/>
        <w:gridCol w:w="109"/>
        <w:gridCol w:w="413"/>
        <w:gridCol w:w="413"/>
        <w:gridCol w:w="396"/>
        <w:gridCol w:w="109"/>
        <w:gridCol w:w="109"/>
        <w:gridCol w:w="109"/>
        <w:gridCol w:w="360"/>
        <w:gridCol w:w="361"/>
        <w:gridCol w:w="296"/>
        <w:gridCol w:w="109"/>
        <w:gridCol w:w="109"/>
        <w:gridCol w:w="109"/>
        <w:gridCol w:w="454"/>
        <w:gridCol w:w="454"/>
        <w:gridCol w:w="456"/>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Owned Towers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Operated </w:t>
              <w:br/>
              <w:t>Towers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Owned DAS Sites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&amp;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&amp; Canada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27,037 </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&amp; APAC: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Burkina Faso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Kenya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Nigeria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Uganda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&amp; APAC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Spain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32,490 </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20,749 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 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Paraguay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44,510 </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130,509 </w:t>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17,096 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(1)Approximately 98% of the operated towers are held pursuant to long-term finance leases, including those subject to purchase options.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(2)During the three months ended June 30, 2026, we completed the sales of our subsidiary in the Philippines (“ATC Philippines”) and our controlling interest in Kirtonkhola Tower Bangladesh Limited (“KTBL”).</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our property portfolio included 30 operating data center facilities across 11 markets in the United States that collectively comprise approximately 3.8 million net rentable square feet (“NRSF”) of data center space, as follows:</w:t>
      </w:r>
    </w:p>
    <w:tbl>
      <w:tblPr>
        <w:tblW w:w="5844" w:type="dxa"/>
        <w:jc w:val="left"/>
        <w:tblInd w:w="0" w:type="dxa"/>
        <w:tblLayout w:type="fixed"/>
        <w:tblCellMar>
          <w:top w:w="28" w:type="dxa"/>
          <w:left w:w="28" w:type="dxa"/>
          <w:bottom w:w="28" w:type="dxa"/>
          <w:right w:w="28" w:type="dxa"/>
        </w:tblCellMar>
      </w:tblPr>
      <w:tblGrid>
        <w:gridCol w:w="716"/>
        <w:gridCol w:w="631"/>
        <w:gridCol w:w="633"/>
        <w:gridCol w:w="109"/>
        <w:gridCol w:w="109"/>
        <w:gridCol w:w="109"/>
        <w:gridCol w:w="629"/>
        <w:gridCol w:w="629"/>
        <w:gridCol w:w="632"/>
        <w:gridCol w:w="109"/>
        <w:gridCol w:w="109"/>
        <w:gridCol w:w="109"/>
        <w:gridCol w:w="385"/>
        <w:gridCol w:w="385"/>
        <w:gridCol w:w="550"/>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NRSF (1)</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Francisco Bay,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 Angeles,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 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Chicago,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Denver,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Miami,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 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(1)Excludes approximately 0.4 million of office and light industrial NRSF. </w:t>
      </w:r>
    </w:p>
    <w:p>
      <w:pPr>
        <w:pStyle w:val="TextBody"/>
        <w:bidi w:val="0"/>
        <w:spacing w:lineRule="auto" w:line="288" w:before="160" w:after="160"/>
        <w:jc w:val="left"/>
        <w:rPr/>
      </w:pPr>
      <w:r>
        <w:rPr>
          <w:rFonts w:ascii="Times New Roman;serif" w:hAnsi="Times New Roman;serif"/>
          <w:b w:val="false"/>
          <w:i/>
          <w:color w:val="000000"/>
          <w:sz w:val="20"/>
        </w:rPr>
        <w:t>Sale of Philippines Subsidiary</w:t>
      </w:r>
      <w:r>
        <w:rPr>
          <w:color w:val="000000"/>
        </w:rPr>
        <w:t>—</w:t>
      </w:r>
      <w:r>
        <w:rPr>
          <w:rFonts w:ascii="Times New Roman;serif" w:hAnsi="Times New Roman;serif"/>
          <w:b w:val="false"/>
          <w:color w:val="000000"/>
          <w:sz w:val="20"/>
        </w:rPr>
        <w:t>On June 15, 2026, we completed the sale of ATC Philippines. Prior to the divestiture, ATC Philippines’s operating results were included within the Africa &amp; APAC property segment.</w:t>
      </w:r>
    </w:p>
    <w:p>
      <w:pPr>
        <w:pStyle w:val="TextBody"/>
        <w:bidi w:val="0"/>
        <w:spacing w:lineRule="auto" w:line="288" w:before="160" w:after="160"/>
        <w:jc w:val="left"/>
        <w:rPr/>
      </w:pPr>
      <w:r>
        <w:rPr>
          <w:rFonts w:ascii="Times New Roman;serif" w:hAnsi="Times New Roman;serif"/>
          <w:b w:val="false"/>
          <w:i/>
          <w:color w:val="000000"/>
          <w:sz w:val="20"/>
        </w:rPr>
        <w:t>Sale of Bangladesh Partnership—</w:t>
      </w:r>
      <w:r>
        <w:rPr>
          <w:rFonts w:ascii="Times New Roman;serif" w:hAnsi="Times New Roman;serif"/>
          <w:b w:val="false"/>
          <w:color w:val="000000"/>
          <w:sz w:val="20"/>
        </w:rPr>
        <w:t>On June 29, 2026, we completed the sale of our controlling interest in KTBL. Prior to the divestiture, KTBL’s operating results were included within the Africa &amp; APAC property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2025 Form 10-K contains information regarding management’s expectations of long-term drivers of demand for our communications sites, as well as key trends, which management believes provide valuable insight into our operating and financial resource allocation decisions. The discussion below should be read in conjunction with the 2025 Form 10-K and, in particular, the information set forth therein under Item 7 “Management’s Discussion and Analysis of Financial Condition and Results of Operations—Executive Overview.”</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most of our markets, our tenant leases for our communications sites with wireless carriers generally have initial non-cancellable terms of five to ten years with multiple renewal terms. Accordingly, the vast majority of the revenue generated by our property operations during the six months ended June 30, 2026 was recurring revenue that we should continue to receive in future periods. Most of our tenant leases for our communications sites have provisions that periodically increase or “escalate” the rent due under the lease, typically based on (a) an annual fixed escalation (averaging approximately 3% in the United States), (b) an inflationary index in most of our international markets, or (c) a combination of both. In addition, certain of our tenant leases provide for additional revenue primarily to cover costs (pass-through revenue), such as ground rent or power and fuel costs.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existing customer leases and foreign currency exchange rates as of June 30, 2026, we expect to generate nearly $50 billion of non-cancellable customer lease revenue over future periods, before the impact of straight-line lease accounting.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revenues generated by our property operations may be affected by cancellations of existing tenant leases. As discussed above, most of our tenant leases with wireless carriers and broadcasters are multiyear contracts, which typically are non-cancellable; however, in some instances, a lease may be cancelled upon the payment of a termination fee. Revenue lost from either tenant lease cancellations or the non-renewal of leases or rent renegotiations, which we refer to as churn, has historically not had a material adverse effect on the revenues generated by our consolidated property operations. During the six months ended June 30, 2026, churn was approximately 5% of our tenant billings, primarily driven by churn due to one of our U.S. customers, DISH Wireless L.L.C., a subsidiary of DISH Network Corporation (“DISH”) in our U.S. &amp; Canada property segment, as discussed below. Beginning on January 1, 2026, 100% of DISH revenue will be reflected in churn.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0"/>
        </w:rPr>
        <w:t>AT&amp;T Mexico Dispute</w:t>
      </w:r>
      <w:r>
        <w:rPr>
          <w:rFonts w:ascii="Times New Roman;serif" w:hAnsi="Times New Roman;serif"/>
          <w:b w:val="false"/>
          <w:color w:val="000000"/>
          <w:sz w:val="20"/>
        </w:rPr>
        <w:t>. We are currently engaged in a legal dispute (the “Arbitration”) with one of our customers in Mexico, AT&amp;T Comunicaciones Digitales, S. de R.L. de C.V. and related entities (collectively, “AT&amp;T Mexico”). AT&amp;T Mexico, which represented approximately $300 million of tenant revenue in 2025, is challenging the calculation of the monthly lease amount established under our Master Lease Agreement with AT&amp;T Mexico (the “MLA”), as well as certain other provisions of the MLA, seeking rent abatement both retroactively and prospectively, and had been withholding tower rents since the start of 2025. We incurred approximately $30 million of reserves during the year ended December 31, 2025, and an additional approximately $20 million of reserves during the six months ended June 30, 2026,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is scheduled for a hearing in August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pStyle w:val="TextBody"/>
        <w:bidi w:val="0"/>
        <w:spacing w:lineRule="auto" w:line="288" w:before="0" w:after="160"/>
        <w:jc w:val="left"/>
        <w:rPr/>
      </w:pPr>
      <w:r>
        <w:rPr>
          <w:rFonts w:ascii="Times New Roman;serif" w:hAnsi="Times New Roman;serif"/>
          <w:b w:val="false"/>
          <w:i/>
          <w:color w:val="000000"/>
          <w:sz w:val="20"/>
        </w:rPr>
        <w:t>DISH Dispute</w:t>
      </w:r>
      <w:r>
        <w:rPr>
          <w:rFonts w:ascii="Times New Roman;serif" w:hAnsi="Times New Roman;serif"/>
          <w:b w:val="false"/>
          <w:color w:val="000000"/>
          <w:sz w:val="20"/>
        </w:rPr>
        <w:t xml:space="preserve">. On September 24, 2025, DISH delivered a notice purporting to be excused from its contractual obligations under our Strategic Collocation Agreement entered into in March 2021 (the “SCA”). On October 20, 2025, we filed a complaint in the U.S. District Court for the District of Colorado seeking a declaratory judgment that DISH had not been excused from its obligations under the SCA, that the SCA remained in full force and effect, and that DISH remained required to perform all of its obligations under the SCA. Thereafter, DISH failed to meet its payment obligations, and as of January 2026, has been in default under the SCA. We remain confident that DISH was not excused from its obligations under the SCA. We delivered notices of termination, effective June 2, 2026, to DISH of the SCA and related agreements with DISH.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June 15, 2026, we amended the complaint to (i) add claims seeking damages for DISH’s breaches of the SCA and other agreements, and (ii) add DISH’s parent company, EchoStar Corporation, as a party for tortious interference with such agreements. On June 30, 2026, DISH filed petitions for relief under chapter 11 of the United States Bankruptcy Code. Consistent with applicable law, we continue to seek relief in connection with DISH’s failure to comply with its obligations under the SCA and other agreements described in the amended complaint. DISH represented approximately 2% and 4% of our total annual property revenue and total annual U.S. &amp; Canada property revenue, respectively, for 2025. DISH is reflected in churn for the six months ended June 30, 2026. During the six months ended June 30, 2026, we recorded impairment charges related to DISH of $17.5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Included in our analysis of our results of operations are discussions regarding earnings before interest, taxes, depreciation, amortization and accretion, as adjusted (“Adjusted EBITDA”), Funds From Operations, as defined by the National Association of Real Estate Investment Trusts (“Nareit FFO”) attributable to American Tower Corporation common stockholders, Adjusted Funds From Operations (“AFFO”) attributable to American Tower Corporation common stockholders (“AFFO attributable to American Tower Corporation common stockholders”) and Segment gross margin.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before Income (loss) from equity method investments; Income (loss) from discontinued operations, net of taxes; Income tax benefit (provision); Other income (expense); Gain (loss) on retirement of long-term obligations; Interest expense; Interest income; Other operating income (expense), including Goodwill impairment; Depreciation, amortization and accretion; and stock-based compensation expense.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Nareit FFO attributable to American Tower Corporation common stockholders is defined as net income before gains or losses from the sale or disposal of real estate, real estate related impairment charges, real estate related depreciation, amortization and accretion, and including adjustments and distributions for unconsolidated affiliates and noncontrolling interests and adjustments for discontinued operations. In this section, we refer to Nareit FFO attributable to American Tower Corporation common stockholders as “Nareit FFO (common stockholders).”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AFFO attributable to American Tower Corporation common stockholders as Nareit FFO (common stockholders) before (i) straight-line revenue and expense; (ii) stock-based compensation expense; (iii) the deferred portion of income tax and other income tax adjustments; (iv) non-real estate related depreciation, amortization and accretion; (v) amortization of deferred financing costs, debt discounts and premiums and long-term deferred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charges; (vi) other income (expense); (vii) gain (loss) on retirement of long-term obligations; and (viii) other operating income (expense); less cash payments related to capital improvements and cash payments related to corporate capital expenditures and including adjustments and distributions for unconsolidated affiliates and noncontrolling interests and adjustments for discontinued operations, which includes the impact of noncontrolling interests and discontinued operations on both Nareit FFO and the corresponding adjustments included in AFFO. In this section, we refer to AFFO attributable to American Tower Corporation common stockholders as “AFFO (common stockholders).”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define Segment gross margin as segment revenue less segment operating expenses, excluding depreciation, amortization and accretion; selling, general, administrative and development expense; and other operating expenses.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Nareit FFO (common stockholders), AFFO (common stockholders) and Segment gross margin are not intended to replace net income or any other performance measures determined in accordance with GAAP. None of Adjusted EBITDA, Nareit FFO (common stockholders), AFFO (common stockholders) or Segment gross margin represents cash flows from operating activities in accordance with GAAP and, therefore, these measures should not be considered indicative of cash flows from operating activities, as a measure of liquidity or a measure of funds available to fund our cash needs, including our ability to make cash distributions. Rather, Adjusted EBITDA, Nareit FFO (common stockholders), AFFO (common stockholders) and Segment gross margin are presented as we believe each is a useful indicator of our current operating performance. We believe that these metrics are useful to an investor in evaluating our operating performance because (1) each is a key measure used by our management team for decision making purposes and for evaluating our operating segments’ performance; (2) Adjusted EBITDA is a component underlying our credit ratings; (3)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 (4) AFFO (common stockholders) is widely used in the telecommunications real estate sector to adjust Nareit FFO (common stockholders) for items that may otherwise cause material fluctuations in Nareit FFO (common stockholders) growth from period to period that would not be representative of the underlying performance of property assets in those periods; (5) Segment gross margin provides valuable insight into the site-level profitability of our assets; (6) each provides investors with a meaningful measure for evaluating our period-to-period operating performance by eliminating items that are not operational in nature; and (7) each provides investors with a measure for comparing our results of operations to those of other companies, particularly those in our industry.</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Our measurement of Adjusted EBITDA, Nareit FFO (common stockholders), AFFO (common stockholders) and Segment gross margin may not, however, be fully comparable to similarly titled measures used by other companies. Reconciliations of Adjusted EBITDA, Nareit FFO (common stockholders) and AFFO (common stockholders) to net income and Segment gross margin to gross margin, the most directly comparable GAAP measures, have been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pPr>
      <w:r>
        <w:rPr>
          <w:rFonts w:ascii="Times New Roman;serif" w:hAnsi="Times New Roman;serif"/>
          <w:b/>
          <w:color w:val="000000"/>
          <w:sz w:val="20"/>
        </w:rPr>
        <w:t>Three and Six Months Ended</w:t>
      </w:r>
      <w:r>
        <w:rPr>
          <w:color w:val="000000"/>
        </w:rPr>
        <w:t xml:space="preserve"> </w:t>
      </w:r>
      <w:r>
        <w:rPr>
          <w:rFonts w:ascii="Times New Roman;serif" w:hAnsi="Times New Roman;serif"/>
          <w:b/>
          <w:color w:val="000000"/>
          <w:sz w:val="20"/>
        </w:rPr>
        <w:t>June 30, 2026</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 xml:space="preserve">2025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 millions, except percentages)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0205" w:type="dxa"/>
        <w:jc w:val="left"/>
        <w:tblInd w:w="0" w:type="dxa"/>
        <w:tblLayout w:type="fixed"/>
        <w:tblCellMar>
          <w:top w:w="28" w:type="dxa"/>
          <w:left w:w="28" w:type="dxa"/>
          <w:bottom w:w="28" w:type="dxa"/>
          <w:right w:w="28" w:type="dxa"/>
        </w:tblCellMar>
      </w:tblPr>
      <w:tblGrid>
        <w:gridCol w:w="402"/>
        <w:gridCol w:w="353"/>
        <w:gridCol w:w="356"/>
        <w:gridCol w:w="109"/>
        <w:gridCol w:w="109"/>
        <w:gridCol w:w="109"/>
        <w:gridCol w:w="211"/>
        <w:gridCol w:w="766"/>
        <w:gridCol w:w="109"/>
        <w:gridCol w:w="109"/>
        <w:gridCol w:w="109"/>
        <w:gridCol w:w="109"/>
        <w:gridCol w:w="211"/>
        <w:gridCol w:w="766"/>
        <w:gridCol w:w="109"/>
        <w:gridCol w:w="109"/>
        <w:gridCol w:w="109"/>
        <w:gridCol w:w="109"/>
        <w:gridCol w:w="310"/>
        <w:gridCol w:w="301"/>
        <w:gridCol w:w="755"/>
        <w:gridCol w:w="109"/>
        <w:gridCol w:w="109"/>
        <w:gridCol w:w="109"/>
        <w:gridCol w:w="211"/>
        <w:gridCol w:w="766"/>
        <w:gridCol w:w="109"/>
        <w:gridCol w:w="109"/>
        <w:gridCol w:w="109"/>
        <w:gridCol w:w="109"/>
        <w:gridCol w:w="211"/>
        <w:gridCol w:w="766"/>
        <w:gridCol w:w="109"/>
        <w:gridCol w:w="109"/>
        <w:gridCol w:w="109"/>
        <w:gridCol w:w="109"/>
        <w:gridCol w:w="301"/>
        <w:gridCol w:w="285"/>
        <w:gridCol w:w="83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&amp;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&amp;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&amp; Canada property segment revenue decrease of $32.7 million was attributable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of $41.4 million in other revenue, primarily due to a decrease of $44.0 million due to straight-line accounting;</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tenant billings growth of $8.7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$33.8 million due to leasing additional space on our sites (“colocations”) and amendments;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$0.4 million generated from sites acquired or constructed since the beginning of the prior-year period (“newly acquired or constructed sites”);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decreases of:</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$24.6 million resulting from churn in excess of contractual escalations, primarily related to DISH; and</w:t>
      </w:r>
    </w:p>
    <w:p>
      <w:pPr>
        <w:pStyle w:val="TextBody"/>
        <w:bidi w:val="0"/>
        <w:spacing w:lineRule="auto" w:line="288" w:before="0" w:after="160"/>
        <w:ind w:left="0" w:right="0" w:hanging="360"/>
        <w:jc w:val="left"/>
        <w:rPr/>
      </w:pPr>
      <w:r>
        <w:rPr>
          <w:color w:val="000000"/>
        </w:rPr>
        <w:t xml:space="preserve">• </w:t>
      </w:r>
      <w:r>
        <w:rPr>
          <w:rFonts w:ascii="Times New Roman;serif" w:hAnsi="Times New Roman;serif"/>
          <w:b w:val="false"/>
          <w:color w:val="000000"/>
          <w:sz w:val="20"/>
        </w:rPr>
        <w:t>$0.9 million from other tenant billings.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Segment revenue decrease was not meaningfully impacted by foreign currency translation related to fluctuations in Canadian Dollar (“CAD”).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Africa &amp; APAC property segment revenue growth of $79.0 million was attributable to:</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Tenant billings growth of $35.0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$18.3 million due to colocations and amendments;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$9.4 million generated from newly acquired or constructed sites;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$6.7 million resulting from contractual escalations, net of churn;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$0.6 million from other tenant billings;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$12.6 million in pass-through revenue, primarily due to an increase in fuel costs;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$7.7 million in other revenue, primarily due to tenant settlements in South Africa and a decrease in revenue reserves, partially offset by a decrease due to straight-line accounting.</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Segment revenue growth included an increase of $23.7 million attributable to the impact of foreign currency translation, which included, among others, positive impacts of $13.9 million related to fluctuations in Nigerian Naira (“NGN”), $5.9 million related to fluctuations in Ghanaian Cedi (“GHS”) and $5.1 million related to fluctuations in South African Rand (“ZAR”), partially offset by a negative impact of $1.4 million related to fluctuations in Ugandan Shilling.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Europe property segment revenue growth of $26.7 million was attributable to:</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Tenant billings growth of $9.4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$4.7 million due to colocations and amendments;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$3.0 million generated from newly acquired or constructed sites;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$2.7 million resulting from contractual escalations, net of churn;</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a decrease of $1.0 million from other tenant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$6.5 million in other revenue, primarily due to the impact of incremental capital contributions, which are amortized over the term of the lease; and</w:t>
      </w:r>
    </w:p>
    <w:p>
      <w:pPr>
        <w:pStyle w:val="TextBody"/>
        <w:bidi w:val="0"/>
        <w:spacing w:lineRule="auto" w:line="288" w:before="0" w:after="160"/>
        <w:ind w:left="0" w:right="0" w:hanging="360"/>
        <w:jc w:val="left"/>
        <w:rPr/>
      </w:pPr>
      <w:r>
        <w:rPr>
          <w:color w:val="000000"/>
        </w:rPr>
        <w:t xml:space="preserve">• </w:t>
      </w:r>
      <w:r>
        <w:rPr>
          <w:rFonts w:ascii="Times New Roman;serif" w:hAnsi="Times New Roman;serif"/>
          <w:b w:val="false"/>
          <w:color w:val="000000"/>
          <w:sz w:val="20"/>
        </w:rPr>
        <w:t xml:space="preserve">An increase of $3.7 million in pass-through revenue.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Segment revenue growth included an increase of $7.1 million attributable to the positive impact of foreign currency translation related to fluctuations in Euro (“EUR”).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Latin America property segment revenue growth of $52.2 million was attributable to:</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$44.0 million attributable to the impact of foreign currency translation, which included, among others, positive impacts of $20.1 million related to fluctuations in Brazilian Real (“BRL”), $14.8 million related to fluctuations in Mexican Peso (“MXN”) and $5.0 million related to fluctuations in Colombian Peso (“COP”);</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$14.1 million in other revenue, primarily due to a decrease in revenue reserves;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$1.1 million in pass-through revenue;</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a decrease in tenant billings of $7.0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 xml:space="preserve">$13.5 million from churn in excess of contractual escalations, primarily related to customer cancellations in Brazil;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an increase of $6.5 million due to colocations and amendments.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Centers segment revenue growth of $35.2 million was attributable to: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increase of $20.3 million in rental, related and other revenue, primarily due to new lease commencements, customer expansions and rent increases upon customer renewals;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An increase of $8.2 million in power revenue from new lease commencements, increased power consumption and pricing increases from existing customers;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increase of $3.5 million in interconnection revenue, primarily due to customer interconnection net additions and pricing increases from existing cross connects; and</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An increase of $3.2 million in straight-line revenue.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Services segment revenue decrease of $38.2 million was primarily attributable to decreases in site application, zoning and permitting services, structural and mount analyses services and construction management services.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U.S. &amp; Canada property segment revenue decrease of $69.4 million was attributable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of $87.3 million in other revenue, primarily due to a decrease of $78.9 million due to straight-line accounting;</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tenant billings growth of $17.8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$67.8 million due to colocations and amendments;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$1.3 million generated from newly acquired or constructed sites;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decreases of:</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$49.8 million resulting from churn in excess of contractual escalations, primarily related to DISH; and</w:t>
      </w:r>
    </w:p>
    <w:p>
      <w:pPr>
        <w:pStyle w:val="TextBody"/>
        <w:bidi w:val="0"/>
        <w:spacing w:lineRule="auto" w:line="288" w:before="0" w:after="160"/>
        <w:ind w:left="0" w:right="0" w:hanging="360"/>
        <w:jc w:val="left"/>
        <w:rPr/>
      </w:pPr>
      <w:r>
        <w:rPr>
          <w:color w:val="000000"/>
        </w:rPr>
        <w:t xml:space="preserve">• </w:t>
      </w:r>
      <w:r>
        <w:rPr>
          <w:rFonts w:ascii="Times New Roman;serif" w:hAnsi="Times New Roman;serif"/>
          <w:b w:val="false"/>
          <w:color w:val="000000"/>
          <w:sz w:val="20"/>
        </w:rPr>
        <w:t>$1.5 million from other tenant billings.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Segment revenue decrease was partially offset by an increase of $0.1 million attributable to the positive impact of foreign currency translation related to fluctuations in CAD.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Africa &amp; APAC property segment revenue growth of $124.0 million was attributable to:</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Tenant billings growth of $66.9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$34.8 million due to colocations and amendments;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$17.2 million generated from newly acquired or constructed sites;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$13.3 million resulting from contractual escalations, net of churn;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$1.6 million from other tenant billings;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$11.0 million in pass-through revenue, primarily due to an increase in fuel costs;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a decrease of $9.5 million in other revenue, primarily due to an increase in revenue reserves and a decrease due to straight-line accounting, partially offset by tenant settlements in South Africa.</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Segment revenue growth included an increase of $55.6 million, attributable to the impact of foreign currency translation, which included, among others, positive impacts of $21.9 million related to fluctuations in NGN, $20.9 million related to fluctuations in GHS and $10.7 million related to fluctuations in ZAR.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Europe property segment revenue growth of $74.4 million was attributable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Tenant billings growth of $18.1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$8.8 million due to colocations and amendments;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$6.1 million generated from newly acquired or constructed sites;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$5.0 million resulting from contractual escalations, net of churn;</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a decrease of $1.8 million from other tenant billings;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$16.9 million in other revenue, primarily due to the impact of incremental capital contributions, which are amortized over the term of the lease; and</w:t>
      </w:r>
    </w:p>
    <w:p>
      <w:pPr>
        <w:pStyle w:val="TextBody"/>
        <w:bidi w:val="0"/>
        <w:spacing w:lineRule="auto" w:line="288" w:before="0" w:after="160"/>
        <w:ind w:left="0" w:right="0" w:hanging="360"/>
        <w:jc w:val="left"/>
        <w:rPr/>
      </w:pPr>
      <w:r>
        <w:rPr>
          <w:color w:val="000000"/>
        </w:rPr>
        <w:t xml:space="preserve">• </w:t>
      </w:r>
      <w:r>
        <w:rPr>
          <w:rFonts w:ascii="Times New Roman;serif" w:hAnsi="Times New Roman;serif"/>
          <w:b w:val="false"/>
          <w:color w:val="000000"/>
          <w:sz w:val="20"/>
        </w:rPr>
        <w:t xml:space="preserve">An increase of $5.0 million in pass-through revenue.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Segment revenue growth included an increase of $34.4 million attributable to the positive impact of foreign currency translation related to fluctuations in EUR.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Latin America property segment revenue growth of $133.1 million was attributable to:</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$94.8 million attributable to the impact of foreign currency translation, which included, among others, positive impacts of $42.8 million related to fluctuations in BRL, $33.6 million related to fluctuations in MXN and $8.8 million related to fluctuations in COP;</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$46.1 million in other revenue, primarily due to an increase of $26.3 million from straight-line accounting resulting largely from tenant settlements in Brazil and a decrease in revenue reserves;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An increase of $5.0 million in pass-through revenue;</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Partially offset by a decrease in tenant billings of $12.8 million, which was driven by:</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$23.9 million from churn in excess of contractual escalations, primarily related to customer cancellations in Brazil;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$1.4 million from other tenant billings;</w:t>
      </w:r>
    </w:p>
    <w:p>
      <w:pPr>
        <w:pStyle w:val="TextBody"/>
        <w:bidi w:val="0"/>
        <w:spacing w:lineRule="auto" w:line="288" w:before="0" w:after="160"/>
        <w:ind w:left="0" w:right="0" w:hanging="360"/>
        <w:jc w:val="left"/>
        <w:rPr/>
      </w:pPr>
      <w:r>
        <w:rPr>
          <w:color w:val="000000"/>
        </w:rPr>
        <w:t xml:space="preserve">• </w:t>
      </w:r>
      <w:r>
        <w:rPr>
          <w:rFonts w:ascii="Times New Roman;serif" w:hAnsi="Times New Roman;serif"/>
          <w:b w:val="false"/>
          <w:color w:val="000000"/>
          <w:sz w:val="20"/>
        </w:rPr>
        <w:t>Partially offset by an increase of $12.5 million due to colocations and amendments.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Data Centers segment revenue growth of $80.0 million was attributable to: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increase of $46.0 million in rental, related and other revenue, primarily due to new lease commencements, customer expansions and rent increases upon customer renewals;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An increase of $18.5 million in power revenue from new lease commencements, increased power consumption and pricing increases from existing customers;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increase of $7.9 million in interconnection revenue, primarily due to customer interconnection net additions and pricing increases from existing cross connects; and</w:t>
      </w:r>
    </w:p>
    <w:p>
      <w:pPr>
        <w:pStyle w:val="TextBody"/>
        <w:bidi w:val="0"/>
        <w:spacing w:lineRule="auto" w:line="268" w:before="0" w:after="160"/>
        <w:ind w:left="0" w:right="0" w:hanging="360"/>
        <w:jc w:val="left"/>
        <w:rPr/>
      </w:pPr>
      <w:r>
        <w:rPr>
          <w:color w:val="000000"/>
        </w:rPr>
        <w:t>•</w:t>
      </w:r>
      <w:r>
        <w:rPr>
          <w:rFonts w:ascii="Times New Roman;serif" w:hAnsi="Times New Roman;serif"/>
          <w:b w:val="false"/>
          <w:color w:val="000000"/>
          <w:sz w:val="20"/>
        </w:rPr>
        <w:t>An increase of $7.6 million in straight-line revenue.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Services segment revenue decrease of $45.2 million was primarily attributable to decreases in site application, zoning and permitting services, structural and mount analyses services, and construction management services.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bl>
      <w:tblPr>
        <w:tblW w:w="10205" w:type="dxa"/>
        <w:jc w:val="left"/>
        <w:tblInd w:w="0" w:type="dxa"/>
        <w:tblLayout w:type="fixed"/>
        <w:tblCellMar>
          <w:top w:w="28" w:type="dxa"/>
          <w:left w:w="28" w:type="dxa"/>
          <w:bottom w:w="28" w:type="dxa"/>
          <w:right w:w="28" w:type="dxa"/>
        </w:tblCellMar>
      </w:tblPr>
      <w:tblGrid>
        <w:gridCol w:w="402"/>
        <w:gridCol w:w="353"/>
        <w:gridCol w:w="356"/>
        <w:gridCol w:w="109"/>
        <w:gridCol w:w="109"/>
        <w:gridCol w:w="109"/>
        <w:gridCol w:w="211"/>
        <w:gridCol w:w="766"/>
        <w:gridCol w:w="109"/>
        <w:gridCol w:w="109"/>
        <w:gridCol w:w="109"/>
        <w:gridCol w:w="109"/>
        <w:gridCol w:w="211"/>
        <w:gridCol w:w="766"/>
        <w:gridCol w:w="109"/>
        <w:gridCol w:w="109"/>
        <w:gridCol w:w="109"/>
        <w:gridCol w:w="109"/>
        <w:gridCol w:w="310"/>
        <w:gridCol w:w="301"/>
        <w:gridCol w:w="755"/>
        <w:gridCol w:w="109"/>
        <w:gridCol w:w="109"/>
        <w:gridCol w:w="109"/>
        <w:gridCol w:w="211"/>
        <w:gridCol w:w="766"/>
        <w:gridCol w:w="109"/>
        <w:gridCol w:w="109"/>
        <w:gridCol w:w="109"/>
        <w:gridCol w:w="109"/>
        <w:gridCol w:w="211"/>
        <w:gridCol w:w="766"/>
        <w:gridCol w:w="109"/>
        <w:gridCol w:w="109"/>
        <w:gridCol w:w="109"/>
        <w:gridCol w:w="109"/>
        <w:gridCol w:w="301"/>
        <w:gridCol w:w="285"/>
        <w:gridCol w:w="83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&amp;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&amp;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 in U.S. &amp; Canada property segment gross margin was primarily attributable to the decrease in revenue described above, partially offset by a decrease in direct expenses of $1.7 million, primarily due to a decrease in land rent costs, partially offset by increases in repair and maintenance spending and property taxes. Direct expenses also benefited by $0.1 million from the impact of foreign currency translation.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Africa &amp; APAC property segment gross margin was primarily attributable to the increase in revenue described above, partially offset by an increase in direct expenses of $31.4 million, primarily due to an increase in costs associated with pass-through revenue, including fuel and utility costs. Direct expenses were also negatively impacted by $10.9 million from the impact of foreign currency translation.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Europe property segment gross margin was primarily attributable to the increase in revenue described above, partially offset by an increase in direct expenses of $6.8 million, primarily due to an increase in costs associated with pass-through revenue, including energy costs and an increase in land rent costs. Direct expenses were also negatively impacted by $2.7 million from the impact of foreign currency translation.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Latin America property segment gross margin was primarily attributable to the increase in revenue described above and a decrease in direct expenses of $6.1 million, primarily due to a decrease in land rent costs. Direct expenses were negatively impacted by $12.5 million from the impact of foreign currency translation.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Data Centers segment gross margin was primarily attributable to the increase in revenue described above, partially offset by an increase in direct expenses of $10.9 million, primarily due to an increase in costs associated with power revenue, including utility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 in Services segment gross margin was primarily attributable to the decrease in revenue described above, partially offset by a decrease in direct expenses of $14.7 million.</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decrease in U.S. &amp; Canada property segment gross margin was primarily attributable to the decrease in revenue described above and an increase in direct expenses of $2.2 million, primarily due to an increase in repair and maintenance spending, partially offset by a decrease in land rent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Africa &amp; APAC property segment gross margin was primarily attributable to the increase in revenue described above, partially offset by an increase in direct expenses of $40.5 million, primarily due to an increase in costs associated with pass-through revenue, including fuel and utility costs. Direct expenses were also negatively impacted by $22.6 million from the impact of foreign currency translation.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Europe property segment gross margin was primarily attributable to the increase in revenue described above, partially offset by an increase in direct expenses of $13.7 million, primarily due to an increase in costs associated with pass-through revenue, including energy costs and an increase in land rent costs. Direct expenses were also negatively impacted by $12.3 million from the impact of foreign currency translation.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Latin America property segment gross margin was primarily attributable to the increase in revenue described above and a decrease in direct expenses of $8.5 million, primarily due to a decrease in land rent costs. Direct expenses were also negatively impacted by $26.0 million from the impact of foreign currency translation.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Data Centers segment gross margin was primarily attributable to the increase in revenue described above, partially offset by an increase in direct expenses of $23.7 million, primarily due to an increase in costs associated with power revenue, including utility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 in Services segment gross margin was primarily attributable to the decrease in revenue described above, partially offset by a decrease in direct expenses of $11.1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Administrative and Development Expense (“SG&amp;A”)</w:t>
      </w:r>
    </w:p>
    <w:tbl>
      <w:tblPr>
        <w:tblW w:w="10205" w:type="dxa"/>
        <w:jc w:val="left"/>
        <w:tblInd w:w="0" w:type="dxa"/>
        <w:tblLayout w:type="fixed"/>
        <w:tblCellMar>
          <w:top w:w="28" w:type="dxa"/>
          <w:left w:w="28" w:type="dxa"/>
          <w:bottom w:w="28" w:type="dxa"/>
          <w:right w:w="28" w:type="dxa"/>
        </w:tblCellMar>
      </w:tblPr>
      <w:tblGrid>
        <w:gridCol w:w="831"/>
        <w:gridCol w:w="699"/>
        <w:gridCol w:w="629"/>
        <w:gridCol w:w="109"/>
        <w:gridCol w:w="109"/>
        <w:gridCol w:w="109"/>
        <w:gridCol w:w="212"/>
        <w:gridCol w:w="620"/>
        <w:gridCol w:w="109"/>
        <w:gridCol w:w="109"/>
        <w:gridCol w:w="109"/>
        <w:gridCol w:w="109"/>
        <w:gridCol w:w="212"/>
        <w:gridCol w:w="620"/>
        <w:gridCol w:w="109"/>
        <w:gridCol w:w="109"/>
        <w:gridCol w:w="109"/>
        <w:gridCol w:w="109"/>
        <w:gridCol w:w="261"/>
        <w:gridCol w:w="249"/>
        <w:gridCol w:w="624"/>
        <w:gridCol w:w="109"/>
        <w:gridCol w:w="109"/>
        <w:gridCol w:w="109"/>
        <w:gridCol w:w="211"/>
        <w:gridCol w:w="616"/>
        <w:gridCol w:w="109"/>
        <w:gridCol w:w="109"/>
        <w:gridCol w:w="109"/>
        <w:gridCol w:w="109"/>
        <w:gridCol w:w="211"/>
        <w:gridCol w:w="616"/>
        <w:gridCol w:w="109"/>
        <w:gridCol w:w="109"/>
        <w:gridCol w:w="109"/>
        <w:gridCol w:w="109"/>
        <w:gridCol w:w="258"/>
        <w:gridCol w:w="237"/>
        <w:gridCol w:w="701"/>
      </w:tblGrid>
      <w:tr>
        <w:trPr/>
        <w:tc>
          <w:tcPr>
            <w:tcW w:w="83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&amp;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&amp;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administrative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our U.S. &amp; Canada property segment SG&amp;A was primarily driven by an increase in professional services costs and higher canceled construction costs, partially offset by decreased personnel and related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The increase in our Africa &amp; APAC property segment SG&amp;A was primarily driven by increased personnel and related costs to support our business, increased professional services costs and the negative impact of foreign currency translation.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The increase in our Europe property segment SG&amp;A was primarily driven by increased personnel and related costs to support our business and the negative impact of foreign currency translation.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The decrease in our Latin America property segment SG&amp;A was primarily driven by a decrease in bad debt expense of $5.3 million, partially offset by the negative impact of foreign currency translation.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our Data Centers segment SG&amp;A was primarily driven by increased personnel and related costs to support our business and increased legal and professional services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 in our Services segment SG&amp;A was primarily driven by decreased personnel and related costs and decreased professional services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 in other SG&amp;A was primarily attributable to a decrease in stock-based compensation expense of $13.1 million, partially offset by an increase in corporate SG&amp;A, including an increase in personnel and related costs to support our business.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 in our U.S. &amp; Canada property segment SG&amp;A was primarily driven by a decrease in net bad debt expense and decreased personnel and related costs, partially offset by increased professional services costs and higher canceled construction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The increase in our Africa &amp; APAC property segment SG&amp;A was primarily driven by increased personnel and related costs to support our business and the negative impact of foreign currency translation, partially offset by decreased professional services costs.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The increase in our Europe property segment SG&amp;A was primarily driven by increased personnel and related costs to support our business and the negative impact of foreign currency translation, partially offset by decreased professional services costs.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our Latin America property segment SG&amp;A was primarily driven by higher canceled construction costs and the negative impact of foreign currency translation, partially offset by a decrease in bad debt expense of $3.1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our Data Centers segment SG&amp;A was primarily driven by increased personnel and related costs to support our business and increased legal and professional services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 in our Services segment SG&amp;A was primarily driven by a decrease in net bad debt expense, decreased personnel and related costs and decreased professional services costs.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other SG&amp;A was primarily attributable to an increase in corporate SG&amp;A, including an increase in personnel and related costs to support our business, partially offset by a decrease in stock-based compensation expense of $8.1 million.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Profit</w:t>
      </w:r>
    </w:p>
    <w:tbl>
      <w:tblPr>
        <w:tblW w:w="10205" w:type="dxa"/>
        <w:jc w:val="left"/>
        <w:tblInd w:w="0" w:type="dxa"/>
        <w:tblLayout w:type="fixed"/>
        <w:tblCellMar>
          <w:top w:w="28" w:type="dxa"/>
          <w:left w:w="28" w:type="dxa"/>
          <w:bottom w:w="28" w:type="dxa"/>
          <w:right w:w="28" w:type="dxa"/>
        </w:tblCellMar>
      </w:tblPr>
      <w:tblGrid>
        <w:gridCol w:w="402"/>
        <w:gridCol w:w="353"/>
        <w:gridCol w:w="356"/>
        <w:gridCol w:w="109"/>
        <w:gridCol w:w="109"/>
        <w:gridCol w:w="109"/>
        <w:gridCol w:w="211"/>
        <w:gridCol w:w="766"/>
        <w:gridCol w:w="109"/>
        <w:gridCol w:w="109"/>
        <w:gridCol w:w="109"/>
        <w:gridCol w:w="109"/>
        <w:gridCol w:w="211"/>
        <w:gridCol w:w="766"/>
        <w:gridCol w:w="109"/>
        <w:gridCol w:w="109"/>
        <w:gridCol w:w="109"/>
        <w:gridCol w:w="109"/>
        <w:gridCol w:w="310"/>
        <w:gridCol w:w="301"/>
        <w:gridCol w:w="755"/>
        <w:gridCol w:w="109"/>
        <w:gridCol w:w="109"/>
        <w:gridCol w:w="109"/>
        <w:gridCol w:w="211"/>
        <w:gridCol w:w="766"/>
        <w:gridCol w:w="109"/>
        <w:gridCol w:w="109"/>
        <w:gridCol w:w="109"/>
        <w:gridCol w:w="109"/>
        <w:gridCol w:w="211"/>
        <w:gridCol w:w="766"/>
        <w:gridCol w:w="109"/>
        <w:gridCol w:w="109"/>
        <w:gridCol w:w="109"/>
        <w:gridCol w:w="109"/>
        <w:gridCol w:w="301"/>
        <w:gridCol w:w="285"/>
        <w:gridCol w:w="83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&amp;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&amp;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decrease in operating profit for the three months ended June 30, 2026 for our U.S. &amp; Canada property segment was primarily attributable to a decrease in our segment gross margin and an increase in our segment SG&amp;A. The decrease in operating profit for the six months ended June 30, 2026 for our U.S. &amp; Canada property segment was primarily attributable to a decrease in our segment gross margin, partially offset by a decrease in our segment SG&amp;A.</w:t>
      </w:r>
    </w:p>
    <w:p>
      <w:pPr>
        <w:pStyle w:val="TextBody"/>
        <w:bidi w:val="0"/>
        <w:spacing w:lineRule="auto" w:line="288" w:before="0" w:after="160"/>
        <w:ind w:left="0" w:right="0" w:hanging="360"/>
        <w:jc w:val="left"/>
        <w:rPr/>
      </w:pPr>
      <w:r>
        <w:rPr>
          <w:color w:val="000000"/>
          <w:shd w:fill="FFFFFF" w:val="clear"/>
        </w:rPr>
        <w:t>•</w:t>
      </w:r>
      <w:r>
        <w:rPr>
          <w:rFonts w:ascii="Times New Roman;serif" w:hAnsi="Times New Roman;serif"/>
          <w:b w:val="false"/>
          <w:color w:val="000000"/>
          <w:sz w:val="20"/>
        </w:rPr>
        <w:t>The increases in operating profit for the three and six months ended June 30, 2026 for our Africa &amp; APAC property segment, Europe property segment and our Data Centers segment were primarily attributable to increases in our segment gross margin, partially offset by increases in our segment SG&amp;A.</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increase in operating profit for the three months ended June 30, 2026 for our Latin America property segment was primarily attributable to an increase in our segment gross margin and a decrease in our segment SG&amp;A. The increase in operating profit for the six months ended June 30, 2026 for our Latin America property segment was primarily attributable to an increase in our segment gross margin, partially offset by an increase in our segment SG&amp;A.</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decreases in operating profit for the three and six months ended June 30, 2026 for our Services segment were primarily attributable to decreases in our segment gross margin, partially offset by decreases in our segment SG&amp;A.</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 Amortization and Accretion</w:t>
      </w:r>
    </w:p>
    <w:tbl>
      <w:tblPr>
        <w:tblW w:w="10205" w:type="dxa"/>
        <w:jc w:val="left"/>
        <w:tblInd w:w="0" w:type="dxa"/>
        <w:tblLayout w:type="fixed"/>
        <w:tblCellMar>
          <w:top w:w="28" w:type="dxa"/>
          <w:left w:w="28" w:type="dxa"/>
          <w:bottom w:w="28" w:type="dxa"/>
          <w:right w:w="28" w:type="dxa"/>
        </w:tblCellMar>
      </w:tblPr>
      <w:tblGrid>
        <w:gridCol w:w="656"/>
        <w:gridCol w:w="577"/>
        <w:gridCol w:w="580"/>
        <w:gridCol w:w="109"/>
        <w:gridCol w:w="109"/>
        <w:gridCol w:w="109"/>
        <w:gridCol w:w="212"/>
        <w:gridCol w:w="620"/>
        <w:gridCol w:w="109"/>
        <w:gridCol w:w="109"/>
        <w:gridCol w:w="109"/>
        <w:gridCol w:w="109"/>
        <w:gridCol w:w="212"/>
        <w:gridCol w:w="620"/>
        <w:gridCol w:w="109"/>
        <w:gridCol w:w="109"/>
        <w:gridCol w:w="109"/>
        <w:gridCol w:w="109"/>
        <w:gridCol w:w="257"/>
        <w:gridCol w:w="257"/>
        <w:gridCol w:w="646"/>
        <w:gridCol w:w="109"/>
        <w:gridCol w:w="109"/>
        <w:gridCol w:w="109"/>
        <w:gridCol w:w="211"/>
        <w:gridCol w:w="766"/>
        <w:gridCol w:w="109"/>
        <w:gridCol w:w="109"/>
        <w:gridCol w:w="109"/>
        <w:gridCol w:w="109"/>
        <w:gridCol w:w="211"/>
        <w:gridCol w:w="766"/>
        <w:gridCol w:w="109"/>
        <w:gridCol w:w="109"/>
        <w:gridCol w:w="109"/>
        <w:gridCol w:w="109"/>
        <w:gridCol w:w="245"/>
        <w:gridCol w:w="245"/>
        <w:gridCol w:w="726"/>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increases in depreciation, amortization and accretion expense for the three and six months ended June 30, 2026 were primarily attributable to foreign currency exchange rate fluctuations.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Other Operating (Income)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9"/>
        <w:gridCol w:w="580"/>
        <w:gridCol w:w="582"/>
        <w:gridCol w:w="109"/>
        <w:gridCol w:w="109"/>
        <w:gridCol w:w="109"/>
        <w:gridCol w:w="227"/>
        <w:gridCol w:w="488"/>
        <w:gridCol w:w="117"/>
        <w:gridCol w:w="117"/>
        <w:gridCol w:w="117"/>
        <w:gridCol w:w="117"/>
        <w:gridCol w:w="227"/>
        <w:gridCol w:w="488"/>
        <w:gridCol w:w="117"/>
        <w:gridCol w:w="109"/>
        <w:gridCol w:w="109"/>
        <w:gridCol w:w="109"/>
        <w:gridCol w:w="371"/>
        <w:gridCol w:w="315"/>
        <w:gridCol w:w="791"/>
        <w:gridCol w:w="109"/>
        <w:gridCol w:w="109"/>
        <w:gridCol w:w="109"/>
        <w:gridCol w:w="211"/>
        <w:gridCol w:w="511"/>
        <w:gridCol w:w="109"/>
        <w:gridCol w:w="109"/>
        <w:gridCol w:w="109"/>
        <w:gridCol w:w="109"/>
        <w:gridCol w:w="211"/>
        <w:gridCol w:w="554"/>
        <w:gridCol w:w="109"/>
        <w:gridCol w:w="109"/>
        <w:gridCol w:w="109"/>
        <w:gridCol w:w="109"/>
        <w:gridCol w:w="368"/>
        <w:gridCol w:w="298"/>
        <w:gridCol w:w="886"/>
      </w:tblGrid>
      <w:tr>
        <w:trPr/>
        <w:tc>
          <w:tcPr>
            <w:tcW w:w="6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change in other operating (income) expense during the three months ended June 30, 2026 was primarily attributable to an increase in gains on sales or disposals of assets, primarily attributable to the net gain on the sales of ATC Philippines and our controlling interest in KTBL of $20.4 million, partially offset by an increase in integration and acquisition related costs, including benefits related to pre-acquisition contingencies and settlements.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other operating (income) expense during the six months ended June 30, 2026 was primarily attributable to a decrease in gains on sales or disposals of assets and an increase in impairment charges, primarily related to DISH in the United States. Operating (income) expense during the six months ended June 30, 2026 and 2025 includes a net gain on the sales of ATC Philippines and our controlling interest in KTBL of $20.4 million and a gain on the sale of our fiber assets in South Africa (“South Africa Fiber”) of $53.6 million, respectively. </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Total Other Expense</w:t>
      </w:r>
    </w:p>
    <w:tbl>
      <w:tblPr>
        <w:tblW w:w="10205" w:type="dxa"/>
        <w:jc w:val="left"/>
        <w:tblInd w:w="0" w:type="dxa"/>
        <w:tblLayout w:type="fixed"/>
        <w:tblCellMar>
          <w:top w:w="28" w:type="dxa"/>
          <w:left w:w="28" w:type="dxa"/>
          <w:bottom w:w="28" w:type="dxa"/>
          <w:right w:w="28" w:type="dxa"/>
        </w:tblCellMar>
      </w:tblPr>
      <w:tblGrid>
        <w:gridCol w:w="460"/>
        <w:gridCol w:w="404"/>
        <w:gridCol w:w="407"/>
        <w:gridCol w:w="109"/>
        <w:gridCol w:w="109"/>
        <w:gridCol w:w="109"/>
        <w:gridCol w:w="214"/>
        <w:gridCol w:w="625"/>
        <w:gridCol w:w="110"/>
        <w:gridCol w:w="110"/>
        <w:gridCol w:w="110"/>
        <w:gridCol w:w="110"/>
        <w:gridCol w:w="214"/>
        <w:gridCol w:w="625"/>
        <w:gridCol w:w="110"/>
        <w:gridCol w:w="109"/>
        <w:gridCol w:w="109"/>
        <w:gridCol w:w="109"/>
        <w:gridCol w:w="338"/>
        <w:gridCol w:w="330"/>
        <w:gridCol w:w="828"/>
        <w:gridCol w:w="109"/>
        <w:gridCol w:w="109"/>
        <w:gridCol w:w="109"/>
        <w:gridCol w:w="211"/>
        <w:gridCol w:w="616"/>
        <w:gridCol w:w="109"/>
        <w:gridCol w:w="109"/>
        <w:gridCol w:w="109"/>
        <w:gridCol w:w="109"/>
        <w:gridCol w:w="211"/>
        <w:gridCol w:w="766"/>
        <w:gridCol w:w="109"/>
        <w:gridCol w:w="109"/>
        <w:gridCol w:w="109"/>
        <w:gridCol w:w="109"/>
        <w:gridCol w:w="325"/>
        <w:gridCol w:w="311"/>
        <w:gridCol w:w="917"/>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consists primarily of interest expense and realized and unrealized foreign currency gains or losses as a result of foreign currency exchange rate fluctuations primarily associated with our EUR denominated senior unsecured notes, our intercompany notes and similar unaffiliated balances denominated in a currency other than the subsidiaries’ functional currencies.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decrease in total other expense during the three months ended June 30, 2026 was primarily due to foreign currency gains of $42.1 million in the current period, as compared to foreign currency losses of $484.0 million in the prior-year period. The decrease in total other expense during the six months ended June 30, 2026 was primarily due to foreign currency gains of $110.2 million in the current period, as compared to foreign currency losses of $829.7 million in the prior-year period. Total other expense during the three and six months ended June 30, 2026 and 2025 also includes unrealized gains from equity securities in the United States of $12.0 million, $110.7 million, $36.4 million and $118.3 million, respectively.</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Provision</w:t>
      </w:r>
    </w:p>
    <w:tbl>
      <w:tblPr>
        <w:tblW w:w="10205" w:type="dxa"/>
        <w:jc w:val="left"/>
        <w:tblInd w:w="0" w:type="dxa"/>
        <w:tblLayout w:type="fixed"/>
        <w:tblCellMar>
          <w:top w:w="28" w:type="dxa"/>
          <w:left w:w="28" w:type="dxa"/>
          <w:bottom w:w="28" w:type="dxa"/>
          <w:right w:w="28" w:type="dxa"/>
        </w:tblCellMar>
      </w:tblPr>
      <w:tblGrid>
        <w:gridCol w:w="449"/>
        <w:gridCol w:w="395"/>
        <w:gridCol w:w="397"/>
        <w:gridCol w:w="109"/>
        <w:gridCol w:w="109"/>
        <w:gridCol w:w="109"/>
        <w:gridCol w:w="211"/>
        <w:gridCol w:w="616"/>
        <w:gridCol w:w="271"/>
        <w:gridCol w:w="109"/>
        <w:gridCol w:w="109"/>
        <w:gridCol w:w="109"/>
        <w:gridCol w:w="211"/>
        <w:gridCol w:w="616"/>
        <w:gridCol w:w="271"/>
        <w:gridCol w:w="109"/>
        <w:gridCol w:w="109"/>
        <w:gridCol w:w="109"/>
        <w:gridCol w:w="284"/>
        <w:gridCol w:w="284"/>
        <w:gridCol w:w="712"/>
        <w:gridCol w:w="109"/>
        <w:gridCol w:w="109"/>
        <w:gridCol w:w="109"/>
        <w:gridCol w:w="211"/>
        <w:gridCol w:w="616"/>
        <w:gridCol w:w="271"/>
        <w:gridCol w:w="109"/>
        <w:gridCol w:w="109"/>
        <w:gridCol w:w="109"/>
        <w:gridCol w:w="211"/>
        <w:gridCol w:w="616"/>
        <w:gridCol w:w="271"/>
        <w:gridCol w:w="109"/>
        <w:gridCol w:w="109"/>
        <w:gridCol w:w="109"/>
        <w:gridCol w:w="269"/>
        <w:gridCol w:w="269"/>
        <w:gridCol w:w="792"/>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a real estate investment trust for U.S. federal income tax purposes (“REIT”), we may deduct earnings distributed to stockholders against the income generated by our REIT operations. Consequently, the effective tax rate on income from continuing operations for the three and six months ended June 30, 2026 and 2025 differs from the federal statutory rate.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1, 2024, we and our subsidiaries, in principle, became subject to the Organization for Economic Cooperation and Development (the “OECD”) Global Anti-Base Erosion Rules (the “Pillar 2 Rules”) as promulgated by jurisdictions. The Pillar 2 Rules can potentially lead to additional taxes (“Top-Up Tax”) when the effective tax rate (as defined by the Pillar 2 Rules) in a jurisdiction is below 15%. The Pillar 2 Rules, however, do not apply to “Excluded Entities” and certain subsidiaries of Excluded Entities. We believe we qualify as an Excluded Entity as a “Real Estate Investment Vehicle.” In the event certain subsidiaries do not qualify as Excluded Entities, available “Safe Harbor” rules could apply that would exempt the entities from any Top-Up Tax. Substantially all of our non-excluded, non-U.S. jurisdictions qualify for one or more of the Safe Harbor rules. The remaining non-U.S. jurisdictions that may not qualify could have immaterial Top-Up Tax. Beginning in fiscal year 2026, the U.S. income of non-excluded U.S. domiciled entities may result in immaterial Top-Up Tax; however, on January 5, 2026, the OECD announced a comprehensive Side-by-Side Safe Harbor that, if enacted, would exempt U.S.-parented multinational companies from certain Top-Up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Taxes under the Pillar 2 Rules beginning January 1, 2026. While the Side-by-Side Safe Harbor has yet to be enacted in any jurisdiction in which we operate, there is an expectation the Side-by-Side Safe Harbor may be adopted prior to year end. The amount of Top-Up Tax from our U.S. income is immaterial.</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the income tax provision during the three months ended June 30, 2026 was primarily attributable to unrealized gains from equity securities in the United States and the accrual of taxes related to the anticipated repatriation of funds from certain foreign subsidiaries during the three months ended June 30, 2025, partially offset by an increase in earnings in certain foreign jurisdictions during the three months ended June 30, 2026. The increase in the income tax provision during the six months ended June 30, 2026 was primarily attributable to an increase in earnings in certain foreign jurisdictions, partially offset by unrealized gains from equity securities in the United States and taxes related to the sale of South Africa Fiber during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0"/>
        </w:rPr>
        <w:t>Net Income / Adjusted EBITDA and Net Income / Nareit FFO attributable to American Tower Corporation common stockholders / AFFO attributable to American Tower Corporation common stockholders</w:t>
      </w:r>
      <w:r>
        <w:rPr>
          <w:color w:val="000000"/>
        </w:rPr>
        <w:t> </w:t>
      </w:r>
    </w:p>
    <w:tbl>
      <w:tblPr>
        <w:tblW w:w="10205" w:type="dxa"/>
        <w:jc w:val="left"/>
        <w:tblInd w:w="0" w:type="dxa"/>
        <w:tblLayout w:type="fixed"/>
        <w:tblCellMar>
          <w:top w:w="28" w:type="dxa"/>
          <w:left w:w="28" w:type="dxa"/>
          <w:bottom w:w="28" w:type="dxa"/>
          <w:right w:w="28" w:type="dxa"/>
        </w:tblCellMar>
      </w:tblPr>
      <w:tblGrid>
        <w:gridCol w:w="827"/>
        <w:gridCol w:w="421"/>
        <w:gridCol w:w="372"/>
        <w:gridCol w:w="109"/>
        <w:gridCol w:w="109"/>
        <w:gridCol w:w="109"/>
        <w:gridCol w:w="211"/>
        <w:gridCol w:w="766"/>
        <w:gridCol w:w="109"/>
        <w:gridCol w:w="109"/>
        <w:gridCol w:w="109"/>
        <w:gridCol w:w="109"/>
        <w:gridCol w:w="211"/>
        <w:gridCol w:w="766"/>
        <w:gridCol w:w="109"/>
        <w:gridCol w:w="109"/>
        <w:gridCol w:w="109"/>
        <w:gridCol w:w="109"/>
        <w:gridCol w:w="326"/>
        <w:gridCol w:w="223"/>
        <w:gridCol w:w="560"/>
        <w:gridCol w:w="109"/>
        <w:gridCol w:w="109"/>
        <w:gridCol w:w="109"/>
        <w:gridCol w:w="211"/>
        <w:gridCol w:w="766"/>
        <w:gridCol w:w="109"/>
        <w:gridCol w:w="109"/>
        <w:gridCol w:w="109"/>
        <w:gridCol w:w="109"/>
        <w:gridCol w:w="211"/>
        <w:gridCol w:w="766"/>
        <w:gridCol w:w="109"/>
        <w:gridCol w:w="109"/>
        <w:gridCol w:w="109"/>
        <w:gridCol w:w="109"/>
        <w:gridCol w:w="326"/>
        <w:gridCol w:w="214"/>
        <w:gridCol w:w="630"/>
      </w:tblGrid>
      <w:tr>
        <w:trPr/>
        <w:tc>
          <w:tcPr>
            <w:tcW w:w="8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9"/>
        <w:gridCol w:w="530"/>
        <w:gridCol w:w="537"/>
        <w:gridCol w:w="109"/>
        <w:gridCol w:w="109"/>
        <w:gridCol w:w="109"/>
        <w:gridCol w:w="211"/>
        <w:gridCol w:w="766"/>
        <w:gridCol w:w="109"/>
        <w:gridCol w:w="109"/>
        <w:gridCol w:w="109"/>
        <w:gridCol w:w="109"/>
        <w:gridCol w:w="211"/>
        <w:gridCol w:w="766"/>
        <w:gridCol w:w="109"/>
        <w:gridCol w:w="109"/>
        <w:gridCol w:w="109"/>
        <w:gridCol w:w="109"/>
        <w:gridCol w:w="309"/>
        <w:gridCol w:w="194"/>
        <w:gridCol w:w="488"/>
        <w:gridCol w:w="109"/>
        <w:gridCol w:w="109"/>
        <w:gridCol w:w="109"/>
        <w:gridCol w:w="211"/>
        <w:gridCol w:w="766"/>
        <w:gridCol w:w="109"/>
        <w:gridCol w:w="109"/>
        <w:gridCol w:w="109"/>
        <w:gridCol w:w="109"/>
        <w:gridCol w:w="211"/>
        <w:gridCol w:w="766"/>
        <w:gridCol w:w="109"/>
        <w:gridCol w:w="109"/>
        <w:gridCol w:w="109"/>
        <w:gridCol w:w="109"/>
        <w:gridCol w:w="313"/>
        <w:gridCol w:w="187"/>
        <w:gridCol w:w="552"/>
      </w:tblGrid>
      <w:tr>
        <w:trPr/>
        <w:tc>
          <w:tcPr>
            <w:tcW w:w="78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Increase (Decrease)</w:t>
            </w:r>
          </w:p>
        </w:tc>
      </w:tr>
      <w:tr>
        <w:trPr/>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related 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or disposal of real estate and real estate related impairment charges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distributions for unconsolidated affiliates and noncontrolling interests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attributable to American Tower Corporation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portion of income tax and other income tax adjustments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Non-real estate related 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capitalized interest, debt discounts and premiums and long-term deferred interest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retirement of long-term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improvement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distributions for unconsolidated affiliates and noncontrolling interests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AFFO attributable to American Tower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(1)For the three and six months ended June 30, 2026, includes a net gain on the sales of ATC Philippines and our controlling interest in KTBL of $20.4 million. For the six months ended June 30, 2025, includes a gain on the sale of South Africa Fiber of $53.6 million. </w:t>
      </w:r>
    </w:p>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(2)</w:t>
      </w:r>
      <w:r>
        <w:rPr>
          <w:rFonts w:ascii="Times New Roman;serif" w:hAnsi="Times New Roman;serif"/>
          <w:b w:val="false"/>
          <w:color w:val="000000"/>
          <w:sz w:val="16"/>
        </w:rPr>
        <w:t>Includes distributions to noncontrolling interest holders, distributions related to the outstanding mandatorily convertible preferred equity in connection with our agreements with certain investment vehicles affiliated with Stonepeak Partners LP and adjustments for the impact of noncontrolling interests on Nareit FFO attributable to American Tower Corporation common stockholders.</w:t>
      </w:r>
    </w:p>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For the six months ended June 30, 2026, includes adjustments for refunds in Germany of $0.5 million. For the three and six months ended June 30, 2025, includes adjustments for taxes paid in South Africa of $19.6 million, which were incurred as a result of the sale of South Africa Fiber. We believe that these tax adjustments are nonrecurring, and do not believe these are an indication of our operating performance. Accordingly, we believe it is more meaningful to present AFFO attributable to American Tower Corporation common stockholders excluding these amounts.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(4)Includes (gains) losses on foreign currency exchange rate fluctuations of $(42.1) million, $484.0 million, $(110.2) million and $829.7 million,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(5)Primarily includes acquisition-related costs, integration costs and disposition costs.</w:t>
      </w:r>
    </w:p>
    <w:p>
      <w:pPr>
        <w:pStyle w:val="TextBody"/>
        <w:bidi w:val="0"/>
        <w:spacing w:lineRule="auto" w:line="26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adjustments for the impact of noncontrolling interests on other line items, excluding those already adjusted for in Nareit FFO attributable to American Tower Corporation common stockholders.</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net income for the three months ended June 30, 2026 was primarily due to (i) changes in other income (expense), primarily due to foreign currency exchange rate fluctuations and a decrease in unrealized gains from equity securities in the United States, and (ii) an increase in segment operating profit, partially offset by (y) an increase in interest expense and (z) an increase in depreciation, amortization and accretion expense. </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net income for the six months ended June 30, 2026 was primarily due to (i) changes in other income (expense), primarily due to foreign currency exchange rate fluctuations and a decrease in unrealized gains from equity securities in the United States, and (ii) an increase in segment operating profit, partially offset by (w) changes in other operating (income) expense, which included the net gain on the sales of ATC Philippines and our controlling interest in KTBL during the six months ended June 30, 2026 and the gain on the sale of South Africa Fiber during the six months ended June 30, 2025, (x) an increase in interest expense, (y) an increase in depreciation, amortization and accretion expense and (z) an increase in the income tax provision.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increases in Adjusted EBITDA for the three and six months ended June 30, 2026 were primarily attributable to an increases in our gross margin, partially offset by an increases in SG&amp;A, excluding the impact of stock-based compensation expense, of $13.2 million and $28.1 million, respectively.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increase in AFFO attributable to American Tower Corporation common stockholders for the three months ended June 30, 2026 was primarily attributable to an increase in our operating profit, excluding the impact of straight-line accounting, partially offset by (i) an increase in cash paid for income taxes, (ii) increases in distributions and adjustments for noncontrolling interests, including distributions to noncontrolling interest holders in our Europe property segment and Data Centers segment and (iii) an increase in capital improvement capital expenditures.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increase in AFFO attributable to American Tower Corporation common stockholders for the six months ended June 30, 2026 was primarily attributable to an increase in our operating profit, excluding the impact of straight-line accounting, partially offset by (i) increases in cash paid for interest and cash paid for income taxes, (ii) increases in distributions and adjustments for noncontrolling interests, including distributions to noncontrolling interest holders in our Europe property segment and Data Centers segment and (iii) increases in capital improvement and corporate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Segment Gross Margin Reconciliations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is defined as revenue less costs of operations inclusive of real estate related depreciation, amortization and accretion. Segment gross margin excludes depreciation, amortization and accretion. </w:t>
      </w:r>
    </w:p>
    <w:tbl>
      <w:tblPr>
        <w:tblW w:w="10885" w:type="dxa"/>
        <w:jc w:val="left"/>
        <w:tblInd w:w="0" w:type="dxa"/>
        <w:tblLayout w:type="fixed"/>
        <w:tblCellMar>
          <w:top w:w="28" w:type="dxa"/>
          <w:left w:w="28" w:type="dxa"/>
          <w:bottom w:w="28" w:type="dxa"/>
          <w:right w:w="28" w:type="dxa"/>
        </w:tblCellMar>
      </w:tblPr>
      <w:tblGrid>
        <w:gridCol w:w="599"/>
        <w:gridCol w:w="210"/>
        <w:gridCol w:w="212"/>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related 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85" w:type="dxa"/>
        <w:jc w:val="left"/>
        <w:tblInd w:w="0" w:type="dxa"/>
        <w:tblLayout w:type="fixed"/>
        <w:tblCellMar>
          <w:top w:w="28" w:type="dxa"/>
          <w:left w:w="28" w:type="dxa"/>
          <w:bottom w:w="28" w:type="dxa"/>
          <w:right w:w="28" w:type="dxa"/>
        </w:tblCellMar>
      </w:tblPr>
      <w:tblGrid>
        <w:gridCol w:w="599"/>
        <w:gridCol w:w="210"/>
        <w:gridCol w:w="212"/>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related 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85" w:type="dxa"/>
        <w:jc w:val="left"/>
        <w:tblInd w:w="0" w:type="dxa"/>
        <w:tblLayout w:type="fixed"/>
        <w:tblCellMar>
          <w:top w:w="28" w:type="dxa"/>
          <w:left w:w="28" w:type="dxa"/>
          <w:bottom w:w="28" w:type="dxa"/>
          <w:right w:w="28" w:type="dxa"/>
        </w:tblCellMar>
      </w:tblPr>
      <w:tblGrid>
        <w:gridCol w:w="599"/>
        <w:gridCol w:w="210"/>
        <w:gridCol w:w="212"/>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related 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85" w:type="dxa"/>
        <w:jc w:val="left"/>
        <w:tblInd w:w="0" w:type="dxa"/>
        <w:tblLayout w:type="fixed"/>
        <w:tblCellMar>
          <w:top w:w="28" w:type="dxa"/>
          <w:left w:w="28" w:type="dxa"/>
          <w:bottom w:w="28" w:type="dxa"/>
          <w:right w:w="28" w:type="dxa"/>
        </w:tblCellMar>
      </w:tblPr>
      <w:tblGrid>
        <w:gridCol w:w="599"/>
        <w:gridCol w:w="210"/>
        <w:gridCol w:w="212"/>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Property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Services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Africa &amp; APAC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related 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section updates as of June 30, 2026 the “Liquidity and Capital Resources” section of the 2025 Form 10-K and should be read in conjunction with that report.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significant financing transactions included: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Repayment of our 4.400% senior unsecured notes due 2026 (the “4.400%” Notes”), our 1.600% senior unsecured notes due 2026 (the “1.600% Notes”) and our 1.950% senior unsecured notes due 2026 (the “1.950% Notes”) upon their maturity 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Partial redemption of 250.0 million EUR of our 4.125% senior unsecured notes due 2027 (the “4.125% Notes”) for an aggregate redemption price of approximately 253.3 million EUR (approximately $290.2 million as of the repayment 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Registered public offering in an aggregate principal amount of 750.0 million EUR of senior unsecured notes with maturities in 2033;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Amendments to the 2021 Multicurrency Credit Facility, the 2021 Credit Facility and the 2021 Term Loan (each as defined below) to, among other things, extend the maturity dates thereunder.</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As a holding company, our cash flows are derived primarily from the operations of, and distributions from, our operating subsidiaries or funds raised through borrowings under our credit facilities and debt or equity offerings.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components of our liquidity (in millions):</w:t>
      </w:r>
    </w:p>
    <w:tbl>
      <w:tblPr>
        <w:tblW w:w="6223" w:type="dxa"/>
        <w:jc w:val="left"/>
        <w:tblInd w:w="0" w:type="dxa"/>
        <w:tblLayout w:type="fixed"/>
        <w:tblCellMar>
          <w:top w:w="28" w:type="dxa"/>
          <w:left w:w="28" w:type="dxa"/>
          <w:bottom w:w="28" w:type="dxa"/>
          <w:right w:w="28" w:type="dxa"/>
        </w:tblCellMar>
      </w:tblPr>
      <w:tblGrid>
        <w:gridCol w:w="1680"/>
        <w:gridCol w:w="1475"/>
        <w:gridCol w:w="1479"/>
        <w:gridCol w:w="296"/>
        <w:gridCol w:w="1077"/>
        <w:gridCol w:w="216"/>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the 2021 Multicurrency Credit Facility</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the 2021 Credit Facility</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under credit facilities, net</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8,180.6 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9,943.1 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pPr>
      <w:r>
        <w:rPr>
          <w:rFonts w:ascii="Times New Roman;serif" w:hAnsi="Times New Roman;serif"/>
          <w:b w:val="false"/>
          <w:color w:val="000000"/>
          <w:sz w:val="20"/>
        </w:rPr>
        <w:t>Subsequent to June 30, 2026, we made additional net borrowings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$660.0 million under the 2021 Multicurrency Credit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Summary cash flow information is set forth below (in millions): </w:t>
      </w:r>
    </w:p>
    <w:tbl>
      <w:tblPr>
        <w:tblW w:w="10205" w:type="dxa"/>
        <w:jc w:val="left"/>
        <w:tblInd w:w="0" w:type="dxa"/>
        <w:tblLayout w:type="fixed"/>
        <w:tblCellMar>
          <w:top w:w="28" w:type="dxa"/>
          <w:left w:w="28" w:type="dxa"/>
          <w:bottom w:w="28" w:type="dxa"/>
          <w:right w:w="28" w:type="dxa"/>
        </w:tblCellMar>
      </w:tblPr>
      <w:tblGrid>
        <w:gridCol w:w="2795"/>
        <w:gridCol w:w="2424"/>
        <w:gridCol w:w="2441"/>
        <w:gridCol w:w="211"/>
        <w:gridCol w:w="766"/>
        <w:gridCol w:w="109"/>
        <w:gridCol w:w="109"/>
        <w:gridCol w:w="109"/>
        <w:gridCol w:w="109"/>
        <w:gridCol w:w="211"/>
        <w:gridCol w:w="766"/>
        <w:gridCol w:w="155"/>
      </w:tblGrid>
      <w:tr>
        <w:trPr/>
        <w:tc>
          <w:tcPr>
            <w:tcW w:w="279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of changes in foreign currency exchange rates on cash and cash equivalents, and restricted cash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use our cash flows to fund our operations and investments in our business, including maintenance and improvements, communications site and data center construction, managed network installations and acquisitions. Additionally, we use our cash flows to make distributions, including distributions of our REIT taxable income to maintain our qualification for taxation as a REIT under the Internal Revenue Code of 1986, as amended (the “Code”). We may also periodically repay or repurchase our existing indebtedness or equity. We typically fund our international expansion efforts primarily through a combination of cash on hand, intercompany debt and equity contributions.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total outstanding indebtedness of $37.4 billion, with a current portion of $5.2 billion. During the six months ended June 30, 2026, we generated sufficient cash flow from operations, together with borrowings under our credit facilities, proceeds from our debt issuances and cash on hand, to fund our acquisitions,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expenditures and debt service obligations, as well as our required distributions. We believe the cash generated by operating activities during the year ending December 31, 2026, together with our borrowing capacity under our credit facilities, will suffice to fund our required distributions, capital expenditures, debt service obligations (interest and principal repayments) and signed acquisitions.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notional cash pooling arrangements with financial institutions for cash management purposes. These arrangements allow for cash withdrawals based upon aggregate cash balances on deposit at the same financial institution. </w:t>
      </w:r>
    </w:p>
    <w:p>
      <w:pPr>
        <w:pStyle w:val="TextBody"/>
        <w:bidi w:val="0"/>
        <w:spacing w:lineRule="auto" w:line="288" w:before="0" w:after="160"/>
        <w:jc w:val="left"/>
        <w:rPr/>
      </w:pPr>
      <w:r>
        <w:rPr>
          <w:rFonts w:ascii="Times New Roman;serif" w:hAnsi="Times New Roman;serif"/>
          <w:b/>
          <w:i/>
          <w:color w:val="000000"/>
          <w:sz w:val="20"/>
        </w:rPr>
        <w:t>Material Cash Requirements</w:t>
      </w:r>
      <w:r>
        <w:rPr>
          <w:color w:val="000000"/>
        </w:rPr>
        <w:t xml:space="preserve">— </w:t>
      </w:r>
      <w:r>
        <w:rPr>
          <w:rFonts w:ascii="Times New Roman;serif" w:hAnsi="Times New Roman;serif"/>
          <w:b w:val="false"/>
          <w:color w:val="000000"/>
          <w:sz w:val="20"/>
        </w:rPr>
        <w:t>There were no material changes to the Material Cash Requirements section of the 2025 Form 10-K.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$2.0 billion of cash and cash equivalents held by our foreign subsidiaries. As of June 30, 2026, we had $201.2 million of cash and cash equivalents held by our joint ventures, of which $141.9 million was held by our foreign joint ventures. Certain foreign subsidiaries may pay us interest or principal on intercompany debt. Additionally, in the event that we repatriate funds from our foreign subsidiaries, we may be required to accrue and pay certain taxes.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increase in cash provided by operating activities for the six months ended June 30, 2026 was primarily attributable to an increase in our operating profit, including the impact of straight-line accounting, and a decrease in cash required for working capital, primarily as a result of changes in unearned revenue, partially offset by increases in cash paid for interest and cash paid for taxes.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significant investing activities during the six months ended June 30, 2026 are highlighted below:</w:t>
      </w:r>
    </w:p>
    <w:p>
      <w:pPr>
        <w:pStyle w:val="TextBody"/>
        <w:bidi w:val="0"/>
        <w:spacing w:lineRule="auto" w:line="288" w:before="0" w:after="160"/>
        <w:ind w:left="0" w:right="0" w:hanging="270"/>
        <w:jc w:val="left"/>
        <w:rPr/>
      </w:pPr>
      <w:r>
        <w:rPr>
          <w:color w:val="000000"/>
        </w:rPr>
        <w:t>•</w:t>
      </w:r>
      <w:r>
        <w:rPr>
          <w:rFonts w:ascii="Times New Roman;serif" w:hAnsi="Times New Roman;serif"/>
          <w:b w:val="false"/>
          <w:color w:val="000000"/>
          <w:sz w:val="20"/>
        </w:rPr>
        <w:t>We spent $133.2 million for acquisitions,</w:t>
      </w:r>
    </w:p>
    <w:p>
      <w:pPr>
        <w:pStyle w:val="TextBody"/>
        <w:bidi w:val="0"/>
        <w:spacing w:lineRule="auto" w:line="288" w:before="0" w:after="160"/>
        <w:ind w:left="0" w:right="0" w:hanging="270"/>
        <w:jc w:val="left"/>
        <w:rPr/>
      </w:pPr>
      <w:r>
        <w:rPr>
          <w:color w:val="000000"/>
        </w:rPr>
        <w:t>•</w:t>
      </w:r>
      <w:r>
        <w:rPr>
          <w:rFonts w:ascii="Times New Roman;serif" w:hAnsi="Times New Roman;serif"/>
          <w:b w:val="false"/>
          <w:color w:val="000000"/>
          <w:sz w:val="20"/>
        </w:rPr>
        <w:t>We received $82.5 million from the sales of ATC Philippines and our controlling interest in KTBL,</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 xml:space="preserve">We spent $788.7 million for capital expenditures, as follows (in millions): </w:t>
      </w:r>
    </w:p>
    <w:tbl>
      <w:tblPr>
        <w:tblW w:w="5421" w:type="dxa"/>
        <w:jc w:val="center"/>
        <w:tblInd w:w="0" w:type="dxa"/>
        <w:tblLayout w:type="fixed"/>
        <w:tblCellMar>
          <w:top w:w="28" w:type="dxa"/>
          <w:left w:w="28" w:type="dxa"/>
          <w:bottom w:w="28" w:type="dxa"/>
          <w:right w:w="28" w:type="dxa"/>
        </w:tblCellMar>
      </w:tblPr>
      <w:tblGrid>
        <w:gridCol w:w="1606"/>
        <w:gridCol w:w="1413"/>
        <w:gridCol w:w="1421"/>
        <w:gridCol w:w="211"/>
        <w:gridCol w:w="61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Discretionary capital projects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lease purchases (2)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improvements and corporate expenditures (3)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capital projects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the construction of 754 communications sites globally and approximately $317.5 million of spend related to data center assets.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(2)Includes $16.7 million of perpetual land easement payments reported in Deferred financing costs and other financing activities in the cash flows from financing activities in our condensed consolidated statements of cash flows.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$1.6 million of finance lease payments reported in Repayments of notes payable, credit facilities, senior notes, secured debt and finance leases in the cash flows from financing activities in our condensed consolidated statements of cash flows.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plan to continue to allocate our available capital, after satisfying our distribution requirements, among investment alternatives that meet our return on investment criteria, while maintaining our commitment to our long-term financial policies. Accordingly, we expect to continue to deploy capital through our annual capital expenditure program, including land purchases and new site and data center facility construction, and through acquisitions. We also regularly review our portfolios as to capital expenditures required to upgrade our infrastructure to our structural standards or address capacity, structural or permitting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2026 total capital expenditures will be as follows (in millions): </w:t>
      </w:r>
    </w:p>
    <w:p>
      <w:pPr>
        <w:pStyle w:val="TextBody"/>
        <w:bidi w:val="0"/>
        <w:spacing w:before="160" w:after="283"/>
        <w:jc w:val="left"/>
        <w:rPr/>
      </w:pPr>
      <w:r>
        <w:rPr/>
      </w:r>
    </w:p>
    <w:tbl>
      <w:tblPr>
        <w:tblW w:w="6414" w:type="dxa"/>
        <w:jc w:val="left"/>
        <w:tblInd w:w="0" w:type="dxa"/>
        <w:tblLayout w:type="fixed"/>
        <w:tblCellMar>
          <w:top w:w="28" w:type="dxa"/>
          <w:left w:w="28" w:type="dxa"/>
          <w:bottom w:w="28" w:type="dxa"/>
          <w:right w:w="28" w:type="dxa"/>
        </w:tblCellMar>
      </w:tblPr>
      <w:tblGrid>
        <w:gridCol w:w="1509"/>
        <w:gridCol w:w="1327"/>
        <w:gridCol w:w="1334"/>
        <w:gridCol w:w="211"/>
        <w:gridCol w:w="616"/>
        <w:gridCol w:w="109"/>
        <w:gridCol w:w="109"/>
        <w:gridCol w:w="109"/>
        <w:gridCol w:w="109"/>
        <w:gridCol w:w="211"/>
        <w:gridCol w:w="616"/>
        <w:gridCol w:w="154"/>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Discretionary capital projects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lease 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improvements and corporate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capital projects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_______________ </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the construction of approximately 1,700 to 2,300 communications sites globally and approximately $695 million of anticipated spend related to data center assets.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 xml:space="preserve">Cash Flows from Financing Activities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significant financing activities were as follows (in millions): </w:t>
      </w:r>
    </w:p>
    <w:tbl>
      <w:tblPr>
        <w:tblW w:w="6651" w:type="dxa"/>
        <w:jc w:val="center"/>
        <w:tblInd w:w="0" w:type="dxa"/>
        <w:tblLayout w:type="fixed"/>
        <w:tblCellMar>
          <w:top w:w="28" w:type="dxa"/>
          <w:left w:w="28" w:type="dxa"/>
          <w:bottom w:w="28" w:type="dxa"/>
          <w:right w:w="28" w:type="dxa"/>
        </w:tblCellMar>
      </w:tblPr>
      <w:tblGrid>
        <w:gridCol w:w="1534"/>
        <w:gridCol w:w="1352"/>
        <w:gridCol w:w="1358"/>
        <w:gridCol w:w="214"/>
        <w:gridCol w:w="626"/>
        <w:gridCol w:w="109"/>
        <w:gridCol w:w="109"/>
        <w:gridCol w:w="109"/>
        <w:gridCol w:w="109"/>
        <w:gridCol w:w="211"/>
        <w:gridCol w:w="766"/>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 net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credit facilities,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securitized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senior notes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 holders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holders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paid on common stock</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common stock</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Repayments of Senior Notes</w:t>
      </w:r>
    </w:p>
    <w:p>
      <w:pPr>
        <w:pStyle w:val="TextBody"/>
        <w:bidi w:val="0"/>
        <w:spacing w:lineRule="auto" w:line="288" w:before="160" w:after="160"/>
        <w:jc w:val="left"/>
        <w:rPr/>
      </w:pPr>
      <w:r>
        <w:rPr>
          <w:rFonts w:ascii="Times New Roman;serif" w:hAnsi="Times New Roman;serif"/>
          <w:b w:val="false"/>
          <w:i/>
          <w:color w:val="000000"/>
          <w:sz w:val="20"/>
        </w:rPr>
        <w:t>Repayment of 4.400% Senior Notes</w:t>
      </w:r>
      <w:r>
        <w:rPr>
          <w:color w:val="000000"/>
        </w:rPr>
        <w:t>—</w:t>
      </w:r>
      <w:r>
        <w:rPr>
          <w:rFonts w:ascii="Times New Roman;serif" w:hAnsi="Times New Roman;serif"/>
          <w:b w:val="false"/>
          <w:color w:val="000000"/>
          <w:sz w:val="20"/>
        </w:rPr>
        <w:t>On February 13, 2026, we repaid $500.0 million aggregate principal amount of the 4.400% Notes upon their maturity. The 4.400% Notes were repaid using borrowings under the 2021 Credit Facility and cash on hand. Upon completion of the repayment, none of the 4.400% Notes remained outstanding.</w:t>
      </w:r>
    </w:p>
    <w:p>
      <w:pPr>
        <w:pStyle w:val="TextBody"/>
        <w:bidi w:val="0"/>
        <w:spacing w:lineRule="auto" w:line="268" w:before="160" w:after="160"/>
        <w:jc w:val="left"/>
        <w:rPr/>
      </w:pPr>
      <w:r>
        <w:rPr>
          <w:rFonts w:ascii="Times New Roman;serif" w:hAnsi="Times New Roman;serif"/>
          <w:b w:val="false"/>
          <w:i/>
          <w:color w:val="000000"/>
          <w:sz w:val="20"/>
        </w:rPr>
        <w:t>Repayment of 1.600% Senior Notes—</w:t>
      </w:r>
      <w:r>
        <w:rPr>
          <w:rFonts w:ascii="Times New Roman;serif" w:hAnsi="Times New Roman;serif"/>
          <w:b w:val="false"/>
          <w:color w:val="000000"/>
          <w:sz w:val="20"/>
        </w:rPr>
        <w:t>On April 14, 2026, we repaid $700.0 million aggregate principal amount of the 1.600% Notes upon their maturity. The 1.600% Notes were repaid using borrowings under the 2021 Credit Facility and cash on hand. Upon completion of the repayment, none of the 1.600% Notes remained outstanding.</w:t>
      </w:r>
    </w:p>
    <w:p>
      <w:pPr>
        <w:pStyle w:val="TextBody"/>
        <w:bidi w:val="0"/>
        <w:spacing w:lineRule="auto" w:line="268" w:before="160" w:after="160"/>
        <w:jc w:val="left"/>
        <w:rPr/>
      </w:pPr>
      <w:r>
        <w:rPr>
          <w:rFonts w:ascii="Times New Roman;serif" w:hAnsi="Times New Roman;serif"/>
          <w:b w:val="false"/>
          <w:i/>
          <w:color w:val="000000"/>
          <w:sz w:val="20"/>
        </w:rPr>
        <w:t>Repayment of 1.950% Senior Notes</w:t>
      </w:r>
      <w:r>
        <w:rPr>
          <w:color w:val="000000"/>
        </w:rPr>
        <w:t>—</w:t>
      </w:r>
      <w:r>
        <w:rPr>
          <w:rFonts w:ascii="Times New Roman;serif" w:hAnsi="Times New Roman;serif"/>
          <w:b w:val="false"/>
          <w:color w:val="000000"/>
          <w:sz w:val="20"/>
        </w:rPr>
        <w:t>On May 21, 2026, we repaid 500.0 million EUR aggregate principal amount of the 1.950% Notes upon their maturity. The 1.950% Notes were repaid using borrowings under the 2021 Multicurrency Credit Facility. Upon completion of the repayment, none of the 1.950% Notes remained outstanding.</w:t>
      </w:r>
    </w:p>
    <w:p>
      <w:pPr>
        <w:pStyle w:val="TextBody"/>
        <w:bidi w:val="0"/>
        <w:spacing w:lineRule="auto" w:line="268" w:before="160" w:after="160"/>
        <w:jc w:val="left"/>
        <w:rPr/>
      </w:pPr>
      <w:r>
        <w:rPr>
          <w:rFonts w:ascii="Times New Roman;serif" w:hAnsi="Times New Roman;serif"/>
          <w:b w:val="false"/>
          <w:i/>
          <w:color w:val="000000"/>
          <w:sz w:val="20"/>
        </w:rPr>
        <w:t>Partial Redemption of 4.125% Senior Notes</w:t>
      </w:r>
      <w:r>
        <w:rPr>
          <w:color w:val="000000"/>
        </w:rPr>
        <w:t>—</w:t>
      </w:r>
      <w:r>
        <w:rPr>
          <w:rFonts w:ascii="Times New Roman;serif" w:hAnsi="Times New Roman;serif"/>
          <w:b w:val="false"/>
          <w:color w:val="000000"/>
          <w:sz w:val="20"/>
        </w:rPr>
        <w:t>On June 18, 2026, we redeemed 250.0 million EUR of the 4.125% Notes at a price equal to 100.969%, plus accrued and unpaid interest up to, but excluding June 18, 2026, for an aggregate redemption price of approximately 253.3 million EUR (approximately $290.2 million as of the repayment date), including 0.9 million EUR (approximately $1.0 million as of the repayment date) in accrued and unpaid interest. We recorded a loss on retirement of long-term obligations of approximately $3.2 million, which included prepayment consideration of $2.8 million and the associated unamortized discount and deferred financing costs. The redemption was funded with proceeds from the issuance of the 4.000% Notes. Upon completion of this partial redemption, 350.0 million EUR aggregate principal amount of the 4.125% Notes remained outstanding.</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Offerings of Senior Notes</w:t>
      </w:r>
    </w:p>
    <w:p>
      <w:pPr>
        <w:pStyle w:val="TextBody"/>
        <w:bidi w:val="0"/>
        <w:spacing w:lineRule="auto" w:line="288" w:before="160" w:after="283"/>
        <w:jc w:val="left"/>
        <w:rPr/>
      </w:pPr>
      <w:r>
        <w:rPr>
          <w:rFonts w:ascii="Times New Roman;serif" w:hAnsi="Times New Roman;serif"/>
          <w:b w:val="false"/>
          <w:i/>
          <w:color w:val="000000"/>
          <w:sz w:val="20"/>
        </w:rPr>
        <w:t>4.000% Senior Notes Offering—</w:t>
      </w:r>
      <w:r>
        <w:rPr>
          <w:rFonts w:ascii="Times New Roman;serif" w:hAnsi="Times New Roman;serif"/>
          <w:b w:val="false"/>
          <w:color w:val="000000"/>
          <w:sz w:val="20"/>
        </w:rPr>
        <w:t xml:space="preserve">On May 27, 2026, we completed a registered public offering of 750.0 million EUR (approximately $872.0 million at the date of issuance) aggregate principal amount of 4.000% senior unsecured notes due 2033 (the “4.000% Notes”). The net proceeds from this offering were approximately 742.7 million EUR (approximately $863.5 million at the date of issuance), after deducting commissions and estimated expenses. We used the net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to repay existing indebtedness under the 2021 Multicurrency Credit Facility and to partially redeem the 4.125% Notes (as discussed above).</w:t>
      </w:r>
    </w:p>
    <w:p>
      <w:pPr>
        <w:pStyle w:val="TextBody"/>
        <w:bidi w:val="0"/>
        <w:spacing w:lineRule="auto" w:line="288" w:before="160" w:after="283"/>
        <w:jc w:val="left"/>
        <w:rPr/>
      </w:pPr>
      <w:r>
        <w:rPr>
          <w:rFonts w:ascii="Times New Roman;serif" w:hAnsi="Times New Roman;serif"/>
          <w:b w:val="false"/>
          <w:color w:val="000000"/>
          <w:sz w:val="20"/>
        </w:rPr>
        <w:t>The key terms of the 4.000%</w:t>
      </w:r>
      <w:r>
        <w:rPr>
          <w:color w:val="000000"/>
        </w:rPr>
        <w:t xml:space="preserve"> </w:t>
      </w:r>
      <w:r>
        <w:rPr>
          <w:rFonts w:ascii="Times New Roman;serif" w:hAnsi="Times New Roman;serif"/>
          <w:b w:val="false"/>
          <w:color w:val="000000"/>
          <w:sz w:val="20"/>
        </w:rPr>
        <w:t>Notes are as follows:</w:t>
      </w:r>
    </w:p>
    <w:tbl>
      <w:tblPr>
        <w:tblW w:w="10205" w:type="dxa"/>
        <w:jc w:val="left"/>
        <w:tblInd w:w="0" w:type="dxa"/>
        <w:tblLayout w:type="fixed"/>
        <w:tblCellMar>
          <w:top w:w="28" w:type="dxa"/>
          <w:left w:w="28" w:type="dxa"/>
          <w:bottom w:w="28" w:type="dxa"/>
          <w:right w:w="28" w:type="dxa"/>
        </w:tblCellMar>
      </w:tblPr>
      <w:tblGrid>
        <w:gridCol w:w="396"/>
        <w:gridCol w:w="226"/>
        <w:gridCol w:w="226"/>
        <w:gridCol w:w="109"/>
        <w:gridCol w:w="109"/>
        <w:gridCol w:w="109"/>
        <w:gridCol w:w="272"/>
        <w:gridCol w:w="795"/>
        <w:gridCol w:w="140"/>
        <w:gridCol w:w="109"/>
        <w:gridCol w:w="109"/>
        <w:gridCol w:w="109"/>
        <w:gridCol w:w="312"/>
        <w:gridCol w:w="312"/>
        <w:gridCol w:w="313"/>
        <w:gridCol w:w="109"/>
        <w:gridCol w:w="109"/>
        <w:gridCol w:w="109"/>
        <w:gridCol w:w="403"/>
        <w:gridCol w:w="348"/>
        <w:gridCol w:w="291"/>
        <w:gridCol w:w="109"/>
        <w:gridCol w:w="109"/>
        <w:gridCol w:w="109"/>
        <w:gridCol w:w="371"/>
        <w:gridCol w:w="371"/>
        <w:gridCol w:w="372"/>
        <w:gridCol w:w="109"/>
        <w:gridCol w:w="109"/>
        <w:gridCol w:w="109"/>
        <w:gridCol w:w="474"/>
        <w:gridCol w:w="291"/>
        <w:gridCol w:w="292"/>
        <w:gridCol w:w="109"/>
        <w:gridCol w:w="109"/>
        <w:gridCol w:w="109"/>
        <w:gridCol w:w="450"/>
        <w:gridCol w:w="319"/>
        <w:gridCol w:w="320"/>
        <w:gridCol w:w="109"/>
        <w:gridCol w:w="109"/>
        <w:gridCol w:w="109"/>
        <w:gridCol w:w="178"/>
        <w:gridCol w:w="178"/>
        <w:gridCol w:w="266"/>
      </w:tblGrid>
      <w:tr>
        <w:trPr/>
        <w:tc>
          <w:tcPr>
            <w:tcW w:w="3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Amount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 Date and Interest Accrual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 Interest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Payments Due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Call Date (2)</w:t>
            </w:r>
          </w:p>
        </w:tc>
      </w:tr>
      <w:tr>
        <w:trPr/>
        <w:tc>
          <w:tcPr>
            <w:tcW w:w="8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4.000% Notes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60" w:after="160"/>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 2033</w:t>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(2)We may redeem the 4.000% Notes at any time, in whole or in part, at a redemption price equal to 100% of the principal amount of the 4.000% Notes plus a make-whole premium, together with accrued interest to the redemption date. If we redeem the 4.000% Notes on or after the par call date, we will not be required to pay a make-whole premium.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4.000% Notes are denominated in EUR; dollar amounts represent the aggregate principal amount at the issuance date.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If we undergo a change of control and corresponding ratings decline, each as defined in the supplemental indenture for the 4.000% Notes, we may be required to repurchase all of the 4.000% Notes at a purchase price equal to 101% of the aggregate principal amount of the 4.000% Notes repurchased, plus accrued and unpaid interest (including additional interest, if any), up to but not including the repurchase date. The 4.000% Notes rank equally in right of payment with all of our other senior unsecured debt obligations and are structurally subordinated to all existing and future indebtedness and other obligations of our subsidiaries.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supplemental indenture contains certain covenants that restrict our ability to merge, consolidate or sell assets and our (together with our subsidiaries’) ability to incur liens. These covenants are subject to a number of exceptions, including that we and our subsidiaries may incur certain liens on assets, mortgages or other liens securing indebtedness if the aggregate amount of indebtedness secured by such liens does not exceed 3.5x Adjusted EBITDA, as defined in the supplemental indenture.</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Bank Facilities</w:t>
      </w:r>
    </w:p>
    <w:p>
      <w:pPr>
        <w:pStyle w:val="TextBody"/>
        <w:bidi w:val="0"/>
        <w:spacing w:lineRule="auto" w:line="288" w:before="160" w:after="160"/>
        <w:jc w:val="left"/>
        <w:rPr/>
      </w:pPr>
      <w:r>
        <w:rPr>
          <w:rFonts w:ascii="Times New Roman;serif" w:hAnsi="Times New Roman;serif"/>
          <w:b w:val="false"/>
          <w:i/>
          <w:color w:val="000000"/>
          <w:sz w:val="20"/>
        </w:rPr>
        <w:t>Amendments to Bank Facilities—</w:t>
      </w:r>
      <w:r>
        <w:rPr>
          <w:rFonts w:ascii="Times New Roman;serif" w:hAnsi="Times New Roman;serif"/>
          <w:b w:val="false"/>
          <w:color w:val="000000"/>
          <w:sz w:val="20"/>
        </w:rPr>
        <w:t>On May 7, 2026, we amended our (i) $6.0 billion senior unsecured multicurrency revolving credit facility, as amended and restated on December 8, 2021, as further amended, (the “2021 Multicurrency Credit Facility”), (ii) $4.0 billion senior unsecured revolving credit facility, as amended and restated on December 8, 2021, as further amended, (the “2021 Credit Facility”) and (iii) $1.0 billion unsecured term loan, as amended and restated on December 8, 2021, as further amended, (the “2021 Term Loan” collectively with the 2021 Multicurrency Credit Facility and the 2021 Credit Facility, the “Loans”).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These amendments, among other things,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i.extend the maturity dates of the 2021 Multicurrency Credit Facility, the 2021 Credit Facility and the 2021 Term Loan to May 1, 2029, May 1, 2031 and May 1, 2029, respectively;</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ii.include limited conditionality provisions in the 2021 Multicurrency Credit Facility, permitting us to borrow up to $5.0 billion in connection with certain acquisitions subject to such limited conditionality provisions;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iii.increase the swingline sublimit under each of the 2021 Multicurrency Credit Facility and the 2021 Credit Facility from $50.0 million to $100.0 million;</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iv.amend the covenant governing the incurrence of liens under each of the Loans to permit the incurrence of liens securing indebtedness in an aggregate amount not to exceed the 3.5x ratio of Senior Secured Debt to Adjusted EBITDA (each as defined in each of the Loans);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v.amend the covenant governing the incurrence of indebtedness under each of the Loans to restrict the incurrence of indebtedness to our subsidiaries only.</w:t>
      </w:r>
    </w:p>
    <w:p>
      <w:pPr>
        <w:pStyle w:val="TextBody"/>
        <w:bidi w:val="0"/>
        <w:spacing w:lineRule="auto" w:line="288" w:before="160" w:after="160"/>
        <w:jc w:val="left"/>
        <w:rPr/>
      </w:pPr>
      <w:r>
        <w:rPr>
          <w:rFonts w:ascii="Times New Roman;serif" w:hAnsi="Times New Roman;serif"/>
          <w:b w:val="false"/>
          <w:i/>
          <w:color w:val="000000"/>
          <w:sz w:val="20"/>
        </w:rPr>
        <w:t>2021 Multicurrency Credit Facility—</w:t>
      </w:r>
      <w:r>
        <w:rPr>
          <w:rFonts w:ascii="Times New Roman;serif" w:hAnsi="Times New Roman;serif"/>
          <w:b w:val="false"/>
          <w:color w:val="000000"/>
          <w:sz w:val="20"/>
        </w:rPr>
        <w:t xml:space="preserve">During the six months ended June 30, 2026, we borrowed an aggregate of $2.3 billion, including 500.0 million EUR ($581.1 million as of the borrowing date) and repaid an aggregate of $1.6 billion, including 500.0 million EUR ($581.1 million as of the repayment date) of revolving indebtedness under the 2021 Multicurrency Credit Facility. We used the borrowings to repay outstanding indebtedness, including the 1.950%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Notes, and for general corporate purposes. We currently have $18.7 million of undrawn letters of credit and maintain the ability to draw down and repay amounts under the 2021 Multicurrency Credit Facility in the ordinary course.</w:t>
      </w:r>
    </w:p>
    <w:p>
      <w:pPr>
        <w:pStyle w:val="TextBody"/>
        <w:bidi w:val="0"/>
        <w:spacing w:lineRule="auto" w:line="288" w:before="160" w:after="160"/>
        <w:jc w:val="left"/>
        <w:rPr/>
      </w:pPr>
      <w:r>
        <w:rPr>
          <w:rFonts w:ascii="Times New Roman;serif" w:hAnsi="Times New Roman;serif"/>
          <w:b w:val="false"/>
          <w:i/>
          <w:color w:val="000000"/>
          <w:sz w:val="20"/>
        </w:rPr>
        <w:t>2021 Credit Facility—</w:t>
      </w:r>
      <w:r>
        <w:rPr>
          <w:rFonts w:ascii="Times New Roman;serif" w:hAnsi="Times New Roman;serif"/>
          <w:b w:val="false"/>
          <w:color w:val="000000"/>
          <w:sz w:val="20"/>
        </w:rPr>
        <w:t>During the six months ended June 30, 2026, we borrowed an aggregate of $1.3 billion and repaid an aggregate of $0.6 billion of revolving indebtedness under the 2021 Credit Facility. We used the borrowings to repay outstanding indebtedness, including the 4.400% Notes and the 1.600% Notes, and for general corporate purposes. We currently have $20.7 million of undrawn letters of credit and maintain the ability to draw down and repay amounts under the 2021 Credit Facility in the ordinary course.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key terms under the Loans were as follows:</w:t>
      </w:r>
    </w:p>
    <w:tbl>
      <w:tblPr>
        <w:tblW w:w="10205" w:type="dxa"/>
        <w:jc w:val="left"/>
        <w:tblInd w:w="0" w:type="dxa"/>
        <w:tblLayout w:type="fixed"/>
        <w:tblCellMar>
          <w:top w:w="28" w:type="dxa"/>
          <w:left w:w="28" w:type="dxa"/>
          <w:bottom w:w="28" w:type="dxa"/>
          <w:right w:w="28" w:type="dxa"/>
        </w:tblCellMar>
      </w:tblPr>
      <w:tblGrid>
        <w:gridCol w:w="638"/>
        <w:gridCol w:w="560"/>
        <w:gridCol w:w="565"/>
        <w:gridCol w:w="109"/>
        <w:gridCol w:w="109"/>
        <w:gridCol w:w="109"/>
        <w:gridCol w:w="280"/>
        <w:gridCol w:w="1019"/>
        <w:gridCol w:w="144"/>
        <w:gridCol w:w="291"/>
        <w:gridCol w:w="291"/>
        <w:gridCol w:w="292"/>
        <w:gridCol w:w="109"/>
        <w:gridCol w:w="109"/>
        <w:gridCol w:w="109"/>
        <w:gridCol w:w="584"/>
        <w:gridCol w:w="584"/>
        <w:gridCol w:w="586"/>
        <w:gridCol w:w="510"/>
        <w:gridCol w:w="510"/>
        <w:gridCol w:w="512"/>
        <w:gridCol w:w="636"/>
        <w:gridCol w:w="636"/>
        <w:gridCol w:w="913"/>
      </w:tblGrid>
      <w:tr>
        <w:trPr/>
        <w:tc>
          <w:tcPr>
            <w:tcW w:w="6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Bank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Outstanding Principal Balance </w:t>
              <w:br/>
              <w:t>($ in millions)</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SOFR or EURIBOR borrowing interest rate range (1)</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borrowing interest rate range (1)</w:t>
            </w:r>
          </w:p>
        </w:tc>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margin over SOFR or EURIBOR and the base rate, respectively</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Multicurrency Credit Facility</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7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- 1.125%</w:t>
            </w:r>
          </w:p>
        </w:tc>
        <w:tc>
          <w:tcPr>
            <w:tcW w:w="15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 - 0.125%</w:t>
            </w:r>
          </w:p>
        </w:tc>
        <w:tc>
          <w:tcPr>
            <w:tcW w:w="2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0.875% and 0.000%</w:t>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2031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- 1.125%</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 - 0.125%</w:t>
            </w:r>
          </w:p>
        </w:tc>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0.875% and 0.000%</w:t>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- 1.125%</w:t>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 - 0.125%</w:t>
            </w:r>
          </w:p>
        </w:tc>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0.875% and 0.000%</w:t>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w:t>
      </w:r>
    </w:p>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 xml:space="preserve">Represents interest rate above: (a) Secured Overnight Financing Rate (“SOFR”) for SOFR based borrowings, (b) Euro Interbank Offer Rate (“EURIBOR”) for EURIBOR based borrowings and (c) the defined base rate for base rate borrowings, in each case based on our debt ratings. </w:t>
      </w:r>
    </w:p>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(2)</w:t>
      </w:r>
      <w:r>
        <w:rPr>
          <w:rFonts w:ascii="Times New Roman;serif" w:hAnsi="Times New Roman;serif"/>
          <w:b w:val="false"/>
          <w:color w:val="000000"/>
          <w:sz w:val="16"/>
        </w:rPr>
        <w:t xml:space="preserve">Currently borrowed at SOFR. </w:t>
      </w:r>
    </w:p>
    <w:p>
      <w:pPr>
        <w:pStyle w:val="TextBody"/>
        <w:bidi w:val="0"/>
        <w:spacing w:lineRule="auto" w:line="288" w:before="0" w:after="1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(3)Subject to two optional renewal periods.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must pay a quarterly commitment fee on the undrawn portion of each of the 2021 Multicurrency Credit Facility and the 2021 Credit Facility. The commitment fee for the 2021 Multicurrency Credit Facility and the 2021 Credit Facility ranges from 0.060% to 0.150% per annum, based upon our debt ratings, and is currently 0.100%.</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2021 Multicurrency Credit Facility, the 2021 Credit Facility and the 2021 Term Loan and the associated loan agreements (the “Bank Loan Agreements”) do not require amortization of principal and may be paid prior to maturity in whole or in part at our option without penalty or premium. We have the option of choosing either a defined base rate, SOFR or EURIBOR as the applicable base rate for borrowings under these bank facilities.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Each Bank Loan Agreement contains certain reporting, information, financial and operating covenants and other restrictions (including limitations on additional debt, guaranties, sales of assets and liens) with which we must comply. Failure to comply with the financial and operating covenants of the loan agreements could not only prevent us from being able to borrow additional funds under the revolving credit facilities, but may constitute a default, which could result in, among other things, the amounts outstanding under the applicable agreement, including all accrued interest and unpaid fees, becoming immediately due and payable.</w:t>
      </w:r>
    </w:p>
    <w:p>
      <w:pPr>
        <w:pStyle w:val="TextBody"/>
        <w:bidi w:val="0"/>
        <w:spacing w:lineRule="auto" w:line="288" w:before="0" w:after="160"/>
        <w:jc w:val="left"/>
        <w:rPr/>
      </w:pPr>
      <w:r>
        <w:rPr>
          <w:rFonts w:ascii="Times New Roman;serif" w:hAnsi="Times New Roman;serif"/>
          <w:b w:val="false"/>
          <w:i/>
          <w:color w:val="000000"/>
          <w:sz w:val="20"/>
        </w:rPr>
        <w:t>Stock Repurchase Program</w:t>
      </w:r>
      <w:r>
        <w:rPr>
          <w:color w:val="000000"/>
        </w:rPr>
        <w:t>—</w:t>
      </w:r>
      <w:r>
        <w:rPr>
          <w:rFonts w:ascii="Times New Roman;serif" w:hAnsi="Times New Roman;serif"/>
          <w:b w:val="false"/>
          <w:color w:val="000000"/>
          <w:sz w:val="20"/>
        </w:rPr>
        <w:t>In December 2017, our Board of Directors approved a stock repurchase program, pursuant to which we are authorized to repurchase up to $2.0 billion of our common stock (the “Buyback Program”).</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repurchased 1,164,378 shares of our common stock for an aggregate of $202.9 million, including commissions and fees.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managing the pacing of the remaining approximately $1.5 billion under the Buyback Program in response to general market conditions and other relevant factors. We expect to fund any further repurchases of our common stock through a combination of cash on hand, cash generated by operations and borrowings under our credit facilities. Repurchases under the Buyback Program are subject to, among other things, us having available cash to fund the repurchases. </w:t>
      </w:r>
    </w:p>
    <w:p>
      <w:pPr>
        <w:pStyle w:val="TextBody"/>
        <w:bidi w:val="0"/>
        <w:spacing w:lineRule="auto" w:line="288" w:before="0" w:after="160"/>
        <w:jc w:val="left"/>
        <w:rPr/>
      </w:pPr>
      <w:r>
        <w:rPr>
          <w:rFonts w:ascii="Times New Roman;serif" w:hAnsi="Times New Roman;serif"/>
          <w:b w:val="false"/>
          <w:i/>
          <w:color w:val="000000"/>
          <w:sz w:val="20"/>
        </w:rPr>
        <w:t>Summary of Stock-Based Compensation Plans</w:t>
      </w:r>
      <w:r>
        <w:rPr>
          <w:color w:val="000000"/>
        </w:rPr>
        <w:t>—</w:t>
      </w:r>
      <w:r>
        <w:rPr>
          <w:rFonts w:ascii="Times New Roman;serif" w:hAnsi="Times New Roman;serif"/>
          <w:b w:val="false"/>
          <w:color w:val="000000"/>
          <w:sz w:val="20"/>
        </w:rPr>
        <w:t>We maintain an equity incentive plan that provides for the grant of stock-based awards to its directors, officers and employees. Until May 20, 2026, the American Tower Corporation 2007 Equity Incentive Plan, as amended (the “2007 Plan”), provided for the grant of non-qualified and incentive stock options, as well as restricted stock units, restricted stock and other stock-based awards. The American Tower Corporation 2026 Equity Incentive Plan (the “2026 Plan”) was approved by our stockholders on May 20, 2026, replacing the 2007 Plan, and provides for the grant of equity and equity-based awards, including options (including nonqualified stock options and incentive stock options), restricted stock, restricted stock units and other equity-based awards and cash awards, to employees, directors, consultants and advisors of the Company and its majority-owned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0"/>
        </w:rPr>
        <w:t>Sales of Equity Securities—</w:t>
      </w:r>
      <w:r>
        <w:rPr>
          <w:rFonts w:ascii="Times New Roman;serif" w:hAnsi="Times New Roman;serif"/>
          <w:b w:val="false"/>
          <w:color w:val="000000"/>
          <w:sz w:val="20"/>
        </w:rPr>
        <w:t>We receive proceeds from sales of our equity securities pursuant to our employee stock purchase plan and upon exercise of stock options granted under the 2007 Plan. During the six months ended June 30, 2026, we received an aggregate of $21.0 million in proceeds upon exercises of stock options and sales pursuant to our employee stock purchase plan.</w:t>
      </w:r>
    </w:p>
    <w:p>
      <w:pPr>
        <w:pStyle w:val="TextBody"/>
        <w:bidi w:val="0"/>
        <w:spacing w:lineRule="auto" w:line="288" w:before="0" w:after="160"/>
        <w:jc w:val="left"/>
        <w:rPr/>
      </w:pPr>
      <w:r>
        <w:rPr>
          <w:rFonts w:ascii="Times New Roman;serif" w:hAnsi="Times New Roman;serif"/>
          <w:b w:val="false"/>
          <w:i/>
          <w:color w:val="000000"/>
          <w:sz w:val="20"/>
        </w:rPr>
        <w:t>Future Financing Transactions</w:t>
      </w:r>
      <w:r>
        <w:rPr>
          <w:color w:val="000000"/>
        </w:rPr>
        <w:t>—</w:t>
      </w:r>
      <w:r>
        <w:rPr>
          <w:rFonts w:ascii="Times New Roman;serif" w:hAnsi="Times New Roman;serif"/>
          <w:b w:val="false"/>
          <w:color w:val="000000"/>
          <w:sz w:val="20"/>
        </w:rPr>
        <w:t>We regularly consider various options to obtain financing and access the capital markets, subject to market conditions, to meet our funding needs. Such capital raising alternatives, in addition to those noted above, may include amendments and extensions of our bank facilities, entry into new bank facilities, transactions with private equity funds or partnerships, additional senior note and equity offerings and securitization transactions. No assurance can be given as to whether any such financing transactions will be completed or as to the timing or terms thereof.</w:t>
      </w:r>
    </w:p>
    <w:p>
      <w:pPr>
        <w:pStyle w:val="TextBody"/>
        <w:bidi w:val="0"/>
        <w:spacing w:lineRule="auto" w:line="288" w:before="0" w:after="160"/>
        <w:jc w:val="left"/>
        <w:rPr/>
      </w:pPr>
      <w:r>
        <w:rPr>
          <w:rFonts w:ascii="Times New Roman;serif" w:hAnsi="Times New Roman;serif"/>
          <w:b w:val="false"/>
          <w:i/>
          <w:color w:val="000000"/>
          <w:sz w:val="20"/>
        </w:rPr>
        <w:t>Distributions—</w:t>
      </w:r>
      <w:r>
        <w:rPr>
          <w:rFonts w:ascii="Times New Roman;serif" w:hAnsi="Times New Roman;serif"/>
          <w:b w:val="false"/>
          <w:color w:val="000000"/>
          <w:sz w:val="20"/>
        </w:rPr>
        <w:t>As a REIT, we must annually distribute to our stockholders an amount equal to at least 90% of our REIT taxable income (determined before the deduction for distributed earnings and excluding any net capital gain). Generally, we have distributed, and expect to continue to distribute, all or substantially all of our REIT taxable income after taking into consideration our utilization of net operating losses (“NOLs”). We have distributed an aggregate of approximately $25.4 billion to our common stockholders, including the dividend paid in July 2026, primarily classified as ordinary income that may be treated as qualified REIT dividends under Section 199A of the Code.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paid $3.49 per share, or $1.6 billion, to our common stockholders of record. In addition, we declared a distribution of $1.79 per share, or $834.1 million, paid on July 13, 2026 to our common stockholders of record at the close of business on June 12,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amount, timing and frequency of future distributions will be at the sole discretion of our Board of Directors and will depend 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 ability to fund distributions using cash generated through our taxable REIT subsidiaries and other factors that our Board of Directors may deem relevant.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accrue distributions on unvested restricted stock units, which are payable upon vesting. As of June 30, 2026, the amount accrued for distributions payable related to unvested restricted stock units was $11.8 million. During the six months ended June 30, 2026, we paid $14.3 million of distributions upon the vesting of restricted stock units.</w:t>
      </w:r>
    </w:p>
    <w:p>
      <w:pPr>
        <w:pStyle w:val="TextBody"/>
        <w:bidi w:val="0"/>
        <w:spacing w:lineRule="auto" w:line="288" w:before="0" w:after="160"/>
        <w:jc w:val="left"/>
        <w:rPr/>
      </w:pPr>
      <w:r>
        <w:rPr>
          <w:rFonts w:ascii="Times New Roman;serif" w:hAnsi="Times New Roman;serif"/>
          <w:b/>
          <w:i/>
          <w:color w:val="000000"/>
          <w:sz w:val="20"/>
        </w:rPr>
        <w:t>Factors Affecting Sources of Liquidity</w:t>
      </w:r>
      <w:r>
        <w:rPr>
          <w:color w:val="000000"/>
        </w:rPr>
        <w:t>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discussed in the “Liquidity and Capital Resources” section of the 2025 Form 10-K, our liquidity depends on our ability to generate cash flow from operating activities, borrow funds under our credit facilities and maintain compliance with the contractual agreements governing our indebtedness. We believe that the debt agreements discussed below represent our material debt agreements that contain covenants, our compliance with which would be material to an investor’s understanding of our financial results and the impact of those results on our liquidity.</w:t>
      </w:r>
    </w:p>
    <w:p>
      <w:pPr>
        <w:pStyle w:val="TextBody"/>
        <w:bidi w:val="0"/>
        <w:spacing w:lineRule="auto" w:line="288" w:before="0" w:after="0"/>
        <w:jc w:val="left"/>
        <w:rPr/>
      </w:pPr>
      <w:r>
        <w:rPr>
          <w:rFonts w:ascii="Times New Roman;serif" w:hAnsi="Times New Roman;serif"/>
          <w:b w:val="false"/>
          <w:i/>
          <w:color w:val="000000"/>
          <w:sz w:val="20"/>
        </w:rPr>
        <w:t>Restrictions Under Loan Agreements Relating to Our Credit Facilities—</w:t>
      </w:r>
      <w:r>
        <w:rPr>
          <w:rFonts w:ascii="Times New Roman;serif" w:hAnsi="Times New Roman;serif"/>
          <w:b w:val="false"/>
          <w:color w:val="000000"/>
          <w:sz w:val="20"/>
        </w:rPr>
        <w:t xml:space="preserve">Each Bank Loan Agreement contains certain financial and operating covenants and other restrictions applicable to us and our subsidiaries that are not designated as unrestricted subsidiaries on a consolidated basis. These restrictions include limitations on additional debt, distributions and dividends, guaranties, sales of assets and liens. These covenants are subject to a number of exceptions, including that the aggregate amount of indebtedness secured by such liens does not exceed 3.5x Adjusted EBITDA (as defined in each of the Loans).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Bank Loan Agreements also contain covenants that establish financial tests with which we and our restricted subsidiaries must comply related to total leverage, as set forth in the table below. As of June 30, 2026, we were in compliance with each of these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5"/>
        <w:gridCol w:w="610"/>
        <w:gridCol w:w="614"/>
        <w:gridCol w:w="109"/>
        <w:gridCol w:w="109"/>
        <w:gridCol w:w="109"/>
        <w:gridCol w:w="563"/>
        <w:gridCol w:w="563"/>
        <w:gridCol w:w="571"/>
        <w:gridCol w:w="109"/>
        <w:gridCol w:w="109"/>
        <w:gridCol w:w="109"/>
        <w:gridCol w:w="794"/>
        <w:gridCol w:w="794"/>
        <w:gridCol w:w="696"/>
        <w:gridCol w:w="242"/>
        <w:gridCol w:w="242"/>
        <w:gridCol w:w="242"/>
        <w:gridCol w:w="898"/>
        <w:gridCol w:w="898"/>
        <w:gridCol w:w="112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Compliance Tests For The 12 Months Ended </w:t>
              <w:br/>
              <w:t>June 30, 2026</w:t>
              <w:br/>
              <w:t>($ in billions)</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Debt Capacity Under Covenants (2)</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 for Adjusted EBITDA Decrease Under Covenants (3)</w:t>
            </w:r>
          </w:p>
        </w:tc>
      </w:tr>
      <w:tr>
        <w:trPr/>
        <w:tc>
          <w:tcPr>
            <w:tcW w:w="1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Total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Debt to Adjusted EBITDA </w:t>
              <w:br/>
              <w:t>≤ 6.00:1.00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6.6</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1.1</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(1)Each component of the ratio as defined in the applicable loan agreement.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(2)Assumes no change to Adjusted EBITDA.</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(3)Assumes no change to our debt levels.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Bank Loan Agreements also contain reporting and information covenants that require us to provide financial and operating information to the lenders within certain time periods. If we are unable to provide the required information on a timely basis, we would be in breach of these covenants.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Failure to comply with the financial maintenance tests and certain other covenants of the Bank Loan Agreements could not only prevent us from being able to borrow additional funds under the revolving credit facilities, but may also constitute a default under these credit facilities, which could result in, among other things, the amounts outstanding, including all accrued interest and unpaid fees, becoming immediately due and payable. If this were to occur, we may not have sufficient cash on hand to repay such indebtedness. The key factors affecting our ability to comply with the debt covenants described above are our financial performance relative to the financial maintenance tests defined in the Bank Loan Agreements and our ability to fund our debt service obligations. Based upon our current expectations, we believe our operating results during the next 12 months will be sufficient to comply with these covenants.</w:t>
      </w:r>
    </w:p>
    <w:p>
      <w:pPr>
        <w:pStyle w:val="TextBody"/>
        <w:bidi w:val="0"/>
        <w:spacing w:lineRule="auto" w:line="288" w:before="0" w:after="160"/>
        <w:jc w:val="left"/>
        <w:rPr/>
      </w:pPr>
      <w:r>
        <w:rPr>
          <w:rFonts w:ascii="Times New Roman;serif" w:hAnsi="Times New Roman;serif"/>
          <w:b w:val="false"/>
          <w:i/>
          <w:color w:val="000000"/>
          <w:sz w:val="20"/>
        </w:rPr>
        <w:t>Restrictions Under Agreements Relating to the Trust Securitization—</w:t>
      </w:r>
      <w:r>
        <w:rPr>
          <w:rFonts w:ascii="Times New Roman;serif" w:hAnsi="Times New Roman;serif"/>
          <w:b w:val="false"/>
          <w:color w:val="000000"/>
          <w:sz w:val="20"/>
        </w:rPr>
        <w:t>The indenture and related supplemental indenture governing the loan agreement related to the securitization transactions completed in March 2018 (the “2018 Securitization”) and March 2023 (the “2023 Securitization” and, together with the 2018 Securitization, the “Trust Securitization”) (the “Securitization Loan Agreements”) include certain financial ratios and operating covenants and other restrictions customary for transactions subject to rated securitizations. Among other things, American Tower Asset Sub, LLC and American Tower Asset Sub II, LLC (together, the “AMT Asset Subs”) are prohibited from incurring other indebtedness for borrowed money or further encumbering their assets, subject to customary carve-outs for ordinary course trade payables and permitted encumbrances (as defined in the applicable agreements).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Securitization Loan Agreements, amounts due will be paid from the cash flows generated by the assets securing the nonrecourse loan that secures the Secured Tower Revenue Securities, Series 2018-1, Subclass A (the “Series 2018-1A Securities”), the Secured Tower Revenue Securities, Series 2018-1, Subclass R (the “Series 2018-1R Securities” and, together with the Series 2018-1A Securities, the “2018 Securities”), the Secured Tower Revenue Securities 2023-1, Subclass A (the “Series 2023-1A Securities”), the Secured Tower Revenue Securities, Series 2023-1, Subclass R (the “Series 2023-1R Securities” and, together with the Series 2023-1A Securities, the “2023 Securities”) issued in the Trust Securitization (the “Loan”), as applicable, which must be deposited into certain reserve accounts, and thereafter distributed, solely pursuant to the terms of the applicable agreement. On a monthly basis, after paying all required amounts under the applicable agreement, subject to the conditions described in the table below, the excess cash flows generated from the operation of these assets are released to the AMT Asset Subs, which can then be distributed to us for use. As of June 30, 2026, $68.6 million held in such reserve accounts was classified as restricted cash.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Certain information with respect to the Trust Securitization is set forth below. The debt service coverage ratio (“DSCR”) is generally calculated as the ratio of the net cash flow (as defined in the applicable agreement) to the amount of interest, servicing fees and trustee fees required to be paid over the succeeding 12 months on the principal amount of the Loan that will be outstanding on the payment date following such date of determination.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7"/>
        <w:gridCol w:w="366"/>
        <w:gridCol w:w="368"/>
        <w:gridCol w:w="284"/>
        <w:gridCol w:w="284"/>
        <w:gridCol w:w="285"/>
        <w:gridCol w:w="678"/>
        <w:gridCol w:w="636"/>
        <w:gridCol w:w="638"/>
        <w:gridCol w:w="452"/>
        <w:gridCol w:w="204"/>
        <w:gridCol w:w="204"/>
        <w:gridCol w:w="602"/>
        <w:gridCol w:w="321"/>
        <w:gridCol w:w="203"/>
        <w:gridCol w:w="396"/>
        <w:gridCol w:w="396"/>
        <w:gridCol w:w="397"/>
        <w:gridCol w:w="205"/>
        <w:gridCol w:w="205"/>
        <w:gridCol w:w="206"/>
        <w:gridCol w:w="401"/>
        <w:gridCol w:w="401"/>
        <w:gridCol w:w="402"/>
        <w:gridCol w:w="363"/>
        <w:gridCol w:w="363"/>
        <w:gridCol w:w="528"/>
      </w:tblGrid>
      <w:tr>
        <w:trPr/>
        <w:tc>
          <w:tcPr>
            <w:tcW w:w="41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1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or Borrower</w:t>
            </w:r>
          </w:p>
        </w:tc>
        <w:tc>
          <w:tcPr>
            <w:tcW w:w="19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Notes/Securities Issued</w:t>
            </w:r>
          </w:p>
        </w:tc>
        <w:tc>
          <w:tcPr>
            <w:tcW w:w="19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Conditions Limiting Distributions of Excess Cash</w:t>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Cash Distributed During the Three Months Ended June 30, 2026</w:t>
            </w:r>
          </w:p>
        </w:tc>
        <w:tc>
          <w:tcPr>
            <w:tcW w:w="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DSCR </w:t>
              <w:br/>
              <w:t>as of June 30, 2026</w:t>
            </w:r>
          </w:p>
        </w:tc>
        <w:tc>
          <w:tcPr>
            <w:tcW w:w="12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 for Decrease in Net Cash Flow Before Triggering Cash Trap DSCR (1)</w:t>
            </w:r>
          </w:p>
        </w:tc>
        <w:tc>
          <w:tcPr>
            <w:tcW w:w="12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 for Decrease in Net Cash Flow Before Triggering Minimum DSCR (1)</w:t>
            </w:r>
          </w:p>
        </w:tc>
      </w:tr>
      <w:tr>
        <w:trPr/>
        <w:tc>
          <w:tcPr>
            <w:tcW w:w="1151" w:type="dxa"/>
            <w:gridSpan w:val="3"/>
            <w:vMerge w:val="continue"/>
            <w:tcBorders/>
            <w:tcMar>
              <w:top w:w="0" w:type="dxa"/>
              <w:left w:w="0" w:type="dxa"/>
              <w:bottom w:w="0" w:type="dxa"/>
              <w:right w:w="0" w:type="dxa"/>
            </w:tcMar>
            <w:vAlign w:val="center"/>
          </w:tcPr>
          <w:p>
            <w:pPr>
              <w:pStyle w:val="Normal"/>
              <w:bidi w:val="0"/>
              <w:jc w:val="left"/>
              <w:rPr/>
            </w:pPr>
            <w:r>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c>
          <w:tcPr>
            <w:tcW w:w="1952" w:type="dxa"/>
            <w:gridSpan w:val="3"/>
            <w:vMerge w:val="continue"/>
            <w:tcBorders/>
            <w:tcMar>
              <w:top w:w="0" w:type="dxa"/>
              <w:left w:w="0" w:type="dxa"/>
              <w:bottom w:w="0" w:type="dxa"/>
              <w:right w:w="0" w:type="dxa"/>
            </w:tcMar>
            <w:vAlign w:val="center"/>
          </w:tcPr>
          <w:p>
            <w:pPr>
              <w:pStyle w:val="Normal"/>
              <w:bidi w:val="0"/>
              <w:jc w:val="left"/>
              <w:rPr/>
            </w:pPr>
            <w:r>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Trap DSCR</w:t>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vMerge w:val="continue"/>
            <w:tcBorders/>
            <w:tcMar>
              <w:top w:w="0" w:type="dxa"/>
              <w:left w:w="0" w:type="dxa"/>
              <w:bottom w:w="0" w:type="dxa"/>
              <w:right w:w="0" w:type="dxa"/>
            </w:tcMar>
            <w:vAlign w:val="center"/>
          </w:tcPr>
          <w:p>
            <w:pPr>
              <w:pStyle w:val="Normal"/>
              <w:bidi w:val="0"/>
              <w:jc w:val="left"/>
              <w:rPr/>
            </w:pPr>
            <w:r>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12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5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Trust Securitization</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AMT Asset Subs</w:t>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Secured Tower Revenue Securities, Series 2023-1, Subclass A, Secured Tower Revenue Securities, Series 2023-1, Subclass R, Secured Tower Revenue Securities, Series 2018-1, Subclass A and Secured Tower Revenue Securities, Series 2018-1, Subclass R</w:t>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1.30x, Tested Quarterly (2)</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1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$245.7</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6.45x</w:t>
            </w:r>
          </w:p>
        </w:tc>
        <w:tc>
          <w:tcPr>
            <w:tcW w:w="1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$464.0</w:t>
            </w:r>
          </w:p>
        </w:tc>
        <w:tc>
          <w:tcPr>
            <w:tcW w:w="1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$477.5</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(1)Based on the net cash flow of the issuer or borrower as of June 30, 2026 and the expenses payable over the next 12 months on the Loan.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(2)If the DSCR were equal to or below 1.30x (the “Cash Trap DSCR”) for any quarter, all cash flow in excess of amounts required to make debt service payments, fund required reserves, pay management fees and budgeted operating expenses and make other payments required under the applicable transaction documents, referred to as excess cash flow, will be deposited into a reserve account (the “Cash Trap Reserve Account”) instead of being released to the applicable issuer or borrower. Once triggered, a Cash Trap DSCR condition continues to exist until the DSCR exceeds the Cash Trap DSCR for two consecutive calendar quarters.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(3)An amortization period commences if the DSCR is equal to or below 1.15x (the “Minimum DSCR”) at the end of any calendar quarter and continues to exist until the DSCR exceeds the Minimum DSCR for two consecutive calendar quarters.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(4)An amortization period exists if the outstanding principal amount has not been paid in full on the applicable anticipated repayment date and continues to exist until the principal has been repaid in full. </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A failure to meet the noted DSCR tests could prevent the AMT Asset Subs from distributing excess cash flow to us, which could affect our ability to fund our capital expenditures, including tower construction and acquisitions, and to meet REIT distribution requirements. During an “amortization period,” all excess cash flow and any amounts then in the applicable Cash Trap Reserve Account would be applied to pay the principal of the Loan on each monthly payment date, and so would not be available for distribution to us. Further, additional interest will begin to accrue with respect to the Loan from and after the anticipated repayment date at a</w:t>
      </w:r>
      <w:r>
        <w:rPr>
          <w:color w:val="000000"/>
        </w:rPr>
        <w:t xml:space="preserve"> </w:t>
      </w:r>
      <w:r>
        <w:rPr>
          <w:rFonts w:ascii="Times New Roman;serif" w:hAnsi="Times New Roman;serif"/>
          <w:b w:val="false"/>
          <w:color w:val="000000"/>
          <w:sz w:val="20"/>
        </w:rPr>
        <w:t>per annum rate determined in accordance with the applicable agreement. Furthermore, if the AMT Asset Subs were to default on the Loan, the trustee may seek to foreclose upon or otherwise convert the ownership of all or any portion of the 5,018 broadcast and wireless communications towers and related assets that secure the Loan, in which case we could lose those sites and their associated revenue.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discussed above, we use our available liquidity and seek new sources of liquidity to fund capital expenditures, future growth and expansion initiatives, satisfy our distribution requirements and repay or repurchase our debt or equity. If we determine that it is desirable or necessary to raise additional capital, we may be unable to do so, or such additional financing may be prohibitively expensive or restricted by the terms of our outstanding indebtedness. Additionally, as further discussed under the caption “Risk Factors” in Item 1A of the 2025 Form 10-K, market volatility and disruption caused by inflation, high interest rates and supply chain disruptions may impact our ability to raise additional capital through debt financing activities or our ability to repay or refinance maturing liabilities, or impact the terms of any new obligations. If we are unable to raise capital when our needs arise, we may not be able to fund capital expenditures, future growth and expansion initiatives, satisfy our REIT distribution requirements and debt service obligations, or refinance our existing indebtedness.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our liquidity depends on our ability to generate cash flow from operating activities. As set forth under the caption “Risk Factors” in Item 1A of the 2025 Form 10-K, we derive a substantial portion of our current and projected future revenue from a small number of customers and, consequently, a failure by a significant customer to perform its contractual obligations to us could adversely affect our cash flow and liquidity.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regarding the terms of our outstanding indebtedness, please see note 8 to our consolidated financial statements included in the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are based upon our consolidated and condensed consolidated financial statements, which have been prepared in accordance with GAAP. The preparation of these financial statements requires us to make estimates and assumptions that affect the reported amounts of assets, liabilities, revenues and expenses, as well as related disclosures of contingent assets and liabilities. We evaluate our policies and estimates on an ongoing basis, including those related to accounting and impairment of long-lived assets, revenue recognition, rent expense and income taxes, as further discussed in the 2025 Form 10-K. Management bases its estimates on historical experience and various other assumptions that are believed to be reasonable under the circumstances, the results of which form the basis for making judgments about the carrying amounts of assets and liabilities that are not readily apparent from other sources. Actual results may differ from these estimates under different assumptions or conditions.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reviewed our policies and estimates to determine our critical accounting policies for the six months ended June 30, 2026. We have made no material changes to the critical accounting policies described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Accounting Standards Update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For a discussion of recent accounting standards updates, see note 1 to our consolidated and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t>
                      </w:r>
                    </w:p>
                  </w:txbxContent>
                </v:textbox>
                <w10:wrap type="none"/>
              </v:rect>
            </w:pict>
          </mc:Fallback>
        </mc:AlternateContent>
      </w:r>
    </w:p>
    <w:p>
      <w:pPr>
        <w:pStyle w:val="TextBody"/>
        <w:bidi w:val="0"/>
        <w:spacing w:before="0" w:after="0"/>
        <w:jc w:val="left"/>
        <w:rPr/>
      </w:pPr>
      <w:r>
        <w:rPr/>
      </w:r>
    </w:p>
    <w:tbl>
      <w:tblPr>
        <w:tblW w:w="7934" w:type="dxa"/>
        <w:jc w:val="left"/>
        <w:tblInd w:w="0" w:type="dxa"/>
        <w:tblLayout w:type="fixed"/>
        <w:tblCellMar>
          <w:top w:w="28" w:type="dxa"/>
          <w:left w:w="28" w:type="dxa"/>
          <w:bottom w:w="28" w:type="dxa"/>
          <w:right w:w="28" w:type="dxa"/>
        </w:tblCellMar>
      </w:tblPr>
      <w:tblGrid>
        <w:gridCol w:w="304"/>
        <w:gridCol w:w="267"/>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interest rates can cause interest charges to fluctuate on our variable rate debt. Variable rate debt as of June 30, 2026 consisted of $1.1 billion under the 2021 Multicurrency Credit Facility, $695.0 million under the 2021 Credit Facility and $1.0 billion under the 2021 Term Loan and $3.2 million of debt entered into by our Data Centers business in connection with an acquisition of a multi-tenant data facility in Denver, Colorado, which is denominated in U.S. Dollars and is payable in monthly installments through March 31, 2028. A 10% increase in current interest rates would result in an additional $6.2 million of interest expense for the six months ended June 30, 2026.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changes in foreign currency exchange rates primarily in connection with our foreign subsidiaries and joint ventures internationally. Any transaction denominated in a currency other than the U.S. Dollar is reported in U.S. Dollars at the applicable exchange rate. All assets and liabilities are translated into U.S. Dollars at exchange rates in effect at the end of the applicable fiscal reporting period and all revenues and expenses are translated at average rates for the period. The cumulative translation effect is included in equity as a component of Accumulated other comprehensive loss. We may enter into additional foreign currency financial instruments in anticipation of future transactions to minimize the impact of foreign currency exchange rate fluctuations. For the six months ended June 30, 2026, 33% of our revenues and 42% of our total operating expenses were denominated in foreign currencies.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30, 2026, we have incurred intercompany debt that is not considered to be permanently reinvested and similar unaffiliated balances that were denominated in a currency other than the functional currency of the subsidiary in which it is recorded. As this debt had not been designated as being a long-term investment in nature, any changes in the foreign currency exchange rates will result in unrealized gains or losses, which will be included in our determination of net income. An adverse change of 10% in the underlying exchange rates of our unsettled intercompany debt and similar unaffiliated balances would result in $43.3 million of unrealized losses that would be included in Other income (expense) in our consolidated statements of operations for the six months ended June 30, 2026. As of June 30, 2026, we have 7.5 billion EUR (approximately $8.6 billion) denominated debt outstanding, of which approximately 4.7 billion EUR (approximately $5.4 billion) is designated as a non-derivative net investment hedge. An adverse change of 10% in the underlying exchange rates of our outstanding EUR debt not designated as a non-derivative net investment hedge would result in $0.4 billion of foreign currency losses that would be included in Other expense in our consolidated statements of operations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5" w:type="dxa"/>
        <w:jc w:val="left"/>
        <w:tblInd w:w="0" w:type="dxa"/>
        <w:tblLayout w:type="fixed"/>
        <w:tblCellMar>
          <w:top w:w="28" w:type="dxa"/>
          <w:left w:w="28" w:type="dxa"/>
          <w:bottom w:w="28" w:type="dxa"/>
          <w:right w:w="28" w:type="dxa"/>
        </w:tblCellMar>
      </w:tblPr>
      <w:tblGrid>
        <w:gridCol w:w="304"/>
        <w:gridCol w:w="267"/>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6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designed to ensure that material information relating to us, including our consolidated subsidiaries, is made known to the officers who certify our financial reports and to other members of senior management and the Board of Directors.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Based on this evaluation, our principal executive officer and principal financial officer concluded that these disclosure controls and procedures were effective as of June 30, 2026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principal executive officer and principal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(as defined in Rule 13a-15(f) under the Exchange Act) during the fiscal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5" w:type="dxa"/>
        <w:jc w:val="left"/>
        <w:tblInd w:w="0" w:type="dxa"/>
        <w:tblLayout w:type="fixed"/>
        <w:tblCellMar>
          <w:top w:w="28" w:type="dxa"/>
          <w:left w:w="28" w:type="dxa"/>
          <w:bottom w:w="28" w:type="dxa"/>
          <w:right w:w="28" w:type="dxa"/>
        </w:tblCellMar>
      </w:tblPr>
      <w:tblGrid>
        <w:gridCol w:w="304"/>
        <w:gridCol w:w="267"/>
        <w:gridCol w:w="269"/>
        <w:gridCol w:w="672"/>
        <w:gridCol w:w="672"/>
        <w:gridCol w:w="95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periodically become involved in various claims and lawsuits that are incidental to our business. While our management, after consultation with counsel, currently believes the ultimate outcome of these legal proceedings, individually and in the aggregate, will not have a material adverse impact on our consolidated financial position, results of operations or liquidity, litigation is subject to inherent uncertainties. Were an unfavorable ruling to occur, there exists the possibility of a material adverse impact on our financial condition and results of operations.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AT&amp;T Mexico Dispute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engaged in the Arbitration with AT&amp;T Mexico. AT&amp;T Mexico, which represented approximately $300 million of tenant revenue in 2025, is challenging the calculation of the monthly lease amount established under the MLA, as well as certain other provisions of the MLA, seeking rent abatement both retroactively and prospectively, and had been withholding tower rents since the start of 2025. We incurred approximately $30 million of reserves during the year ended December 31, 2025, and an additional approximately $20 million of reserves during the six months ended June 30, 2026,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is scheduled for a hearing in August 2026.</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DISH Dispute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24, 2025, DISH delivered a notice purporting to be excused from its contractual obligations under the SCA. On October 20, 2025, we filed a complaint in the U.S. District Court for the District of Colorado seeking a declaratory judgment that DISH had not been excused from its obligations under the SCA, that the SCA remained in full force and effect, and that DISH remained required to perform all of its obligations under the SCA. Thereafter, DISH failed to meet its payment obligations, and as of January 2026, has been in default under the SCA. We remain confident that DISH was not excused from its obligations under the SCA. We delivered notices of termination, effective June 2, 2026, to DISH of the SCA and related agreements with DISH.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15, 2026, we amended the complaint to (i) add claims seeking damages for DISH’s breaches of the SCA and other agreements, and (ii) add DISH’s parent company, EchoStar Corporation, as a party for tortious interference with such agreements. On June 30, 2026, DISH filed petitions for relief under chapter 11 of the United States Bankruptcy Code. Consistent with applicable law, we continue to seek relief in connection with DISH’s failure to comply with its obligations under the SCA and other agreements described in the amended complaint. DISH represented approximately 2% and 4% of our total annual property revenue and total annual U.S. &amp; Canada property revenue, respectively, for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51" w:type="dxa"/>
        <w:jc w:val="left"/>
        <w:tblInd w:w="0" w:type="dxa"/>
        <w:tblLayout w:type="fixed"/>
        <w:tblCellMar>
          <w:top w:w="28" w:type="dxa"/>
          <w:left w:w="28" w:type="dxa"/>
          <w:bottom w:w="28" w:type="dxa"/>
          <w:right w:w="28" w:type="dxa"/>
        </w:tblCellMar>
      </w:tblPr>
      <w:tblGrid>
        <w:gridCol w:w="353"/>
        <w:gridCol w:w="311"/>
        <w:gridCol w:w="312"/>
        <w:gridCol w:w="461"/>
        <w:gridCol w:w="461"/>
        <w:gridCol w:w="653"/>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disclosed in Item 1A of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14" w:type="dxa"/>
        <w:jc w:val="left"/>
        <w:tblInd w:w="0" w:type="dxa"/>
        <w:tblLayout w:type="fixed"/>
        <w:tblCellMar>
          <w:top w:w="28" w:type="dxa"/>
          <w:left w:w="28" w:type="dxa"/>
          <w:bottom w:w="28" w:type="dxa"/>
          <w:right w:w="28" w:type="dxa"/>
        </w:tblCellMar>
      </w:tblPr>
      <w:tblGrid>
        <w:gridCol w:w="304"/>
        <w:gridCol w:w="266"/>
        <w:gridCol w:w="269"/>
        <w:gridCol w:w="2040"/>
        <w:gridCol w:w="2040"/>
        <w:gridCol w:w="2895"/>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repurchased a total of 111,043 shares of our common stock for an aggregate of $19.2 million, including commissions and fees, pursuant to the Buyback Program. The table below sets forth details of our repurchases under the Buyback Program during the three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9"/>
        <w:gridCol w:w="344"/>
        <w:gridCol w:w="349"/>
        <w:gridCol w:w="109"/>
        <w:gridCol w:w="109"/>
        <w:gridCol w:w="109"/>
        <w:gridCol w:w="639"/>
        <w:gridCol w:w="443"/>
        <w:gridCol w:w="444"/>
        <w:gridCol w:w="109"/>
        <w:gridCol w:w="109"/>
        <w:gridCol w:w="109"/>
        <w:gridCol w:w="280"/>
        <w:gridCol w:w="960"/>
        <w:gridCol w:w="144"/>
        <w:gridCol w:w="109"/>
        <w:gridCol w:w="109"/>
        <w:gridCol w:w="109"/>
        <w:gridCol w:w="888"/>
        <w:gridCol w:w="723"/>
        <w:gridCol w:w="725"/>
        <w:gridCol w:w="109"/>
        <w:gridCol w:w="109"/>
        <w:gridCol w:w="109"/>
        <w:gridCol w:w="466"/>
        <w:gridCol w:w="1694"/>
        <w:gridCol w:w="349"/>
      </w:tblGrid>
      <w:tr>
        <w:trPr/>
        <w:tc>
          <w:tcPr>
            <w:tcW w:w="4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rPr/>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111,043 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111,043 </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(1)Repurchases made pursuant to the Buyback Program.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(2)Average price paid per share is a weighted average calculation using the aggregate price, excluding commissions and fees.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Through July 21, 2026, we have repurchased a total of 3,105,690 shares of our common stock under the Buyback Program for an aggregate of $550.0 million, including commissions and fees. We expect to continue to manage the pacing of the remaining $1.5 billion under the Buyback Program in response to general market conditions and other relevant factors. We expect to fund any further repurchases of our common stock through a combination of cash on hand, cash generated by operations and borrowings under our credit facilities. Purchases under the Buyback Program are subject to our having available cash to fund repurchases.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Under the Buyback Program, our management is authorized to purchase shares from time to time through open market purchases or in privately negotiated transactions not to exceed market prices and subject to market conditions and other factors. With respect to open market purchases, we may use plans adopted in accordance with Rule 10b5-1 under the Exchange Act in accordance with securities laws and other legal requirements, which allows us to repurchase shares during periods when we otherwise might be prevented from doing so under insider trading laws or because of self-imposed trading blackout periods. These programs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65" w:type="dxa"/>
        <w:jc w:val="left"/>
        <w:tblInd w:w="0" w:type="dxa"/>
        <w:tblLayout w:type="fixed"/>
        <w:tblCellMar>
          <w:top w:w="28" w:type="dxa"/>
          <w:left w:w="28" w:type="dxa"/>
          <w:bottom w:w="28" w:type="dxa"/>
          <w:right w:w="28" w:type="dxa"/>
        </w:tblCellMar>
      </w:tblPr>
      <w:tblGrid>
        <w:gridCol w:w="304"/>
        <w:gridCol w:w="267"/>
        <w:gridCol w:w="269"/>
        <w:gridCol w:w="680"/>
        <w:gridCol w:w="680"/>
        <w:gridCol w:w="965"/>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 Insider Trading Arrangements and Policies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54    </w:t>
                      </w:r>
                    </w:p>
                  </w:txbxContent>
                </v:textbox>
                <w10:wrap type="none"/>
              </v:rect>
            </w:pict>
          </mc:Fallback>
        </mc:AlternateContent>
      </w:r>
    </w:p>
    <w:p>
      <w:pPr>
        <w:pStyle w:val="TextBody"/>
        <w:bidi w:val="0"/>
        <w:spacing w:before="0" w:after="0"/>
        <w:jc w:val="left"/>
        <w:rPr/>
      </w:pPr>
      <w:r>
        <w:rPr/>
      </w:r>
    </w:p>
    <w:tbl>
      <w:tblPr>
        <w:tblW w:w="1936" w:type="dxa"/>
        <w:jc w:val="left"/>
        <w:tblInd w:w="0" w:type="dxa"/>
        <w:tblLayout w:type="fixed"/>
        <w:tblCellMar>
          <w:top w:w="28" w:type="dxa"/>
          <w:left w:w="28" w:type="dxa"/>
          <w:bottom w:w="28" w:type="dxa"/>
          <w:right w:w="28" w:type="dxa"/>
        </w:tblCellMar>
      </w:tblPr>
      <w:tblGrid>
        <w:gridCol w:w="304"/>
        <w:gridCol w:w="267"/>
        <w:gridCol w:w="269"/>
        <w:gridCol w:w="321"/>
        <w:gridCol w:w="321"/>
        <w:gridCol w:w="4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1941"/>
        <w:gridCol w:w="1272"/>
        <w:gridCol w:w="1276"/>
        <w:gridCol w:w="109"/>
        <w:gridCol w:w="109"/>
        <w:gridCol w:w="109"/>
        <w:gridCol w:w="320"/>
        <w:gridCol w:w="320"/>
        <w:gridCol w:w="325"/>
        <w:gridCol w:w="109"/>
        <w:gridCol w:w="109"/>
        <w:gridCol w:w="109"/>
        <w:gridCol w:w="233"/>
        <w:gridCol w:w="233"/>
        <w:gridCol w:w="196"/>
        <w:gridCol w:w="109"/>
        <w:gridCol w:w="109"/>
        <w:gridCol w:w="109"/>
        <w:gridCol w:w="377"/>
        <w:gridCol w:w="215"/>
        <w:gridCol w:w="202"/>
        <w:gridCol w:w="218"/>
        <w:gridCol w:w="218"/>
        <w:gridCol w:w="219"/>
        <w:gridCol w:w="109"/>
        <w:gridCol w:w="109"/>
        <w:gridCol w:w="16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 of Filing</w:t>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of the Company as filed with the Secretary of State of the State of Delaware, effective as of December 31, 2011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2012</w:t>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Merger, effective as of December 31,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2012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the Company, effective as of January 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7, 2025</w:t>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Supplemental Indenture No. 2, dated as of May 27, 2026, by and among American Tower Corporation, U.S. Bank Trust Company, National Association, as trustee, and U.S. Bank Europe DAC, UK Branch, as paying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27, 2026</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American Tower Corporation 2026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Notice of Grant of Restricted Stock Units and RSU Agreement (Employee / Time) (For grants made beginning June 1, 2026) Pursuant to the American Tower Corporation 2026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Notice of Grant of Restricted Stock Units and RSU Agreement for Non-U.S. Participants (Employee / Time) (For grants made beginning June 1, 2026) Pursuant to the American Tower Corporation 2026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Notice of Grant of Restricted Stock Units and RSU Agreement (Executive / Time) (For grants made beginning June 1, 2026) Pursuant to the American Tower Corporation 2026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Notice of Grant of Restricted Stock Units and RSU Agreement (Non-Employee Director / Time) (For grants made beginning June 1, 2026) Pursuant to the American Tower Corporation 2026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Notice of Grant of Performance-Based Restricted Stock Units and PSU Agreement (Executive / Performance) (For grants made beginning June 1, 2026) Pursuant to the American Tower Corporation 2026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7.htm">
              <w:r>
                <w:rPr>
                  <w:rStyle w:val="InternetLink"/>
                  <w:rFonts w:ascii="Times New Roman;serif" w:hAnsi="Times New Roman;serif"/>
                  <w:b w:val="false"/>
                  <w:color w:val="0000FF"/>
                  <w:sz w:val="20"/>
                  <w:u w:val="single"/>
                </w:rPr>
                <w:t>Amendment No. 4 to the Third Amended and Restated Multicurrency Revolving Credit Agreement, dated as of May 7, 2026, among the Company and certain of its subsidiaries as borrowers, Toronto Dominion (Texas) LLC, as administrative agent, and a majority of lenders under the Third Amended and Restated Multicurrency Revolving Credit Agreement, dated as of December 8, 2021, as further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 as Exhibit 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55    </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1872"/>
        <w:gridCol w:w="1512"/>
        <w:gridCol w:w="1498"/>
        <w:gridCol w:w="109"/>
        <w:gridCol w:w="109"/>
        <w:gridCol w:w="109"/>
        <w:gridCol w:w="337"/>
        <w:gridCol w:w="337"/>
        <w:gridCol w:w="342"/>
        <w:gridCol w:w="109"/>
        <w:gridCol w:w="109"/>
        <w:gridCol w:w="109"/>
        <w:gridCol w:w="136"/>
        <w:gridCol w:w="136"/>
        <w:gridCol w:w="137"/>
        <w:gridCol w:w="109"/>
        <w:gridCol w:w="109"/>
        <w:gridCol w:w="109"/>
        <w:gridCol w:w="198"/>
        <w:gridCol w:w="198"/>
        <w:gridCol w:w="199"/>
        <w:gridCol w:w="221"/>
        <w:gridCol w:w="221"/>
        <w:gridCol w:w="222"/>
        <w:gridCol w:w="109"/>
        <w:gridCol w:w="109"/>
        <w:gridCol w:w="16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 of Filing</w:t>
            </w:r>
          </w:p>
        </w:tc>
        <w:tc>
          <w:tcPr>
            <w:tcW w:w="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8.htm">
              <w:r>
                <w:rPr>
                  <w:rStyle w:val="InternetLink"/>
                  <w:rFonts w:ascii="Times New Roman;serif" w:hAnsi="Times New Roman;serif"/>
                  <w:b w:val="false"/>
                  <w:color w:val="0000FF"/>
                  <w:sz w:val="20"/>
                  <w:u w:val="single"/>
                </w:rPr>
                <w:t>Amendment No. 3 to the Fourth Amended and Restated Revolving Credit Agreement, dated as of May 7, 2026, among the Company and certain of its subsidiaries as borrowers, Toronto Dominion (Texas) LLC, as administrative agent, and a majority of lenders under the Fourth Amended and Restated Revolving Credit Agreement, dated as of December 8, 2021, as further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 as Exhibit 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9.htm">
              <w:r>
                <w:rPr>
                  <w:rStyle w:val="InternetLink"/>
                  <w:rFonts w:ascii="Times New Roman;serif" w:hAnsi="Times New Roman;serif"/>
                  <w:b w:val="false"/>
                  <w:color w:val="0000FF"/>
                  <w:sz w:val="20"/>
                  <w:u w:val="single"/>
                </w:rPr>
                <w:t>Amendment No. 3 to the Second Amended and Restated Term Loan Agreement, dated as of May 7, 2026, among the Company, as borrower, Mizuho Bank, Ltd., as administrative agent, and a majority of the lenders under the Second Amended and Restated Term Loan Agreement, dated as of December 8, 2021, as further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 as Exhibit 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 as 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 as Exhibit 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q22026.htm">
              <w:r>
                <w:rPr>
                  <w:rStyle w:val="InternetLink"/>
                  <w:rFonts w:ascii="Times New Roman;serif" w:hAnsi="Times New Roman;serif"/>
                  <w:b w:val="false"/>
                  <w:color w:val="0000FF"/>
                  <w:sz w:val="20"/>
                  <w:u w:val="single"/>
                </w:rPr>
                <w:t>Certifications filed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 as Exhibit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 as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85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4"/>
        <w:gridCol w:w="564"/>
        <w:gridCol w:w="567"/>
        <w:gridCol w:w="461"/>
        <w:gridCol w:w="461"/>
        <w:gridCol w:w="461"/>
        <w:gridCol w:w="1407"/>
        <w:gridCol w:w="1407"/>
        <w:gridCol w:w="20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23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w:t>
            </w:r>
            <w:r>
              <w:rPr>
                <w:rFonts w:ascii="Times New Roman;serif" w:hAnsi="Times New Roman;serif"/>
                <w:b w:val="false"/>
                <w:color w:val="000000"/>
                <w:sz w:val="16"/>
              </w:rPr>
              <w:t>MERICAN</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OWER</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8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 </w:t>
            </w:r>
            <w:r>
              <w:rPr>
                <w:color w:val="000000"/>
              </w:rPr>
              <w:t>  </w:t>
            </w:r>
            <w:r>
              <w:rPr>
                <w:rFonts w:ascii="Times New Roman;serif" w:hAnsi="Times New Roman;serif"/>
                <w:b w:val="false"/>
                <w:color w:val="000000"/>
                <w:sz w:val="18"/>
              </w:rPr>
              <w:t>RODNEY M. SMITH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Rodney M. Smith</w:t>
              <w:br/>
              <w:t xml:space="preserve">Executive Vice President, Chief Financial Officer and Treasurer </w:t>
              <w:br/>
              <w:t>(Duly Authorized Officer and Principal Financial Officer)</w:t>
            </w:r>
          </w:p>
        </w:tc>
      </w:tr>
    </w:tbl>
    <w:p>
      <w:pPr>
        <w:pStyle w:val="TextBody"/>
        <w:bidi w:val="0"/>
        <w:spacing w:before="0" w:after="283"/>
        <w:jc w:val="left"/>
        <w:rPr/>
      </w:pPr>
      <w:r>
        <w:rPr/>
      </w:r>
    </w:p>
    <w:p>
      <w:pPr>
        <w:pStyle w:val="TextBody"/>
        <w:bidi w:val="0"/>
        <w:spacing w:before="0" w:after="0"/>
        <w:jc w:val="right"/>
        <w:rPr>
          <w:rFonts w:ascii="Times New Roman" w:hAnsi="Times New Roman"/>
          <w:b/>
          <w:sz w:val="24"/>
        </w:rPr>
      </w:pPr>
      <w:bookmarkStart w:id="0" w:name="Exhibit107.htm"/>
      <w:bookmarkStart w:id="1" w:name="ksExhibit107"/>
      <w:bookmarkEnd w:id="0"/>
      <w:bookmarkEnd w:id="1"/>
      <w:r>
        <w:rPr>
          <w:rFonts w:ascii="Times New Roman" w:hAnsi="Times New Roman"/>
          <w:b/>
          <w:sz w:val="24"/>
        </w:rPr>
        <w:t xml:space="preserve">Exhibit 10.7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57    </w:t>
                      </w:r>
                    </w:p>
                  </w:txbxContent>
                </v:textbox>
                <w10:wrap type="none"/>
              </v:rect>
            </w:pict>
          </mc:Fallback>
        </mc:AlternateContent>
      </w:r>
    </w:p>
    <w:p>
      <w:pPr>
        <w:pStyle w:val="TextBody"/>
        <w:bidi w:val="0"/>
        <w:spacing w:before="240" w:after="0"/>
        <w:jc w:val="right"/>
        <w:rPr>
          <w:rFonts w:ascii="Times New Roman" w:hAnsi="Times New Roman"/>
          <w:b/>
          <w:i/>
          <w:sz w:val="24"/>
        </w:rPr>
      </w:pPr>
      <w:r>
        <w:rPr>
          <w:rFonts w:ascii="Times New Roman" w:hAnsi="Times New Roman"/>
          <w:b/>
          <w:i/>
          <w:sz w:val="24"/>
        </w:rPr>
        <w:t xml:space="preserve">Execution Version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4 TO THE </w:t>
      </w:r>
    </w:p>
    <w:p>
      <w:pPr>
        <w:pStyle w:val="TextBody"/>
        <w:bidi w:val="0"/>
        <w:spacing w:before="0" w:after="0"/>
        <w:jc w:val="center"/>
        <w:rPr>
          <w:rFonts w:ascii="Times New Roman" w:hAnsi="Times New Roman"/>
          <w:b/>
          <w:sz w:val="24"/>
        </w:rPr>
      </w:pPr>
      <w:r>
        <w:rPr>
          <w:rFonts w:ascii="Times New Roman" w:hAnsi="Times New Roman"/>
          <w:b/>
          <w:sz w:val="24"/>
        </w:rPr>
        <w:t xml:space="preserve">THIRD AMENDED AND RESTATED MULTICURRENCY REVOLVING CREDIT </w:t>
      </w:r>
    </w:p>
    <w:p>
      <w:pPr>
        <w:pStyle w:val="TextBody"/>
        <w:bidi w:val="0"/>
        <w:spacing w:before="0" w:after="0"/>
        <w:jc w:val="center"/>
        <w:rPr>
          <w:rFonts w:ascii="Times New Roman" w:hAnsi="Times New Roman"/>
          <w:b/>
          <w:sz w:val="24"/>
        </w:rPr>
      </w:pPr>
      <w:r>
        <w:rPr>
          <w:rFonts w:ascii="Times New Roman" w:hAnsi="Times New Roman"/>
          <w:b/>
          <w:sz w:val="24"/>
        </w:rPr>
        <w:t xml:space="preserve">AGREEMENT </w:t>
      </w:r>
    </w:p>
    <w:p>
      <w:pPr>
        <w:pStyle w:val="TextBody"/>
        <w:bidi w:val="0"/>
        <w:spacing w:before="240" w:after="0"/>
        <w:jc w:val="right"/>
        <w:rPr>
          <w:rFonts w:ascii="Times New Roman" w:hAnsi="Times New Roman"/>
          <w:sz w:val="24"/>
        </w:rPr>
      </w:pPr>
      <w:r>
        <w:rPr>
          <w:rFonts w:ascii="Times New Roman" w:hAnsi="Times New Roman"/>
          <w:sz w:val="24"/>
        </w:rPr>
        <w:t xml:space="preserve">Dated as of May 7, 2026 </w:t>
      </w:r>
    </w:p>
    <w:p>
      <w:pPr>
        <w:pStyle w:val="TextBody"/>
        <w:bidi w:val="0"/>
        <w:spacing w:before="240" w:after="0"/>
        <w:jc w:val="both"/>
        <w:rPr>
          <w:rFonts w:ascii="Times New Roman" w:hAnsi="Times New Roman"/>
          <w:sz w:val="24"/>
        </w:rPr>
      </w:pPr>
      <w:r>
        <w:rPr>
          <w:rFonts w:ascii="Times New Roman" w:hAnsi="Times New Roman"/>
          <w:b/>
          <w:sz w:val="24"/>
        </w:rPr>
        <w:t>AMENDMENT NO. 4 TO THE THIRD AMENDED AND RESTATED MULTICURRENCY REVOLVING CREDIT AGREEMENT</w:t>
      </w:r>
      <w:r>
        <w:rPr>
          <w:rFonts w:ascii="Times New Roman" w:hAnsi="Times New Roman"/>
          <w:sz w:val="24"/>
        </w:rPr>
        <w:t xml:space="preserve"> (this “</w:t>
      </w:r>
      <w:r>
        <w:rPr>
          <w:rFonts w:ascii="Times New Roman" w:hAnsi="Times New Roman"/>
          <w:sz w:val="24"/>
          <w:u w:val="single"/>
        </w:rPr>
        <w:t>Amendment</w:t>
      </w:r>
      <w:r>
        <w:rPr>
          <w:rFonts w:ascii="Times New Roman" w:hAnsi="Times New Roman"/>
          <w:sz w:val="24"/>
        </w:rPr>
        <w:t xml:space="preserve">”) by and among </w:t>
      </w:r>
      <w:r>
        <w:rPr>
          <w:rFonts w:ascii="Times New Roman" w:hAnsi="Times New Roman"/>
          <w:b/>
          <w:sz w:val="24"/>
        </w:rPr>
        <w:t>AMERICAN TOWER CORPORATION</w:t>
      </w:r>
      <w:r>
        <w:rPr>
          <w:rFonts w:ascii="Times New Roman" w:hAnsi="Times New Roman"/>
          <w:sz w:val="24"/>
        </w:rPr>
        <w:t>, a Delaware corporation (the “</w:t>
      </w:r>
      <w:r>
        <w:rPr>
          <w:rFonts w:ascii="Times New Roman" w:hAnsi="Times New Roman"/>
          <w:sz w:val="24"/>
          <w:u w:val="single"/>
        </w:rPr>
        <w:t>Company</w:t>
      </w:r>
      <w:r>
        <w:rPr>
          <w:rFonts w:ascii="Times New Roman" w:hAnsi="Times New Roman"/>
          <w:sz w:val="24"/>
        </w:rPr>
        <w:t xml:space="preserve">”), </w:t>
      </w:r>
      <w:r>
        <w:rPr>
          <w:rFonts w:ascii="Times New Roman" w:hAnsi="Times New Roman"/>
          <w:b/>
          <w:sz w:val="24"/>
        </w:rPr>
        <w:t>ATC INTERNATIONAL FINANCING II B.V.</w:t>
      </w:r>
      <w:r>
        <w:rPr>
          <w:rFonts w:ascii="Times New Roman" w:hAnsi="Times New Roman"/>
          <w:sz w:val="24"/>
        </w:rPr>
        <w:t xml:space="preserve"> (the “</w:t>
      </w:r>
      <w:r>
        <w:rPr>
          <w:rFonts w:ascii="Times New Roman" w:hAnsi="Times New Roman"/>
          <w:sz w:val="24"/>
          <w:u w:val="single"/>
        </w:rPr>
        <w:t>Dutch Borrower</w:t>
      </w:r>
      <w:r>
        <w:rPr>
          <w:rFonts w:ascii="Times New Roman" w:hAnsi="Times New Roman"/>
          <w:sz w:val="24"/>
        </w:rPr>
        <w:t>”), certain of the Company’s subsidiaries (together with the Company and the Dutch Borrower, the “</w:t>
      </w:r>
      <w:r>
        <w:rPr>
          <w:rFonts w:ascii="Times New Roman" w:hAnsi="Times New Roman"/>
          <w:sz w:val="24"/>
          <w:u w:val="single"/>
        </w:rPr>
        <w:t>Borrowers</w:t>
      </w:r>
      <w:r>
        <w:rPr>
          <w:rFonts w:ascii="Times New Roman" w:hAnsi="Times New Roman"/>
          <w:sz w:val="24"/>
        </w:rPr>
        <w:t>” and each, a “</w:t>
      </w:r>
      <w:r>
        <w:rPr>
          <w:rFonts w:ascii="Times New Roman" w:hAnsi="Times New Roman"/>
          <w:sz w:val="24"/>
          <w:u w:val="single"/>
        </w:rPr>
        <w:t>Borrower</w:t>
      </w:r>
      <w:r>
        <w:rPr>
          <w:rFonts w:ascii="Times New Roman" w:hAnsi="Times New Roman"/>
          <w:sz w:val="24"/>
        </w:rPr>
        <w:t>”), the financial institutions party hereto (collectively, the “</w:t>
      </w:r>
      <w:r>
        <w:rPr>
          <w:rFonts w:ascii="Times New Roman" w:hAnsi="Times New Roman"/>
          <w:sz w:val="24"/>
          <w:u w:val="single"/>
        </w:rPr>
        <w:t>Lenders</w:t>
      </w:r>
      <w:r>
        <w:rPr>
          <w:rFonts w:ascii="Times New Roman" w:hAnsi="Times New Roman"/>
          <w:sz w:val="24"/>
        </w:rPr>
        <w:t xml:space="preserve">”), and </w:t>
      </w:r>
      <w:r>
        <w:rPr>
          <w:rFonts w:ascii="Times New Roman" w:hAnsi="Times New Roman"/>
          <w:b/>
          <w:sz w:val="24"/>
        </w:rPr>
        <w:t>TORONTO DOMINION (TEXAS) LLC</w:t>
      </w:r>
      <w:r>
        <w:rPr>
          <w:rFonts w:ascii="Times New Roman" w:hAnsi="Times New Roman"/>
          <w:sz w:val="24"/>
        </w:rPr>
        <w:t>, as administrative agent for the Lenders (in such capacity, the “</w:t>
      </w:r>
      <w:r>
        <w:rPr>
          <w:rFonts w:ascii="Times New Roman" w:hAnsi="Times New Roman"/>
          <w:sz w:val="24"/>
          <w:u w:val="single"/>
        </w:rPr>
        <w:t>Administrative Agent</w:t>
      </w:r>
      <w:r>
        <w:rPr>
          <w:rFonts w:ascii="Times New Roman" w:hAnsi="Times New Roman"/>
          <w:sz w:val="24"/>
        </w:rPr>
        <w:t xml:space="preserve">”). </w:t>
      </w:r>
    </w:p>
    <w:p>
      <w:pPr>
        <w:pStyle w:val="TextBody"/>
        <w:bidi w:val="0"/>
        <w:spacing w:before="240" w:after="0"/>
        <w:jc w:val="both"/>
        <w:rPr>
          <w:rFonts w:ascii="Times New Roman" w:hAnsi="Times New Roman"/>
          <w:b/>
          <w:sz w:val="24"/>
        </w:rPr>
      </w:pPr>
      <w:r>
        <w:rPr>
          <w:rFonts w:ascii="Times New Roman" w:hAnsi="Times New Roman"/>
          <w:b/>
          <w:sz w:val="24"/>
        </w:rPr>
        <w:t xml:space="preserve">PRELIMINARY STATEMENTS: </w:t>
      </w:r>
    </w:p>
    <w:p>
      <w:pPr>
        <w:pStyle w:val="TextBody"/>
        <w:bidi w:val="0"/>
        <w:spacing w:before="240" w:after="0"/>
        <w:jc w:val="both"/>
        <w:rPr>
          <w:rFonts w:ascii="Times New Roman" w:hAnsi="Times New Roman"/>
          <w:sz w:val="24"/>
        </w:rPr>
      </w:pPr>
      <w:r>
        <w:rPr>
          <w:rFonts w:ascii="Times New Roman" w:hAnsi="Times New Roman"/>
          <w:sz w:val="24"/>
        </w:rPr>
        <w:t>(1) The Company, the lenders from time to time party thereto and the Administrative Agent are parties to a Third Amended and Restated Multicurrency Revolving Credit Agreement dated as of December 8, 2021 (as amended by Amendment No. 1 to the Third Amended and Restated Multicurrency Revolving Credit Agreement, dated as of June 29, 2023, and Notice of Benchmark Replacement, Amendment No. 2 to the Third Amended and Restated Multicurrency Revolving Credit Agreement, dated as of June 27, 2024 and Amendment No. 3 to the Third Amended and Restated Multicurrency Revolving Credit Agreement, dated as of January 28, 2025, and as further amended, supplemented or otherwise modified through the date hereof, the “</w:t>
      </w:r>
      <w:r>
        <w:rPr>
          <w:rFonts w:ascii="Times New Roman" w:hAnsi="Times New Roman"/>
          <w:sz w:val="24"/>
          <w:u w:val="single"/>
        </w:rPr>
        <w:t>Credit Agreement</w:t>
      </w:r>
      <w:r>
        <w:rPr>
          <w:rFonts w:ascii="Times New Roman" w:hAnsi="Times New Roman"/>
          <w:sz w:val="24"/>
        </w:rPr>
        <w:t xml:space="preserve">”). Capitalized terms not otherwise defined in this Amendment have the same meanings as specified in the Credit Agreement. </w:t>
      </w:r>
    </w:p>
    <w:p>
      <w:pPr>
        <w:pStyle w:val="TextBody"/>
        <w:bidi w:val="0"/>
        <w:spacing w:before="240" w:after="0"/>
        <w:jc w:val="both"/>
        <w:rPr>
          <w:rFonts w:ascii="Times New Roman" w:hAnsi="Times New Roman"/>
          <w:sz w:val="24"/>
        </w:rPr>
      </w:pPr>
      <w:r>
        <w:rPr>
          <w:rFonts w:ascii="Times New Roman" w:hAnsi="Times New Roman"/>
          <w:sz w:val="24"/>
        </w:rPr>
        <w:t>(2) The parties hereto desire to make the amendments to the Credit Agreement set forth below on the terms as hereinafter set forth (the Credit Agreement as so amended, the “</w:t>
      </w:r>
      <w:r>
        <w:rPr>
          <w:rFonts w:ascii="Times New Roman" w:hAnsi="Times New Roman"/>
          <w:sz w:val="24"/>
          <w:u w:val="single"/>
        </w:rPr>
        <w:t>Amended Credit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NOW, THEREFORE, in consideration of the foregoing and for other good and valuable consideration, the receipt and sufficiency of all of which are hereby acknowledged, the parties hereto hereby agree as follows: </w:t>
      </w:r>
    </w:p>
    <w:p>
      <w:pPr>
        <w:pStyle w:val="TextBody"/>
        <w:bidi w:val="0"/>
        <w:spacing w:before="240" w:after="0"/>
        <w:jc w:val="both"/>
        <w:rPr>
          <w:rFonts w:ascii="Times New Roman" w:hAnsi="Times New Roman"/>
          <w:sz w:val="24"/>
        </w:rPr>
      </w:pPr>
      <w:r>
        <w:rPr>
          <w:rFonts w:ascii="Times New Roman" w:hAnsi="Times New Roman"/>
          <w:sz w:val="24"/>
        </w:rPr>
        <w:t>SECTION 1. </w:t>
      </w:r>
      <w:r>
        <w:rPr>
          <w:rFonts w:ascii="Times New Roman" w:hAnsi="Times New Roman"/>
          <w:sz w:val="24"/>
          <w:u w:val="single"/>
        </w:rPr>
        <w:t>Certain Amendments to Credit Agreement</w:t>
      </w:r>
      <w:r>
        <w:rPr>
          <w:rFonts w:ascii="Times New Roman" w:hAnsi="Times New Roman"/>
          <w:sz w:val="24"/>
        </w:rPr>
        <w:t xml:space="preserve">. Each of the parties hereto agrees that, effective on and as of the Amendment Effective Date (as defined below), the Credit Agreement shall be amended to delete the stricken text (indicated textually in the same manner as the following example: </w:t>
      </w:r>
      <w:r>
        <w:rPr>
          <w:rFonts w:ascii="Times New Roman" w:hAnsi="Times New Roman"/>
          <w:strike/>
          <w:color w:val="FF0000"/>
          <w:sz w:val="24"/>
        </w:rPr>
        <w:t>stricken text</w:t>
      </w:r>
      <w:r>
        <w:rPr>
          <w:rFonts w:ascii="Times New Roman" w:hAnsi="Times New Roman"/>
          <w:sz w:val="24"/>
        </w:rPr>
        <w:t xml:space="preserve">) and to add the double-underlined text (indicated textually in the same manner as the following example: </w:t>
      </w:r>
      <w:r>
        <w:rPr>
          <w:rFonts w:ascii="Times New Roman" w:hAnsi="Times New Roman"/>
          <w:color w:val="0000FF"/>
          <w:sz w:val="24"/>
          <w:u w:val="single"/>
          <w:bdr w:val="double" w:sz="2" w:space="1" w:color="000000"/>
        </w:rPr>
        <w:t>double-underlined text</w:t>
      </w:r>
      <w:r>
        <w:rPr>
          <w:rFonts w:ascii="Times New Roman" w:hAnsi="Times New Roman"/>
          <w:sz w:val="24"/>
        </w:rPr>
        <w:t xml:space="preserve">) as set forth in </w:t>
      </w:r>
      <w:r>
        <w:rPr>
          <w:rFonts w:ascii="Times New Roman" w:hAnsi="Times New Roman"/>
          <w:sz w:val="24"/>
          <w:u w:val="single"/>
        </w:rPr>
        <w:t>Exhibit A</w:t>
      </w:r>
      <w:r>
        <w:rPr>
          <w:rFonts w:ascii="Times New Roman" w:hAnsi="Times New Roman"/>
          <w:sz w:val="24"/>
        </w:rPr>
        <w:t xml:space="preserve"> hereto. </w:t>
      </w:r>
    </w:p>
    <w:p>
      <w:pPr>
        <w:pStyle w:val="TextBody"/>
        <w:bidi w:val="0"/>
        <w:spacing w:before="240" w:after="0"/>
        <w:jc w:val="both"/>
        <w:rPr>
          <w:rFonts w:ascii="Times New Roman" w:hAnsi="Times New Roman"/>
          <w:sz w:val="24"/>
        </w:rPr>
      </w:pPr>
      <w:r>
        <w:rPr>
          <w:rFonts w:ascii="Times New Roman" w:hAnsi="Times New Roman"/>
          <w:sz w:val="24"/>
        </w:rPr>
        <w:t xml:space="preserve">(b) Each of the parties here agrees that, effective on and as of the Amendment Effective Date, (i) Schedule 1 to the Credit Agreement (Commitments; Commitment Ratios) shall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5"/>
        <w:gridCol w:w="122"/>
        <w:gridCol w:w="2825"/>
        <w:gridCol w:w="122"/>
        <w:gridCol w:w="4481"/>
      </w:tblGrid>
      <w:tr>
        <w:trPr/>
        <w:tc>
          <w:tcPr>
            <w:tcW w:w="26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81" w:type="dxa"/>
            <w:tcBorders/>
            <w:vAlign w:val="center"/>
          </w:tcPr>
          <w:p>
            <w:pPr>
              <w:pStyle w:val="TableContents"/>
              <w:bidi w:val="0"/>
              <w:spacing w:before="0" w:after="283"/>
              <w:jc w:val="left"/>
              <w:rPr>
                <w:sz w:val="4"/>
                <w:szCs w:val="4"/>
              </w:rPr>
            </w:pPr>
            <w:r>
              <w:rPr>
                <w:sz w:val="4"/>
                <w:szCs w:val="4"/>
              </w:rPr>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Amendment No 4. to Third Amended</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and Restated Multicurrency Revolving Credit Agreement</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pPr>
            <w:r>
              <w:rPr/>
              <w:t>      </w:t>
            </w:r>
            <w:r>
              <w:rPr/>
              <w:t>1</w:t>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4"/>
        </w:rPr>
      </w:pPr>
      <w:r>
        <w:rPr>
          <w:rFonts w:ascii="Times New Roman" w:hAnsi="Times New Roman"/>
          <w:sz w:val="24"/>
        </w:rPr>
        <w:t xml:space="preserve">hereby be amended and restated in the form attached as Schedule I hereto and (ii) Exhibit B to the Credit Agreement shall be amended and restated in the form attached as Exhibit B hereto (for the avoidance of doubt, all other schedules and all exhibits to the Credit Agreement will remain in full force and effect in the form attached to the Credit Agreement immediately prior to the Amendment Effective Date). </w:t>
      </w:r>
    </w:p>
    <w:p>
      <w:pPr>
        <w:pStyle w:val="TextBody"/>
        <w:bidi w:val="0"/>
        <w:spacing w:before="240" w:after="0"/>
        <w:jc w:val="both"/>
        <w:rPr>
          <w:rFonts w:ascii="Times New Roman" w:hAnsi="Times New Roman"/>
          <w:sz w:val="24"/>
        </w:rPr>
      </w:pPr>
      <w:r>
        <w:rPr>
          <w:rFonts w:ascii="Times New Roman" w:hAnsi="Times New Roman"/>
          <w:sz w:val="24"/>
        </w:rPr>
        <w:t>SECTION 2. </w:t>
      </w:r>
      <w:r>
        <w:rPr>
          <w:rFonts w:ascii="Times New Roman" w:hAnsi="Times New Roman"/>
          <w:sz w:val="24"/>
          <w:u w:val="single"/>
        </w:rPr>
        <w:t>Waiver; Assignment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requirements of Sections 12.4 and 12.12(c) of the Credit Agreement are hereby waived to the extent that such Sections require prior notice or execution and delivery of an assignment agreement to effect an assignment by any Lender that does not agree to extend its Revolving Loan Commitment as set forth in this Amendment. Accordingly, after giving effect to this Amendment, only those Lenders listed on </w:t>
      </w:r>
      <w:r>
        <w:rPr>
          <w:rFonts w:ascii="Times New Roman" w:hAnsi="Times New Roman"/>
          <w:sz w:val="24"/>
          <w:u w:val="single"/>
        </w:rPr>
        <w:t>Schedule 1</w:t>
      </w:r>
      <w:r>
        <w:rPr>
          <w:rFonts w:ascii="Times New Roman" w:hAnsi="Times New Roman"/>
          <w:sz w:val="24"/>
        </w:rPr>
        <w:t xml:space="preserve"> to this Amendment shall have any Revolving Loan Commitment or be considered Lenders under the Credit Agreement, with Revolving Loan Commitments in such amounts as set forth on </w:t>
      </w:r>
      <w:r>
        <w:rPr>
          <w:rFonts w:ascii="Times New Roman" w:hAnsi="Times New Roman"/>
          <w:sz w:val="24"/>
          <w:u w:val="single"/>
        </w:rPr>
        <w:t>Schedule 1</w:t>
      </w:r>
      <w:r>
        <w:rPr>
          <w:rFonts w:ascii="Times New Roman" w:hAnsi="Times New Roman"/>
          <w:sz w:val="24"/>
        </w:rPr>
        <w:t xml:space="preserve">. The execution and delivery of this Amendment is evidence of the consent of the Company, the Swingline Lenders, the Issuing Banks and the Administrative Agent to assignment of each Assignor’s (as defined below) Revolving Loan Commitments to the Assignees (as defined below), as required pursuant to Section 12.4(b)(iii) of the Credit Agreement. </w:t>
      </w:r>
    </w:p>
    <w:p>
      <w:pPr>
        <w:pStyle w:val="TextBody"/>
        <w:bidi w:val="0"/>
        <w:spacing w:before="240" w:after="0"/>
        <w:jc w:val="both"/>
        <w:rPr>
          <w:rFonts w:ascii="Times New Roman" w:hAnsi="Times New Roman"/>
          <w:sz w:val="24"/>
        </w:rPr>
      </w:pPr>
      <w:r>
        <w:rPr>
          <w:rFonts w:ascii="Times New Roman" w:hAnsi="Times New Roman"/>
          <w:sz w:val="24"/>
        </w:rPr>
        <w:t>(b) Each Lender whose Revolving Loan Commitment is reduced or terminated by giving effect to this Amendment (each, an “</w:t>
      </w:r>
      <w:r>
        <w:rPr>
          <w:rFonts w:ascii="Times New Roman" w:hAnsi="Times New Roman"/>
          <w:sz w:val="24"/>
          <w:u w:val="single"/>
        </w:rPr>
        <w:t>Assignor</w:t>
      </w:r>
      <w:r>
        <w:rPr>
          <w:rFonts w:ascii="Times New Roman" w:hAnsi="Times New Roman"/>
          <w:sz w:val="24"/>
        </w:rPr>
        <w:t>”) hereby irrevocably sells and assigns, at par, to each Lender whose Revolving Loan Commitment is increased (or created) by giving effect to this Amendment (each, an “</w:t>
      </w:r>
      <w:r>
        <w:rPr>
          <w:rFonts w:ascii="Times New Roman" w:hAnsi="Times New Roman"/>
          <w:sz w:val="24"/>
          <w:u w:val="single"/>
        </w:rPr>
        <w:t>Assignee</w:t>
      </w:r>
      <w:r>
        <w:rPr>
          <w:rFonts w:ascii="Times New Roman" w:hAnsi="Times New Roman"/>
          <w:sz w:val="24"/>
        </w:rPr>
        <w:t xml:space="preserve">”), and each Assignee hereby irrevocably purchases and assumes from each Assignor, subject to and in accordance with this Amendment and the Credit Agreement, as of the Amendment Effective Date (as defined below), the Assigned Interests (as defined below). Such sales and assignments and purchases and assumptions shall be made on the terms set forth in Exhibit F to the Credit Agreement and shall comply with Section 12.4(b) of the Credit Agreement, notwithstanding any failure of such sales, assignments, purchases and assumptions to comply with (x) the minimum assignment requirement in Section 12.4(b)(i) of the Credit Agreement, (y) the requirement to pay the processing and recordation fees referenced in Section 12.4(b)(iv) of the Credit Agreement or (z) any requirement to execute and deliver an Assignment and Assumption in the form of Exhibit F to the Credit Agreement in respect thereof. Without limiting the generality of the foregoing, each Assignee and each Assignor hereby makes the representations, warranties and agreements required to be made by such under Section 1 of Annex 1 to Exhibit F to the Credit Agreement by an Assignee or an Assignor, respectively, with respect to the Assigned Interests being assigned or assumed by such Assignee or such Assignor, respectively, hereunder. Each sale and assignment hereunder is without recourse to any Assignor and, except as expressly provided in Section 1 of Annex 1 to Exhibit F to the Credit Agreement, without representation or warranty by any Assignor. </w:t>
      </w:r>
    </w:p>
    <w:p>
      <w:pPr>
        <w:pStyle w:val="TextBody"/>
        <w:bidi w:val="0"/>
        <w:spacing w:before="240" w:after="0"/>
        <w:jc w:val="both"/>
        <w:rPr>
          <w:rFonts w:ascii="Times New Roman" w:hAnsi="Times New Roman"/>
          <w:sz w:val="24"/>
        </w:rPr>
      </w:pPr>
      <w:r>
        <w:rPr>
          <w:rFonts w:ascii="Times New Roman" w:hAnsi="Times New Roman"/>
          <w:sz w:val="24"/>
        </w:rPr>
        <w:t>(c) As used herein, “</w:t>
      </w:r>
      <w:r>
        <w:rPr>
          <w:rFonts w:ascii="Times New Roman" w:hAnsi="Times New Roman"/>
          <w:sz w:val="24"/>
          <w:u w:val="single"/>
        </w:rPr>
        <w:t>Assigned Interest</w:t>
      </w:r>
      <w:r>
        <w:rPr>
          <w:rFonts w:ascii="Times New Roman" w:hAnsi="Times New Roman"/>
          <w:sz w:val="24"/>
        </w:rPr>
        <w:t xml:space="preserve">” means (i) all of the respective Assignors’ rights and obligations in their respective capacities as Lenders under the Credit Agreement and any other documents or instruments delivered pursuant thereto to the extent related to the Revolving Loan Commitments of the respective Assignors to the extent being assigned under this Amendment and (ii) to the extent permitted to be assigned under Applicable Law, all claims, suits, causes of action and any other right of the respective Assignors (in their respective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5"/>
        <w:gridCol w:w="122"/>
        <w:gridCol w:w="2825"/>
        <w:gridCol w:w="122"/>
        <w:gridCol w:w="4481"/>
      </w:tblGrid>
      <w:tr>
        <w:trPr/>
        <w:tc>
          <w:tcPr>
            <w:tcW w:w="26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81" w:type="dxa"/>
            <w:tcBorders/>
            <w:vAlign w:val="center"/>
          </w:tcPr>
          <w:p>
            <w:pPr>
              <w:pStyle w:val="TableContents"/>
              <w:bidi w:val="0"/>
              <w:spacing w:before="0" w:after="283"/>
              <w:jc w:val="left"/>
              <w:rPr>
                <w:sz w:val="4"/>
                <w:szCs w:val="4"/>
              </w:rPr>
            </w:pPr>
            <w:r>
              <w:rPr>
                <w:sz w:val="4"/>
                <w:szCs w:val="4"/>
              </w:rPr>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Amendment No 4. to Third Amended</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and Restated Multicurrency Revolving Credit Agreement</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pPr>
            <w:r>
              <w:rPr/>
              <w:t>      </w:t>
            </w:r>
            <w:r>
              <w:rPr/>
              <w:t>2</w:t>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4"/>
        </w:rPr>
      </w:pPr>
      <w:r>
        <w:rPr>
          <w:rFonts w:ascii="Times New Roman" w:hAnsi="Times New Roman"/>
          <w:sz w:val="24"/>
        </w:rPr>
        <w:t xml:space="preserve">capacities as Lenders) against any Person, whether known or unknown, arising under or in connection with the Loan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w:t>
      </w:r>
    </w:p>
    <w:p>
      <w:pPr>
        <w:pStyle w:val="TextBody"/>
        <w:bidi w:val="0"/>
        <w:spacing w:before="240" w:after="0"/>
        <w:jc w:val="both"/>
        <w:rPr>
          <w:rFonts w:ascii="Times New Roman" w:hAnsi="Times New Roman"/>
          <w:sz w:val="24"/>
        </w:rPr>
      </w:pPr>
      <w:r>
        <w:rPr>
          <w:rFonts w:ascii="Times New Roman" w:hAnsi="Times New Roman"/>
          <w:sz w:val="24"/>
        </w:rPr>
        <w:t xml:space="preserve">(d) On the Amendment Effective Date, subject to the terms and conditions set forth herein, (x) to the extent any Loans or funded L/C Obligations are outstanding on such date, each Assignee purchasing and assuming Assigned Interests pursuant to paragraph (b) above shall pay the purchase price for such Assigned Interests (equal to the principal amount of such outstanding Loans and funded L/C Obligations with respect to such Assigned Interest) by wire transfer of immediately available funds to the Administrative Agent not later than 12:00 Noon (New York City time), (y) the Company shall pay all accrued and unpaid interest and fees and other amounts accrued to but excluding the Amendment Effective Date for the account of each Assignor in respect of such Assignor’s Assigned Interests (including such amount, if any, as would be payable pursuant to Section 2.9 of the Credit Agreement if the outstanding Loans of such Assignor were prepaid in their entirety on the date of consummation of the assignment of the Assigned Interests) by wire transfer of immediately available funds to the Administrative Agent not later than 12:00 Noon (New York City time) and (z) the Administrative Agent shall pay to each of the Assignors, out of the amounts received by the Administrative Agent pursuant to clauses (x) and (y) above, the purchase price for the Assigned Interests assigned by such Assignor pursuant hereto and all unpaid interest and fees and other amounts accrued for the account of each Assignor to but excluding the Amendment Effective Date by wire transfer of immediately available funds to the account designated by such Assignor to the Administrative Agent not later than 5:00 p.m. (New York City time) on the Amendment Effective Date. </w:t>
      </w:r>
    </w:p>
    <w:p>
      <w:pPr>
        <w:pStyle w:val="TextBody"/>
        <w:bidi w:val="0"/>
        <w:spacing w:before="240" w:after="0"/>
        <w:jc w:val="both"/>
        <w:rPr>
          <w:rFonts w:ascii="Times New Roman" w:hAnsi="Times New Roman"/>
          <w:sz w:val="24"/>
        </w:rPr>
      </w:pPr>
      <w:r>
        <w:rPr>
          <w:rFonts w:ascii="Times New Roman" w:hAnsi="Times New Roman"/>
          <w:sz w:val="24"/>
        </w:rPr>
        <w:t>SECTION 3. </w:t>
      </w:r>
      <w:r>
        <w:rPr>
          <w:rFonts w:ascii="Times New Roman" w:hAnsi="Times New Roman"/>
          <w:sz w:val="24"/>
          <w:u w:val="single"/>
        </w:rPr>
        <w:t>Conditions to Effectiveness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amendments to the Credit Agreement set forth in Section 1 and the assignments set forth in Sections 2 shall become effective on the first date (the “</w:t>
      </w:r>
      <w:r>
        <w:rPr>
          <w:rFonts w:ascii="Times New Roman" w:hAnsi="Times New Roman"/>
          <w:sz w:val="24"/>
          <w:u w:val="single"/>
        </w:rPr>
        <w:t>Amendment Effective Date</w:t>
      </w:r>
      <w:r>
        <w:rPr>
          <w:rFonts w:ascii="Times New Roman" w:hAnsi="Times New Roman"/>
          <w:sz w:val="24"/>
        </w:rPr>
        <w:t xml:space="preserve">”) on which the following conditions have been satisfied: </w:t>
      </w:r>
    </w:p>
    <w:p>
      <w:pPr>
        <w:pStyle w:val="TextBody"/>
        <w:bidi w:val="0"/>
        <w:spacing w:before="240" w:after="0"/>
        <w:jc w:val="both"/>
        <w:rPr>
          <w:rFonts w:ascii="Times New Roman" w:hAnsi="Times New Roman"/>
          <w:sz w:val="24"/>
        </w:rPr>
      </w:pPr>
      <w:r>
        <w:rPr>
          <w:rFonts w:ascii="Times New Roman" w:hAnsi="Times New Roman"/>
          <w:sz w:val="24"/>
        </w:rPr>
        <w:t xml:space="preserve">(a) the Administrative Agent shall have received counterparts hereof executed by the Administrative Agent, each Borrower, each Swingline Lender, each Issuing Bank and each other Lender; </w:t>
      </w:r>
    </w:p>
    <w:p>
      <w:pPr>
        <w:pStyle w:val="TextBody"/>
        <w:bidi w:val="0"/>
        <w:spacing w:before="240" w:after="0"/>
        <w:jc w:val="both"/>
        <w:rPr>
          <w:rFonts w:ascii="Times New Roman" w:hAnsi="Times New Roman"/>
          <w:sz w:val="24"/>
        </w:rPr>
      </w:pPr>
      <w:r>
        <w:rPr>
          <w:rFonts w:ascii="Times New Roman" w:hAnsi="Times New Roman"/>
          <w:sz w:val="24"/>
        </w:rPr>
        <w:t xml:space="preserve">(b) the Company shall have paid all fees required to be paid to certain of the Joint Lead Arrangers and to the Lenders in connection with this Amendment as separately agreed; </w:t>
      </w:r>
    </w:p>
    <w:p>
      <w:pPr>
        <w:pStyle w:val="TextBody"/>
        <w:bidi w:val="0"/>
        <w:spacing w:before="240" w:after="0"/>
        <w:jc w:val="both"/>
        <w:rPr>
          <w:rFonts w:ascii="Times New Roman" w:hAnsi="Times New Roman"/>
          <w:sz w:val="24"/>
        </w:rPr>
      </w:pPr>
      <w:r>
        <w:rPr>
          <w:rFonts w:ascii="Times New Roman" w:hAnsi="Times New Roman"/>
          <w:sz w:val="24"/>
        </w:rPr>
        <w:t xml:space="preserve">(c) the Administrative Agent and the Joint Lead Arrangers shall have received payment for all reasonable and documented costs and expenses required to be paid or reimbursed under Section 12.2 of the Credit Agreement, as amended hereby; </w:t>
      </w:r>
    </w:p>
    <w:p>
      <w:pPr>
        <w:pStyle w:val="TextBody"/>
        <w:bidi w:val="0"/>
        <w:spacing w:before="240" w:after="0"/>
        <w:jc w:val="both"/>
        <w:rPr>
          <w:rFonts w:ascii="Times New Roman" w:hAnsi="Times New Roman"/>
          <w:sz w:val="24"/>
        </w:rPr>
      </w:pPr>
      <w:r>
        <w:rPr>
          <w:rFonts w:ascii="Times New Roman" w:hAnsi="Times New Roman"/>
          <w:sz w:val="24"/>
        </w:rPr>
        <w:t xml:space="preserve">(d) to the extent reasonably requested by the Administrative Agent, the Administrative Agent shall have received: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5"/>
        <w:gridCol w:w="122"/>
        <w:gridCol w:w="2825"/>
        <w:gridCol w:w="122"/>
        <w:gridCol w:w="4481"/>
      </w:tblGrid>
      <w:tr>
        <w:trPr/>
        <w:tc>
          <w:tcPr>
            <w:tcW w:w="26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81" w:type="dxa"/>
            <w:tcBorders/>
            <w:vAlign w:val="center"/>
          </w:tcPr>
          <w:p>
            <w:pPr>
              <w:pStyle w:val="TableContents"/>
              <w:bidi w:val="0"/>
              <w:spacing w:before="0" w:after="283"/>
              <w:jc w:val="left"/>
              <w:rPr>
                <w:sz w:val="4"/>
                <w:szCs w:val="4"/>
              </w:rPr>
            </w:pPr>
            <w:r>
              <w:rPr>
                <w:sz w:val="4"/>
                <w:szCs w:val="4"/>
              </w:rPr>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Amendment No 4. to Third Amended</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and Restated Multicurrency Revolving Credit Agreement</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pPr>
            <w:r>
              <w:rPr/>
              <w:t>      </w:t>
            </w:r>
            <w:r>
              <w:rPr/>
              <w:t>3</w:t>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4"/>
        </w:rPr>
      </w:pPr>
      <w:r>
        <w:rPr>
          <w:rFonts w:ascii="Times New Roman" w:hAnsi="Times New Roman"/>
          <w:sz w:val="24"/>
        </w:rPr>
        <w:t xml:space="preserve">(i) from the Company, certificates and other documentation, dated the Amendment Effective Date, in form and substance substantially consistent with the certificates and other documentation delivered on the Effective Date pursuant to Sections 3.1 and 3.2 of the Credit Agreement or otherwise reasonably acceptable to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(ii) from the Dutch Borrower, certificates and other documentation, dated the Amendment Effective Date, required pursuant to Section 3.2 of the Credit Agreement, in form and substance reasonably acceptable to the Administrative Agent; and </w:t>
      </w:r>
    </w:p>
    <w:p>
      <w:pPr>
        <w:pStyle w:val="TextBody"/>
        <w:bidi w:val="0"/>
        <w:spacing w:before="240" w:after="0"/>
        <w:jc w:val="both"/>
        <w:rPr>
          <w:rFonts w:ascii="Times New Roman" w:hAnsi="Times New Roman"/>
          <w:sz w:val="24"/>
        </w:rPr>
      </w:pPr>
      <w:r>
        <w:rPr>
          <w:rFonts w:ascii="Times New Roman" w:hAnsi="Times New Roman"/>
          <w:sz w:val="24"/>
        </w:rPr>
        <w:t xml:space="preserve">(iii) a certificate of a Responsible Officer of the Company dated the Amendment Effective Date certifying as to the representations and warranties set forth in Section 4 of this Amendment; and </w:t>
      </w:r>
    </w:p>
    <w:p>
      <w:pPr>
        <w:pStyle w:val="TextBody"/>
        <w:bidi w:val="0"/>
        <w:spacing w:before="240" w:after="0"/>
        <w:jc w:val="both"/>
        <w:rPr>
          <w:rFonts w:ascii="Times New Roman" w:hAnsi="Times New Roman"/>
          <w:sz w:val="24"/>
        </w:rPr>
      </w:pPr>
      <w:r>
        <w:rPr>
          <w:rFonts w:ascii="Times New Roman" w:hAnsi="Times New Roman"/>
          <w:sz w:val="24"/>
        </w:rPr>
        <w:t xml:space="preserve">(e) at least five (5) Business Days prior to the Amendment Effective Date, to the extent reasonably requested in writing at least ten (10) Business Days prior to the Amendment Effective Date, the documentation that the Administrative Agent and the Lenders are required to obtain from each Borrower under Section 326 of the USA PATRIOT ACT (P.L. 107-56, 115 Stat. 272 (2001)) and under any other provision of the Patriot Act, the Bank Secrecy Act (P.L. 91-508, 84 Stat. 1118 (1970)) or any regulations under such Act or the Patriot Act that contain document collection requirements that apply to the Administrative Agent and the Lenders and (ii) to the extent such Borrower qualifies as a “legal entity customer” under the Beneficial Ownership Regulation, the Beneficial Ownership Certification to each Lender that so requests. </w:t>
      </w:r>
    </w:p>
    <w:p>
      <w:pPr>
        <w:pStyle w:val="TextBody"/>
        <w:bidi w:val="0"/>
        <w:spacing w:before="240" w:after="0"/>
        <w:jc w:val="both"/>
        <w:rPr>
          <w:rFonts w:ascii="Times New Roman" w:hAnsi="Times New Roman"/>
          <w:sz w:val="24"/>
        </w:rPr>
      </w:pPr>
      <w:r>
        <w:rPr>
          <w:rFonts w:ascii="Times New Roman" w:hAnsi="Times New Roman"/>
          <w:sz w:val="24"/>
        </w:rPr>
        <w:t>SECTION 4. </w:t>
      </w:r>
      <w:r>
        <w:rPr>
          <w:rFonts w:ascii="Times New Roman" w:hAnsi="Times New Roman"/>
          <w:sz w:val="24"/>
          <w:u w:val="single"/>
        </w:rPr>
        <w:t>Representations</w:t>
      </w:r>
      <w:r>
        <w:rPr>
          <w:rFonts w:ascii="Times New Roman" w:hAnsi="Times New Roman"/>
          <w:sz w:val="24"/>
        </w:rPr>
        <w:t xml:space="preserve">. Each Borrower hereby represents and warrants that, as of the Amendment Effective Date, (i) all of the representations and warranties of such Borrower under the Credit Agreement and the other Loan Documents (other than those set forth in Section 4.1(f)(ii) and Section 4.1(i) of the Credit Agreement), in each case are true and correct at such time in all material respects, except for those representations and warranties that are qualified by materiality or Materially Adverse Effect, which shall be true and correct in all respects, both before and after giving effect to this Amendment, and after giving effect to any updates to information provided to the Lenders in accordance with the terms of the Credit Agreement except to the extent stated to have been made as of the Effective 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representations in Section 4.1(h) of the Credit Agreement shall be deemed to refer to the audited financial statements for the Company and its Subsidiaries on a consolidated basis for the fiscal year ended December 31, 2025, and the consolidated balance sheet of the Company and its Subsidiaries as at December 31, 2025, and (ii) no Default shall then exist or be caused hereby. </w:t>
      </w:r>
    </w:p>
    <w:p>
      <w:pPr>
        <w:pStyle w:val="TextBody"/>
        <w:bidi w:val="0"/>
        <w:spacing w:before="240" w:after="0"/>
        <w:jc w:val="both"/>
        <w:rPr>
          <w:rFonts w:ascii="Times New Roman" w:hAnsi="Times New Roman"/>
          <w:sz w:val="24"/>
        </w:rPr>
      </w:pPr>
      <w:r>
        <w:rPr>
          <w:rFonts w:ascii="Times New Roman" w:hAnsi="Times New Roman"/>
          <w:sz w:val="24"/>
        </w:rPr>
        <w:t>SECTION 5. </w:t>
      </w:r>
      <w:r>
        <w:rPr>
          <w:rFonts w:ascii="Times New Roman" w:hAnsi="Times New Roman"/>
          <w:sz w:val="24"/>
          <w:u w:val="single"/>
        </w:rPr>
        <w:t>Reference to and Effect on the Credit Agreement and the Other Loan</w:t>
      </w:r>
      <w:r>
        <w:rPr>
          <w:rFonts w:ascii="Times New Roman" w:hAnsi="Times New Roman"/>
          <w:sz w:val="24"/>
        </w:rPr>
        <w:t xml:space="preserve"> </w:t>
      </w:r>
      <w:r>
        <w:rPr>
          <w:rFonts w:ascii="Times New Roman" w:hAnsi="Times New Roman"/>
          <w:sz w:val="24"/>
          <w:u w:val="single"/>
        </w:rPr>
        <w:t>Documents</w:t>
      </w:r>
      <w:r>
        <w:rPr>
          <w:rFonts w:ascii="Times New Roman" w:hAnsi="Times New Roman"/>
          <w:sz w:val="24"/>
        </w:rPr>
        <w:t xml:space="preserve">. (a) On and after the effectiveness of this Amendment, each reference in the Credit Agreement to “this Agreement”, “hereunder”, “hereof” or words of like import referring to the Credit Agreement, and each reference in any other Loan Document to “the Credit Agreement”, “thereunder”, “thereof” or words of like import referring to the Credit Agreement, shall mean and be a reference to the Amended Credit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5"/>
        <w:gridCol w:w="122"/>
        <w:gridCol w:w="2825"/>
        <w:gridCol w:w="122"/>
        <w:gridCol w:w="4481"/>
      </w:tblGrid>
      <w:tr>
        <w:trPr/>
        <w:tc>
          <w:tcPr>
            <w:tcW w:w="26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81" w:type="dxa"/>
            <w:tcBorders/>
            <w:vAlign w:val="center"/>
          </w:tcPr>
          <w:p>
            <w:pPr>
              <w:pStyle w:val="TableContents"/>
              <w:bidi w:val="0"/>
              <w:spacing w:before="0" w:after="283"/>
              <w:jc w:val="left"/>
              <w:rPr>
                <w:sz w:val="4"/>
                <w:szCs w:val="4"/>
              </w:rPr>
            </w:pPr>
            <w:r>
              <w:rPr>
                <w:sz w:val="4"/>
                <w:szCs w:val="4"/>
              </w:rPr>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Amendment No 4. to Third Amended</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and Restated Multicurrency Revolving Credit Agreement</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pPr>
            <w:r>
              <w:rPr/>
              <w:t>      </w:t>
            </w:r>
            <w:r>
              <w:rPr/>
              <w:t>4</w:t>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4"/>
        </w:rPr>
      </w:pPr>
      <w:r>
        <w:rPr>
          <w:rFonts w:ascii="Times New Roman" w:hAnsi="Times New Roman"/>
          <w:sz w:val="24"/>
        </w:rPr>
        <w:t xml:space="preserve">(b) The Credit Agreement and the other Loan Documents, as specifically amended by this Amendment, are and shall continue to be in full force and effect and are hereby in all respects ratified and confirmed. </w:t>
      </w:r>
    </w:p>
    <w:p>
      <w:pPr>
        <w:pStyle w:val="TextBody"/>
        <w:bidi w:val="0"/>
        <w:spacing w:before="240" w:after="0"/>
        <w:jc w:val="both"/>
        <w:rPr>
          <w:rFonts w:ascii="Times New Roman" w:hAnsi="Times New Roman"/>
          <w:sz w:val="24"/>
        </w:rPr>
      </w:pPr>
      <w:r>
        <w:rPr>
          <w:rFonts w:ascii="Times New Roman" w:hAnsi="Times New Roman"/>
          <w:sz w:val="24"/>
        </w:rPr>
        <w:t xml:space="preserve">(c) The execution, delivery and effectiveness of this Amendment shall not, except as expressly provided herein, operate as a waiver of any right, power or remedy of any Lender or the Administrative Agent under the Credit Agreement, nor constitute a waiver of any provision of the Credit Agreement. </w:t>
      </w:r>
    </w:p>
    <w:p>
      <w:pPr>
        <w:pStyle w:val="TextBody"/>
        <w:bidi w:val="0"/>
        <w:spacing w:before="240" w:after="0"/>
        <w:jc w:val="both"/>
        <w:rPr>
          <w:rFonts w:ascii="Times New Roman" w:hAnsi="Times New Roman"/>
          <w:sz w:val="24"/>
        </w:rPr>
      </w:pPr>
      <w:r>
        <w:rPr>
          <w:rFonts w:ascii="Times New Roman" w:hAnsi="Times New Roman"/>
          <w:sz w:val="24"/>
        </w:rPr>
        <w:t xml:space="preserve">(d) This Amendment is subject to the provisions of Section 12.12 of the Credit Agreement and constitutes a Loan Document. </w:t>
      </w:r>
    </w:p>
    <w:p>
      <w:pPr>
        <w:pStyle w:val="TextBody"/>
        <w:bidi w:val="0"/>
        <w:spacing w:before="240" w:after="0"/>
        <w:jc w:val="both"/>
        <w:rPr>
          <w:rFonts w:ascii="Times New Roman" w:hAnsi="Times New Roman"/>
          <w:sz w:val="24"/>
        </w:rPr>
      </w:pPr>
      <w:r>
        <w:rPr>
          <w:rFonts w:ascii="Times New Roman" w:hAnsi="Times New Roman"/>
          <w:sz w:val="24"/>
        </w:rPr>
        <w:t xml:space="preserve">(e) The execution, delivery and effectiveness of this Amendment shall not, except as expressly provided herein, operate as a waiver of any right, power or remedy of the Lenders, the Borrowers, or the Administrative Agent under any of the Loan Documents, nor constitute a waiver or amendment of any other provision of any of the Loan Documents or for any purpose except as expressly set forth herein. Each of the parties hereto acknowledge that this Amendment shall not be construed as a novation of the obligations under the Credit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SECTION 6. </w:t>
      </w:r>
      <w:r>
        <w:rPr>
          <w:rFonts w:ascii="Times New Roman" w:hAnsi="Times New Roman"/>
          <w:sz w:val="24"/>
          <w:u w:val="single"/>
        </w:rPr>
        <w:t>Costs and Expenses</w:t>
      </w:r>
      <w:r>
        <w:rPr>
          <w:rFonts w:ascii="Times New Roman" w:hAnsi="Times New Roman"/>
          <w:sz w:val="24"/>
        </w:rPr>
        <w:t xml:space="preserve">. The Company agrees to all reasonable documented out-of-pocket expenses incurred by the Administrative Agent in connection with the preparation, negotiation, execution, delivery and administration of this Amendment in accordance with the terms of Section 12.2 of the Credit Agreement, as amended hereby. </w:t>
      </w:r>
    </w:p>
    <w:p>
      <w:pPr>
        <w:pStyle w:val="TextBody"/>
        <w:bidi w:val="0"/>
        <w:spacing w:before="240" w:after="0"/>
        <w:jc w:val="both"/>
        <w:rPr>
          <w:rFonts w:ascii="Times New Roman" w:hAnsi="Times New Roman"/>
          <w:sz w:val="24"/>
        </w:rPr>
      </w:pPr>
      <w:r>
        <w:rPr>
          <w:rFonts w:ascii="Times New Roman" w:hAnsi="Times New Roman"/>
          <w:sz w:val="24"/>
        </w:rPr>
        <w:t>SECTION 7. </w:t>
      </w:r>
      <w:r>
        <w:rPr>
          <w:rFonts w:ascii="Times New Roman" w:hAnsi="Times New Roman"/>
          <w:sz w:val="24"/>
          <w:u w:val="single"/>
        </w:rPr>
        <w:t>Execution in Counterparts</w:t>
      </w:r>
      <w:r>
        <w:rPr>
          <w:rFonts w:ascii="Times New Roman" w:hAnsi="Times New Roman"/>
          <w:sz w:val="24"/>
        </w:rPr>
        <w:t xml:space="preserve">.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w:t>
      </w:r>
    </w:p>
    <w:p>
      <w:pPr>
        <w:pStyle w:val="TextBody"/>
        <w:bidi w:val="0"/>
        <w:spacing w:before="240" w:after="0"/>
        <w:jc w:val="both"/>
        <w:rPr>
          <w:rFonts w:ascii="Times New Roman" w:hAnsi="Times New Roman"/>
          <w:sz w:val="24"/>
        </w:rPr>
      </w:pPr>
      <w:r>
        <w:rPr>
          <w:rFonts w:ascii="Times New Roman" w:hAnsi="Times New Roman"/>
          <w:sz w:val="24"/>
        </w:rPr>
        <w:t>SECTION 8. </w:t>
      </w:r>
      <w:r>
        <w:rPr>
          <w:rFonts w:ascii="Times New Roman" w:hAnsi="Times New Roman"/>
          <w:sz w:val="24"/>
          <w:u w:val="single"/>
        </w:rPr>
        <w:t>Governing Law</w:t>
      </w:r>
      <w:r>
        <w:rPr>
          <w:rFonts w:ascii="Times New Roman" w:hAnsi="Times New Roman"/>
          <w:sz w:val="24"/>
        </w:rPr>
        <w:t xml:space="preserve">. This Amendment shall be construed in accordance with and governed by the internal laws of the State of New York applicable to agreements made and to be performed the State of New York. Section 12.8(b) through (d) and Section 13.1 of the Credit Agreement are hereby incorporated by reference, </w:t>
      </w:r>
      <w:r>
        <w:rPr>
          <w:rFonts w:ascii="Times New Roman" w:hAnsi="Times New Roman"/>
          <w:i/>
          <w:sz w:val="24"/>
        </w:rPr>
        <w:t>mutatis mutandis</w:t>
      </w:r>
      <w:r>
        <w:rPr>
          <w:rFonts w:ascii="Times New Roman" w:hAnsi="Times New Roman"/>
          <w:sz w:val="24"/>
        </w:rPr>
        <w:t xml:space="preserve">. </w:t>
      </w:r>
    </w:p>
    <w:p>
      <w:pPr>
        <w:pStyle w:val="TextBody"/>
        <w:bidi w:val="0"/>
        <w:spacing w:before="240" w:after="0"/>
        <w:jc w:val="center"/>
        <w:rPr>
          <w:rFonts w:ascii="Times New Roman" w:hAnsi="Times New Roman"/>
          <w:sz w:val="24"/>
        </w:rPr>
      </w:pPr>
      <w:r>
        <w:rPr>
          <w:rFonts w:ascii="Times New Roman" w:hAnsi="Times New Roman"/>
          <w:sz w:val="24"/>
        </w:rPr>
        <w:t xml:space="preserve">[Remainder of Page Intentionally Left Blank]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5"/>
        <w:gridCol w:w="122"/>
        <w:gridCol w:w="2825"/>
        <w:gridCol w:w="122"/>
        <w:gridCol w:w="4481"/>
      </w:tblGrid>
      <w:tr>
        <w:trPr/>
        <w:tc>
          <w:tcPr>
            <w:tcW w:w="26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81" w:type="dxa"/>
            <w:tcBorders/>
            <w:vAlign w:val="center"/>
          </w:tcPr>
          <w:p>
            <w:pPr>
              <w:pStyle w:val="TableContents"/>
              <w:bidi w:val="0"/>
              <w:spacing w:before="0" w:after="283"/>
              <w:jc w:val="left"/>
              <w:rPr>
                <w:sz w:val="4"/>
                <w:szCs w:val="4"/>
              </w:rPr>
            </w:pPr>
            <w:r>
              <w:rPr>
                <w:sz w:val="4"/>
                <w:szCs w:val="4"/>
              </w:rPr>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Amendment No 4. to Third Amended</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right"/>
              <w:rPr/>
            </w:pPr>
            <w:r>
              <w:rPr/>
              <w:t>and Restated Multicurrency Revolving Credit Agreement</w:t>
            </w:r>
          </w:p>
        </w:tc>
      </w:tr>
      <w:tr>
        <w:trPr/>
        <w:tc>
          <w:tcPr>
            <w:tcW w:w="265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pPr>
            <w:r>
              <w:rPr/>
              <w:t>      </w:t>
            </w:r>
            <w:r>
              <w:rPr/>
              <w:t>5</w:t>
            </w:r>
          </w:p>
        </w:tc>
        <w:tc>
          <w:tcPr>
            <w:tcW w:w="122" w:type="dxa"/>
            <w:tcBorders/>
            <w:vAlign w:val="bottom"/>
          </w:tcPr>
          <w:p>
            <w:pPr>
              <w:pStyle w:val="TableContents"/>
              <w:bidi w:val="0"/>
              <w:spacing w:before="0" w:after="283"/>
              <w:jc w:val="left"/>
              <w:rPr/>
            </w:pPr>
            <w:r>
              <w:rPr/>
              <w:t>  </w:t>
            </w:r>
          </w:p>
        </w:tc>
        <w:tc>
          <w:tcPr>
            <w:tcW w:w="448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undersigned have duly executed this Amendment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3"/>
        <w:gridCol w:w="60"/>
        <w:gridCol w:w="2252"/>
        <w:gridCol w:w="60"/>
        <w:gridCol w:w="927"/>
      </w:tblGrid>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AMERICAN TOWER CORPORATION</w:t>
            </w:r>
          </w:p>
        </w:tc>
      </w:tr>
      <w:tr>
        <w:trPr>
          <w:trHeight w:val="240" w:hRule="atLeast"/>
        </w:trPr>
        <w:tc>
          <w:tcPr>
            <w:tcW w:w="783" w:type="dxa"/>
            <w:tcBorders/>
            <w:vAlign w:val="center"/>
          </w:tcPr>
          <w:p>
            <w:pPr>
              <w:pStyle w:val="TableContents"/>
              <w:bidi w:val="0"/>
              <w:spacing w:before="0" w:after="283"/>
              <w:jc w:val="left"/>
              <w:rPr>
                <w:sz w:val="4"/>
                <w:szCs w:val="4"/>
              </w:rPr>
            </w:pPr>
            <w:r>
              <w:rPr>
                <w:sz w:val="4"/>
                <w:szCs w:val="4"/>
              </w:rPr>
            </w:r>
          </w:p>
        </w:tc>
        <w:tc>
          <w:tcPr>
            <w:tcW w:w="2312" w:type="dxa"/>
            <w:gridSpan w:val="2"/>
            <w:tcBorders/>
            <w:vAlign w:val="center"/>
          </w:tcPr>
          <w:p>
            <w:pPr>
              <w:pStyle w:val="TableContents"/>
              <w:bidi w:val="0"/>
              <w:spacing w:before="0" w:after="283"/>
              <w:jc w:val="left"/>
              <w:rPr>
                <w:sz w:val="4"/>
                <w:szCs w:val="4"/>
              </w:rPr>
            </w:pPr>
            <w:r>
              <w:rPr>
                <w:sz w:val="4"/>
                <w:szCs w:val="4"/>
              </w:rPr>
            </w:r>
          </w:p>
        </w:tc>
        <w:tc>
          <w:tcPr>
            <w:tcW w:w="987" w:type="dxa"/>
            <w:gridSpan w:val="2"/>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52" w:type="dxa"/>
            <w:tcBorders>
              <w:bottom w:val="single" w:sz="2" w:space="0" w:color="000000"/>
            </w:tcBorders>
            <w:tcMar>
              <w:bottom w:w="28" w:type="dxa"/>
            </w:tcMar>
          </w:tcPr>
          <w:p>
            <w:pPr>
              <w:pStyle w:val="TableContents"/>
              <w:bidi w:val="0"/>
              <w:spacing w:before="0" w:after="283"/>
              <w:jc w:val="left"/>
              <w:rPr/>
            </w:pPr>
            <w:r>
              <w:rPr/>
              <w:t>/s/ Rodney M. Smith</w:t>
            </w:r>
          </w:p>
        </w:tc>
        <w:tc>
          <w:tcPr>
            <w:tcW w:w="60" w:type="dxa"/>
            <w:tcBorders/>
            <w:vAlign w:val="bottom"/>
          </w:tcPr>
          <w:p>
            <w:pPr>
              <w:pStyle w:val="TableContents"/>
              <w:bidi w:val="0"/>
              <w:spacing w:before="0" w:after="283"/>
              <w:jc w:val="left"/>
              <w:rPr/>
            </w:pPr>
            <w:r>
              <w:rPr/>
              <w:t> </w:t>
            </w:r>
          </w:p>
        </w:tc>
        <w:tc>
          <w:tcPr>
            <w:tcW w:w="927" w:type="dxa"/>
            <w:tcBorders/>
          </w:tcPr>
          <w:p>
            <w:pPr>
              <w:pStyle w:val="TableContents"/>
              <w:bidi w:val="0"/>
              <w:spacing w:before="0" w:after="283"/>
              <w:jc w:val="left"/>
              <w:rPr/>
            </w:pPr>
            <w:r>
              <w:rPr/>
              <w:t>     </w:t>
            </w:r>
          </w:p>
        </w:tc>
      </w:tr>
      <w:tr>
        <w:trPr/>
        <w:tc>
          <w:tcPr>
            <w:tcW w:w="7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252" w:type="dxa"/>
            <w:tcBorders/>
            <w:vAlign w:val="bottom"/>
          </w:tcPr>
          <w:p>
            <w:pPr>
              <w:pStyle w:val="TableContents"/>
              <w:bidi w:val="0"/>
              <w:spacing w:before="0" w:after="283"/>
              <w:jc w:val="left"/>
              <w:rPr/>
            </w:pPr>
            <w:r>
              <w:rPr/>
              <w:t>Rodney M. Smith</w:t>
            </w:r>
          </w:p>
        </w:tc>
        <w:tc>
          <w:tcPr>
            <w:tcW w:w="60"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9" w:type="dxa"/>
            <w:gridSpan w:val="3"/>
            <w:tcBorders/>
            <w:vAlign w:val="bottom"/>
          </w:tcPr>
          <w:p>
            <w:pPr>
              <w:pStyle w:val="TableContents"/>
              <w:bidi w:val="0"/>
              <w:spacing w:before="0" w:after="283"/>
              <w:jc w:val="left"/>
              <w:rPr/>
            </w:pPr>
            <w:r>
              <w:rPr/>
              <w:t>Executive Vice President,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7"/>
        <w:gridCol w:w="60"/>
        <w:gridCol w:w="2298"/>
        <w:gridCol w:w="60"/>
        <w:gridCol w:w="887"/>
      </w:tblGrid>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ATC INTERNATIONAL FINANCING II B.V.</w:t>
            </w:r>
          </w:p>
        </w:tc>
      </w:tr>
      <w:tr>
        <w:trPr>
          <w:trHeight w:val="240" w:hRule="atLeast"/>
        </w:trPr>
        <w:tc>
          <w:tcPr>
            <w:tcW w:w="777" w:type="dxa"/>
            <w:tcBorders/>
            <w:vAlign w:val="center"/>
          </w:tcPr>
          <w:p>
            <w:pPr>
              <w:pStyle w:val="TableContents"/>
              <w:bidi w:val="0"/>
              <w:spacing w:before="0" w:after="283"/>
              <w:jc w:val="left"/>
              <w:rPr>
                <w:sz w:val="4"/>
                <w:szCs w:val="4"/>
              </w:rPr>
            </w:pPr>
            <w:r>
              <w:rPr>
                <w:sz w:val="4"/>
                <w:szCs w:val="4"/>
              </w:rPr>
            </w:r>
          </w:p>
        </w:tc>
        <w:tc>
          <w:tcPr>
            <w:tcW w:w="2358"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98" w:type="dxa"/>
            <w:tcBorders>
              <w:bottom w:val="single" w:sz="2" w:space="0" w:color="000000"/>
            </w:tcBorders>
            <w:tcMar>
              <w:bottom w:w="28" w:type="dxa"/>
            </w:tcMar>
          </w:tcPr>
          <w:p>
            <w:pPr>
              <w:pStyle w:val="TableContents"/>
              <w:bidi w:val="0"/>
              <w:spacing w:before="0" w:after="283"/>
              <w:jc w:val="left"/>
              <w:rPr/>
            </w:pPr>
            <w:r>
              <w:rPr/>
              <w:t>/s/ G.R. Dekker</w:t>
            </w:r>
          </w:p>
        </w:tc>
        <w:tc>
          <w:tcPr>
            <w:tcW w:w="60" w:type="dxa"/>
            <w:tcBorders/>
            <w:vAlign w:val="bottom"/>
          </w:tcPr>
          <w:p>
            <w:pPr>
              <w:pStyle w:val="TableContents"/>
              <w:bidi w:val="0"/>
              <w:spacing w:before="0" w:after="283"/>
              <w:jc w:val="left"/>
              <w:rPr/>
            </w:pPr>
            <w:r>
              <w:rPr/>
              <w:t> </w:t>
            </w:r>
          </w:p>
        </w:tc>
        <w:tc>
          <w:tcPr>
            <w:tcW w:w="887" w:type="dxa"/>
            <w:tcBorders/>
          </w:tcPr>
          <w:p>
            <w:pPr>
              <w:pStyle w:val="TableContents"/>
              <w:bidi w:val="0"/>
              <w:spacing w:before="0" w:after="283"/>
              <w:jc w:val="left"/>
              <w:rPr/>
            </w:pPr>
            <w:r>
              <w:rPr/>
              <w:t>     </w:t>
            </w:r>
          </w:p>
        </w:tc>
      </w:tr>
      <w:tr>
        <w:trPr/>
        <w:tc>
          <w:tcPr>
            <w:tcW w:w="77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298" w:type="dxa"/>
            <w:tcBorders/>
            <w:vAlign w:val="bottom"/>
          </w:tcPr>
          <w:p>
            <w:pPr>
              <w:pStyle w:val="TableContents"/>
              <w:bidi w:val="0"/>
              <w:spacing w:before="0" w:after="283"/>
              <w:jc w:val="left"/>
              <w:rPr/>
            </w:pPr>
            <w:r>
              <w:rPr/>
              <w:t>G.R. Dekker</w:t>
            </w:r>
          </w:p>
        </w:tc>
        <w:tc>
          <w:tcPr>
            <w:tcW w:w="6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45" w:type="dxa"/>
            <w:gridSpan w:val="3"/>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2253"/>
        <w:gridCol w:w="60"/>
        <w:gridCol w:w="942"/>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TORONTO DOMINION (TEXAS) LLC,</w:t>
            </w:r>
          </w:p>
        </w:tc>
      </w:tr>
      <w:tr>
        <w:trPr/>
        <w:tc>
          <w:tcPr>
            <w:tcW w:w="4082" w:type="dxa"/>
            <w:gridSpan w:val="5"/>
            <w:tcBorders/>
          </w:tcPr>
          <w:p>
            <w:pPr>
              <w:pStyle w:val="TableContents"/>
              <w:bidi w:val="0"/>
              <w:spacing w:before="0" w:after="283"/>
              <w:jc w:val="left"/>
              <w:rPr/>
            </w:pPr>
            <w:r>
              <w:rPr/>
              <w:t>as Administrative Agent</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231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53" w:type="dxa"/>
            <w:tcBorders>
              <w:bottom w:val="single" w:sz="2" w:space="0" w:color="000000"/>
            </w:tcBorders>
            <w:tcMar>
              <w:bottom w:w="28" w:type="dxa"/>
            </w:tcMar>
          </w:tcPr>
          <w:p>
            <w:pPr>
              <w:pStyle w:val="TableContents"/>
              <w:bidi w:val="0"/>
              <w:spacing w:before="0" w:after="283"/>
              <w:jc w:val="left"/>
              <w:rPr/>
            </w:pPr>
            <w:r>
              <w:rPr/>
              <w:t>/s/ Ronald Davis</w:t>
            </w:r>
          </w:p>
        </w:tc>
        <w:tc>
          <w:tcPr>
            <w:tcW w:w="60" w:type="dxa"/>
            <w:tcBorders/>
            <w:vAlign w:val="bottom"/>
          </w:tcPr>
          <w:p>
            <w:pPr>
              <w:pStyle w:val="TableContents"/>
              <w:bidi w:val="0"/>
              <w:spacing w:before="0" w:after="283"/>
              <w:jc w:val="left"/>
              <w:rPr/>
            </w:pPr>
            <w:r>
              <w:rPr/>
              <w:t> </w:t>
            </w:r>
          </w:p>
        </w:tc>
        <w:tc>
          <w:tcPr>
            <w:tcW w:w="942" w:type="dxa"/>
            <w:tcBorders/>
          </w:tcPr>
          <w:p>
            <w:pPr>
              <w:pStyle w:val="TableContents"/>
              <w:bidi w:val="0"/>
              <w:spacing w:before="0" w:after="283"/>
              <w:jc w:val="left"/>
              <w:rPr/>
            </w:pPr>
            <w:r>
              <w:rPr/>
              <w:t>     </w:t>
            </w:r>
          </w:p>
        </w:tc>
      </w:tr>
      <w:tr>
        <w:trPr/>
        <w:tc>
          <w:tcPr>
            <w:tcW w:w="7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gridSpan w:val="3"/>
            <w:tcBorders/>
            <w:vAlign w:val="bottom"/>
          </w:tcPr>
          <w:p>
            <w:pPr>
              <w:pStyle w:val="TableContents"/>
              <w:bidi w:val="0"/>
              <w:spacing w:before="0" w:after="283"/>
              <w:jc w:val="left"/>
              <w:rPr/>
            </w:pPr>
            <w:r>
              <w:rPr/>
              <w:t>Ronald Davis</w:t>
            </w:r>
          </w:p>
        </w:tc>
      </w:tr>
      <w:tr>
        <w:trPr/>
        <w:tc>
          <w:tcPr>
            <w:tcW w:w="7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gridSpan w:val="3"/>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0"/>
        <w:gridCol w:w="60"/>
        <w:gridCol w:w="2411"/>
        <w:gridCol w:w="60"/>
        <w:gridCol w:w="791"/>
      </w:tblGrid>
      <w:tr>
        <w:trPr/>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THE TORONTO-DOMINION BANK, NEW YORK BRANCH,</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60" w:type="dxa"/>
            <w:tcBorders/>
            <w:vAlign w:val="center"/>
          </w:tcPr>
          <w:p>
            <w:pPr>
              <w:pStyle w:val="TableContents"/>
              <w:bidi w:val="0"/>
              <w:spacing w:before="0" w:after="283"/>
              <w:jc w:val="left"/>
              <w:rPr>
                <w:sz w:val="4"/>
                <w:szCs w:val="4"/>
              </w:rPr>
            </w:pPr>
            <w:r>
              <w:rPr>
                <w:sz w:val="4"/>
                <w:szCs w:val="4"/>
              </w:rPr>
            </w:r>
          </w:p>
        </w:tc>
        <w:tc>
          <w:tcPr>
            <w:tcW w:w="2471" w:type="dxa"/>
            <w:gridSpan w:val="2"/>
            <w:tcBorders/>
            <w:vAlign w:val="center"/>
          </w:tcPr>
          <w:p>
            <w:pPr>
              <w:pStyle w:val="TableContents"/>
              <w:bidi w:val="0"/>
              <w:spacing w:before="0" w:after="283"/>
              <w:jc w:val="left"/>
              <w:rPr>
                <w:sz w:val="4"/>
                <w:szCs w:val="4"/>
              </w:rPr>
            </w:pPr>
            <w:r>
              <w:rPr>
                <w:sz w:val="4"/>
                <w:szCs w:val="4"/>
              </w:rPr>
            </w:r>
          </w:p>
        </w:tc>
        <w:tc>
          <w:tcPr>
            <w:tcW w:w="851" w:type="dxa"/>
            <w:gridSpan w:val="2"/>
            <w:tcBorders/>
            <w:vAlign w:val="center"/>
          </w:tcPr>
          <w:p>
            <w:pPr>
              <w:pStyle w:val="TableContents"/>
              <w:bidi w:val="0"/>
              <w:spacing w:before="0" w:after="283"/>
              <w:jc w:val="left"/>
              <w:rPr>
                <w:sz w:val="4"/>
                <w:szCs w:val="4"/>
              </w:rPr>
            </w:pPr>
            <w:r>
              <w:rPr>
                <w:sz w:val="4"/>
                <w:szCs w:val="4"/>
              </w:rPr>
            </w:r>
          </w:p>
        </w:tc>
      </w:tr>
      <w:tr>
        <w:trPr/>
        <w:tc>
          <w:tcPr>
            <w:tcW w:w="76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/s/ Jon Colquhoun</w:t>
            </w:r>
          </w:p>
        </w:tc>
        <w:tc>
          <w:tcPr>
            <w:tcW w:w="60"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left"/>
              <w:rPr/>
            </w:pPr>
            <w:r>
              <w:rPr/>
              <w:t>     </w:t>
            </w:r>
          </w:p>
        </w:tc>
      </w:tr>
      <w:tr>
        <w:trPr/>
        <w:tc>
          <w:tcPr>
            <w:tcW w:w="76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62" w:type="dxa"/>
            <w:gridSpan w:val="3"/>
            <w:tcBorders/>
            <w:vAlign w:val="bottom"/>
          </w:tcPr>
          <w:p>
            <w:pPr>
              <w:pStyle w:val="TableContents"/>
              <w:bidi w:val="0"/>
              <w:spacing w:before="0" w:after="283"/>
              <w:jc w:val="left"/>
              <w:rPr/>
            </w:pPr>
            <w:r>
              <w:rPr/>
              <w:t>Jon Colquhoun</w:t>
            </w:r>
          </w:p>
        </w:tc>
      </w:tr>
      <w:tr>
        <w:trPr/>
        <w:tc>
          <w:tcPr>
            <w:tcW w:w="7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62" w:type="dxa"/>
            <w:gridSpan w:val="3"/>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2241"/>
        <w:gridCol w:w="60"/>
        <w:gridCol w:w="957"/>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MIZUHO BANK, LTD.,</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2301"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41" w:type="dxa"/>
            <w:tcBorders>
              <w:bottom w:val="single" w:sz="2" w:space="0" w:color="000000"/>
            </w:tcBorders>
            <w:tcMar>
              <w:bottom w:w="28" w:type="dxa"/>
            </w:tcMar>
          </w:tcPr>
          <w:p>
            <w:pPr>
              <w:pStyle w:val="TableContents"/>
              <w:bidi w:val="0"/>
              <w:spacing w:before="0" w:after="283"/>
              <w:jc w:val="left"/>
              <w:rPr/>
            </w:pPr>
            <w:r>
              <w:rPr/>
              <w:t>/s/ Tracy Rahn</w:t>
            </w:r>
          </w:p>
        </w:tc>
        <w:tc>
          <w:tcPr>
            <w:tcW w:w="60"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pPr>
            <w:r>
              <w:rPr/>
              <w:t>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gridSpan w:val="3"/>
            <w:tcBorders/>
            <w:vAlign w:val="bottom"/>
          </w:tcPr>
          <w:p>
            <w:pPr>
              <w:pStyle w:val="TableContents"/>
              <w:bidi w:val="0"/>
              <w:spacing w:before="0" w:after="283"/>
              <w:jc w:val="left"/>
              <w:rPr/>
            </w:pPr>
            <w:r>
              <w:rPr/>
              <w:t>Tracy Rahn</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gridSpan w:val="3"/>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0"/>
        <w:gridCol w:w="60"/>
        <w:gridCol w:w="2232"/>
        <w:gridCol w:w="60"/>
        <w:gridCol w:w="96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BANK OF AMERICA, N.A.,</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70" w:type="dxa"/>
            <w:tcBorders/>
            <w:vAlign w:val="center"/>
          </w:tcPr>
          <w:p>
            <w:pPr>
              <w:pStyle w:val="TableContents"/>
              <w:bidi w:val="0"/>
              <w:spacing w:before="0" w:after="283"/>
              <w:jc w:val="left"/>
              <w:rPr>
                <w:sz w:val="4"/>
                <w:szCs w:val="4"/>
              </w:rPr>
            </w:pPr>
            <w:r>
              <w:rPr>
                <w:sz w:val="4"/>
                <w:szCs w:val="4"/>
              </w:rPr>
            </w:r>
          </w:p>
        </w:tc>
        <w:tc>
          <w:tcPr>
            <w:tcW w:w="2292" w:type="dxa"/>
            <w:gridSpan w:val="2"/>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32" w:type="dxa"/>
            <w:tcBorders>
              <w:bottom w:val="single" w:sz="2" w:space="0" w:color="000000"/>
            </w:tcBorders>
            <w:tcMar>
              <w:bottom w:w="28" w:type="dxa"/>
            </w:tcMar>
          </w:tcPr>
          <w:p>
            <w:pPr>
              <w:pStyle w:val="TableContents"/>
              <w:bidi w:val="0"/>
              <w:spacing w:before="0" w:after="283"/>
              <w:jc w:val="left"/>
              <w:rPr/>
            </w:pPr>
            <w:r>
              <w:rPr/>
              <w:t>/s/ Lindsay Sames</w:t>
            </w:r>
          </w:p>
        </w:tc>
        <w:tc>
          <w:tcPr>
            <w:tcW w:w="60" w:type="dxa"/>
            <w:tcBorders/>
            <w:vAlign w:val="bottom"/>
          </w:tcPr>
          <w:p>
            <w:pPr>
              <w:pStyle w:val="TableContents"/>
              <w:bidi w:val="0"/>
              <w:spacing w:before="0" w:after="283"/>
              <w:jc w:val="left"/>
              <w:rPr/>
            </w:pPr>
            <w:r>
              <w:rPr/>
              <w:t> </w:t>
            </w:r>
          </w:p>
        </w:tc>
        <w:tc>
          <w:tcPr>
            <w:tcW w:w="960" w:type="dxa"/>
            <w:tcBorders/>
          </w:tcPr>
          <w:p>
            <w:pPr>
              <w:pStyle w:val="TableContents"/>
              <w:bidi w:val="0"/>
              <w:spacing w:before="0" w:after="283"/>
              <w:jc w:val="left"/>
              <w:rPr/>
            </w:pPr>
            <w:r>
              <w:rPr/>
              <w:t>     </w:t>
            </w:r>
          </w:p>
        </w:tc>
      </w:tr>
      <w:tr>
        <w:trPr/>
        <w:tc>
          <w:tcPr>
            <w:tcW w:w="7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2" w:type="dxa"/>
            <w:gridSpan w:val="3"/>
            <w:tcBorders/>
            <w:vAlign w:val="bottom"/>
          </w:tcPr>
          <w:p>
            <w:pPr>
              <w:pStyle w:val="TableContents"/>
              <w:bidi w:val="0"/>
              <w:spacing w:before="0" w:after="283"/>
              <w:jc w:val="left"/>
              <w:rPr/>
            </w:pPr>
            <w:r>
              <w:rPr/>
              <w:t>Lindsay Sames</w:t>
            </w:r>
          </w:p>
        </w:tc>
      </w:tr>
      <w:tr>
        <w:trPr/>
        <w:tc>
          <w:tcPr>
            <w:tcW w:w="77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2" w:type="dxa"/>
            <w:gridSpan w:val="3"/>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1"/>
        <w:gridCol w:w="60"/>
        <w:gridCol w:w="2301"/>
        <w:gridCol w:w="60"/>
        <w:gridCol w:w="910"/>
      </w:tblGrid>
      <w:tr>
        <w:trPr/>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CITIBANK, N.A.,</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51" w:type="dxa"/>
            <w:tcBorders/>
            <w:vAlign w:val="center"/>
          </w:tcPr>
          <w:p>
            <w:pPr>
              <w:pStyle w:val="TableContents"/>
              <w:bidi w:val="0"/>
              <w:spacing w:before="0" w:after="283"/>
              <w:jc w:val="left"/>
              <w:rPr>
                <w:sz w:val="4"/>
                <w:szCs w:val="4"/>
              </w:rPr>
            </w:pPr>
            <w:r>
              <w:rPr>
                <w:sz w:val="4"/>
                <w:szCs w:val="4"/>
              </w:rPr>
            </w:r>
          </w:p>
        </w:tc>
        <w:tc>
          <w:tcPr>
            <w:tcW w:w="2361" w:type="dxa"/>
            <w:gridSpan w:val="2"/>
            <w:tcBorders/>
            <w:vAlign w:val="center"/>
          </w:tcPr>
          <w:p>
            <w:pPr>
              <w:pStyle w:val="TableContents"/>
              <w:bidi w:val="0"/>
              <w:spacing w:before="0" w:after="283"/>
              <w:jc w:val="left"/>
              <w:rPr>
                <w:sz w:val="4"/>
                <w:szCs w:val="4"/>
              </w:rPr>
            </w:pPr>
            <w:r>
              <w:rPr>
                <w:sz w:val="4"/>
                <w:szCs w:val="4"/>
              </w:rPr>
            </w:r>
          </w:p>
        </w:tc>
        <w:tc>
          <w:tcPr>
            <w:tcW w:w="970" w:type="dxa"/>
            <w:gridSpan w:val="2"/>
            <w:tcBorders/>
            <w:vAlign w:val="center"/>
          </w:tcPr>
          <w:p>
            <w:pPr>
              <w:pStyle w:val="TableContents"/>
              <w:bidi w:val="0"/>
              <w:spacing w:before="0" w:after="283"/>
              <w:jc w:val="left"/>
              <w:rPr>
                <w:sz w:val="4"/>
                <w:szCs w:val="4"/>
              </w:rPr>
            </w:pPr>
            <w:r>
              <w:rPr>
                <w:sz w:val="4"/>
                <w:szCs w:val="4"/>
              </w:rPr>
            </w:r>
          </w:p>
        </w:tc>
      </w:tr>
      <w:tr>
        <w:trPr/>
        <w:tc>
          <w:tcPr>
            <w:tcW w:w="75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01" w:type="dxa"/>
            <w:tcBorders>
              <w:bottom w:val="single" w:sz="2" w:space="0" w:color="000000"/>
            </w:tcBorders>
            <w:tcMar>
              <w:bottom w:w="28" w:type="dxa"/>
            </w:tcMar>
          </w:tcPr>
          <w:p>
            <w:pPr>
              <w:pStyle w:val="TableContents"/>
              <w:bidi w:val="0"/>
              <w:spacing w:before="0" w:after="283"/>
              <w:jc w:val="left"/>
              <w:rPr/>
            </w:pPr>
            <w:r>
              <w:rPr/>
              <w:t>/s/ Michael Vondriska</w:t>
            </w:r>
          </w:p>
        </w:tc>
        <w:tc>
          <w:tcPr>
            <w:tcW w:w="60" w:type="dxa"/>
            <w:tcBorders/>
            <w:vAlign w:val="bottom"/>
          </w:tcPr>
          <w:p>
            <w:pPr>
              <w:pStyle w:val="TableContents"/>
              <w:bidi w:val="0"/>
              <w:spacing w:before="0" w:after="283"/>
              <w:jc w:val="left"/>
              <w:rPr/>
            </w:pPr>
            <w:r>
              <w:rPr/>
              <w:t> </w:t>
            </w:r>
          </w:p>
        </w:tc>
        <w:tc>
          <w:tcPr>
            <w:tcW w:w="910" w:type="dxa"/>
            <w:tcBorders/>
          </w:tcPr>
          <w:p>
            <w:pPr>
              <w:pStyle w:val="TableContents"/>
              <w:bidi w:val="0"/>
              <w:spacing w:before="0" w:after="283"/>
              <w:jc w:val="left"/>
              <w:rPr/>
            </w:pPr>
            <w:r>
              <w:rPr/>
              <w:t>     </w:t>
            </w:r>
          </w:p>
        </w:tc>
      </w:tr>
      <w:tr>
        <w:trPr/>
        <w:tc>
          <w:tcPr>
            <w:tcW w:w="75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1" w:type="dxa"/>
            <w:gridSpan w:val="3"/>
            <w:tcBorders/>
            <w:vAlign w:val="bottom"/>
          </w:tcPr>
          <w:p>
            <w:pPr>
              <w:pStyle w:val="TableContents"/>
              <w:bidi w:val="0"/>
              <w:spacing w:before="0" w:after="283"/>
              <w:jc w:val="left"/>
              <w:rPr/>
            </w:pPr>
            <w:r>
              <w:rPr/>
              <w:t>Michael Vondriska</w:t>
            </w:r>
          </w:p>
        </w:tc>
      </w:tr>
      <w:tr>
        <w:trPr/>
        <w:tc>
          <w:tcPr>
            <w:tcW w:w="75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1" w:type="dxa"/>
            <w:gridSpan w:val="3"/>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49"/>
        <w:gridCol w:w="60"/>
        <w:gridCol w:w="2332"/>
        <w:gridCol w:w="60"/>
        <w:gridCol w:w="881"/>
      </w:tblGrid>
      <w:tr>
        <w:trPr/>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JPMORGAN CHASE BANK, N.A.,</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2392" w:type="dxa"/>
            <w:gridSpan w:val="2"/>
            <w:tcBorders/>
            <w:vAlign w:val="center"/>
          </w:tcPr>
          <w:p>
            <w:pPr>
              <w:pStyle w:val="TableContents"/>
              <w:bidi w:val="0"/>
              <w:spacing w:before="0" w:after="283"/>
              <w:jc w:val="left"/>
              <w:rPr>
                <w:sz w:val="4"/>
                <w:szCs w:val="4"/>
              </w:rPr>
            </w:pPr>
            <w:r>
              <w:rPr>
                <w:sz w:val="4"/>
                <w:szCs w:val="4"/>
              </w:rPr>
            </w:r>
          </w:p>
        </w:tc>
        <w:tc>
          <w:tcPr>
            <w:tcW w:w="941"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32" w:type="dxa"/>
            <w:tcBorders>
              <w:bottom w:val="single" w:sz="2" w:space="0" w:color="000000"/>
            </w:tcBorders>
            <w:tcMar>
              <w:bottom w:w="28" w:type="dxa"/>
            </w:tcMar>
          </w:tcPr>
          <w:p>
            <w:pPr>
              <w:pStyle w:val="TableContents"/>
              <w:bidi w:val="0"/>
              <w:spacing w:before="0" w:after="283"/>
              <w:jc w:val="left"/>
              <w:rPr/>
            </w:pPr>
            <w:r>
              <w:rPr/>
              <w:t>/s/ Ryan Zimmerman</w:t>
            </w:r>
          </w:p>
        </w:tc>
        <w:tc>
          <w:tcPr>
            <w:tcW w:w="60" w:type="dxa"/>
            <w:tcBorders/>
            <w:vAlign w:val="bottom"/>
          </w:tcPr>
          <w:p>
            <w:pPr>
              <w:pStyle w:val="TableContents"/>
              <w:bidi w:val="0"/>
              <w:spacing w:before="0" w:after="283"/>
              <w:jc w:val="left"/>
              <w:rPr/>
            </w:pPr>
            <w:r>
              <w:rPr/>
              <w:t> </w:t>
            </w:r>
          </w:p>
        </w:tc>
        <w:tc>
          <w:tcPr>
            <w:tcW w:w="881" w:type="dxa"/>
            <w:tcBorders/>
          </w:tcPr>
          <w:p>
            <w:pPr>
              <w:pStyle w:val="TableContents"/>
              <w:bidi w:val="0"/>
              <w:spacing w:before="0" w:after="283"/>
              <w:jc w:val="left"/>
              <w:rPr/>
            </w:pPr>
            <w:r>
              <w:rPr/>
              <w:t>     </w:t>
            </w:r>
          </w:p>
        </w:tc>
      </w:tr>
      <w:tr>
        <w:trPr/>
        <w:tc>
          <w:tcPr>
            <w:tcW w:w="74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3" w:type="dxa"/>
            <w:gridSpan w:val="3"/>
            <w:tcBorders/>
            <w:vAlign w:val="bottom"/>
          </w:tcPr>
          <w:p>
            <w:pPr>
              <w:pStyle w:val="TableContents"/>
              <w:bidi w:val="0"/>
              <w:spacing w:before="0" w:after="283"/>
              <w:jc w:val="left"/>
              <w:rPr/>
            </w:pPr>
            <w:r>
              <w:rPr/>
              <w:t>Ryan Zimmerman</w:t>
            </w:r>
          </w:p>
        </w:tc>
      </w:tr>
      <w:tr>
        <w:trPr/>
        <w:tc>
          <w:tcPr>
            <w:tcW w:w="74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3" w:type="dxa"/>
            <w:gridSpan w:val="3"/>
            <w:tcBorders/>
            <w:vAlign w:val="bottom"/>
          </w:tcPr>
          <w:p>
            <w:pPr>
              <w:pStyle w:val="TableContents"/>
              <w:bidi w:val="0"/>
              <w:spacing w:before="0" w:after="283"/>
              <w:jc w:val="left"/>
              <w:rPr/>
            </w:pPr>
            <w:r>
              <w:rPr/>
              <w:t>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2253"/>
        <w:gridCol w:w="60"/>
        <w:gridCol w:w="942"/>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MORGAN STANLEY BANK, N.A.,</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231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53" w:type="dxa"/>
            <w:tcBorders>
              <w:bottom w:val="single" w:sz="2" w:space="0" w:color="000000"/>
            </w:tcBorders>
            <w:tcMar>
              <w:bottom w:w="28" w:type="dxa"/>
            </w:tcMar>
          </w:tcPr>
          <w:p>
            <w:pPr>
              <w:pStyle w:val="TableContents"/>
              <w:bidi w:val="0"/>
              <w:spacing w:before="0" w:after="283"/>
              <w:jc w:val="left"/>
              <w:rPr/>
            </w:pPr>
            <w:r>
              <w:rPr/>
              <w:t>/s/ Michael King</w:t>
            </w:r>
          </w:p>
        </w:tc>
        <w:tc>
          <w:tcPr>
            <w:tcW w:w="60" w:type="dxa"/>
            <w:tcBorders/>
            <w:vAlign w:val="bottom"/>
          </w:tcPr>
          <w:p>
            <w:pPr>
              <w:pStyle w:val="TableContents"/>
              <w:bidi w:val="0"/>
              <w:spacing w:before="0" w:after="283"/>
              <w:jc w:val="left"/>
              <w:rPr/>
            </w:pPr>
            <w:r>
              <w:rPr/>
              <w:t> </w:t>
            </w:r>
          </w:p>
        </w:tc>
        <w:tc>
          <w:tcPr>
            <w:tcW w:w="942" w:type="dxa"/>
            <w:tcBorders/>
          </w:tcPr>
          <w:p>
            <w:pPr>
              <w:pStyle w:val="TableContents"/>
              <w:bidi w:val="0"/>
              <w:spacing w:before="0" w:after="283"/>
              <w:jc w:val="left"/>
              <w:rPr/>
            </w:pPr>
            <w:r>
              <w:rPr/>
              <w:t>     </w:t>
            </w:r>
          </w:p>
        </w:tc>
      </w:tr>
      <w:tr>
        <w:trPr/>
        <w:tc>
          <w:tcPr>
            <w:tcW w:w="7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gridSpan w:val="3"/>
            <w:tcBorders/>
            <w:vAlign w:val="bottom"/>
          </w:tcPr>
          <w:p>
            <w:pPr>
              <w:pStyle w:val="TableContents"/>
              <w:bidi w:val="0"/>
              <w:spacing w:before="0" w:after="283"/>
              <w:jc w:val="left"/>
              <w:rPr/>
            </w:pPr>
            <w:r>
              <w:rPr/>
              <w:t>Michael King</w:t>
            </w:r>
          </w:p>
        </w:tc>
      </w:tr>
      <w:tr>
        <w:trPr/>
        <w:tc>
          <w:tcPr>
            <w:tcW w:w="7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gridSpan w:val="3"/>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2241"/>
        <w:gridCol w:w="60"/>
        <w:gridCol w:w="957"/>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MUFG Bank, Ltd.,</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2301"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41" w:type="dxa"/>
            <w:tcBorders>
              <w:bottom w:val="single" w:sz="2" w:space="0" w:color="000000"/>
            </w:tcBorders>
            <w:tcMar>
              <w:bottom w:w="28" w:type="dxa"/>
            </w:tcMar>
          </w:tcPr>
          <w:p>
            <w:pPr>
              <w:pStyle w:val="TableContents"/>
              <w:bidi w:val="0"/>
              <w:spacing w:before="0" w:after="283"/>
              <w:jc w:val="left"/>
              <w:rPr/>
            </w:pPr>
            <w:r>
              <w:rPr/>
              <w:t>/s/ Thomas E. Lane</w:t>
            </w:r>
          </w:p>
        </w:tc>
        <w:tc>
          <w:tcPr>
            <w:tcW w:w="60"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pPr>
            <w:r>
              <w:rPr/>
              <w:t>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gridSpan w:val="3"/>
            <w:tcBorders/>
            <w:vAlign w:val="bottom"/>
          </w:tcPr>
          <w:p>
            <w:pPr>
              <w:pStyle w:val="TableContents"/>
              <w:bidi w:val="0"/>
              <w:spacing w:before="0" w:after="283"/>
              <w:jc w:val="left"/>
              <w:rPr/>
            </w:pPr>
            <w:r>
              <w:rPr/>
              <w:t>Thomas E. Lane</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gridSpan w:val="3"/>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2253"/>
        <w:gridCol w:w="60"/>
        <w:gridCol w:w="942"/>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ROYAL BANK OF CANADA,</w:t>
            </w:r>
          </w:p>
        </w:tc>
      </w:tr>
      <w:tr>
        <w:trPr/>
        <w:tc>
          <w:tcPr>
            <w:tcW w:w="4082" w:type="dxa"/>
            <w:gridSpan w:val="5"/>
            <w:tcBorders/>
          </w:tcPr>
          <w:p>
            <w:pPr>
              <w:pStyle w:val="TableContents"/>
              <w:bidi w:val="0"/>
              <w:spacing w:before="0" w:after="283"/>
              <w:jc w:val="left"/>
              <w:rPr/>
            </w:pPr>
            <w:r>
              <w:rPr/>
              <w:t>as a Lender and Issuing Bank</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231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53" w:type="dxa"/>
            <w:tcBorders>
              <w:bottom w:val="single" w:sz="2" w:space="0" w:color="000000"/>
            </w:tcBorders>
            <w:tcMar>
              <w:bottom w:w="28" w:type="dxa"/>
            </w:tcMar>
          </w:tcPr>
          <w:p>
            <w:pPr>
              <w:pStyle w:val="TableContents"/>
              <w:bidi w:val="0"/>
              <w:spacing w:before="0" w:after="283"/>
              <w:jc w:val="left"/>
              <w:rPr/>
            </w:pPr>
            <w:r>
              <w:rPr/>
              <w:t>/s/ Theodore Brown</w:t>
            </w:r>
          </w:p>
        </w:tc>
        <w:tc>
          <w:tcPr>
            <w:tcW w:w="60" w:type="dxa"/>
            <w:tcBorders/>
            <w:vAlign w:val="bottom"/>
          </w:tcPr>
          <w:p>
            <w:pPr>
              <w:pStyle w:val="TableContents"/>
              <w:bidi w:val="0"/>
              <w:spacing w:before="0" w:after="283"/>
              <w:jc w:val="left"/>
              <w:rPr/>
            </w:pPr>
            <w:r>
              <w:rPr/>
              <w:t> </w:t>
            </w:r>
          </w:p>
        </w:tc>
        <w:tc>
          <w:tcPr>
            <w:tcW w:w="942" w:type="dxa"/>
            <w:tcBorders/>
          </w:tcPr>
          <w:p>
            <w:pPr>
              <w:pStyle w:val="TableContents"/>
              <w:bidi w:val="0"/>
              <w:spacing w:before="0" w:after="283"/>
              <w:jc w:val="left"/>
              <w:rPr/>
            </w:pPr>
            <w:r>
              <w:rPr/>
              <w:t>     </w:t>
            </w:r>
          </w:p>
        </w:tc>
      </w:tr>
      <w:tr>
        <w:trPr/>
        <w:tc>
          <w:tcPr>
            <w:tcW w:w="7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gridSpan w:val="3"/>
            <w:tcBorders/>
            <w:vAlign w:val="bottom"/>
          </w:tcPr>
          <w:p>
            <w:pPr>
              <w:pStyle w:val="TableContents"/>
              <w:bidi w:val="0"/>
              <w:spacing w:before="0" w:after="283"/>
              <w:jc w:val="left"/>
              <w:rPr/>
            </w:pPr>
            <w:r>
              <w:rPr/>
              <w:t>Theodore Brown</w:t>
            </w:r>
          </w:p>
        </w:tc>
      </w:tr>
      <w:tr>
        <w:trPr/>
        <w:tc>
          <w:tcPr>
            <w:tcW w:w="7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gridSpan w:val="3"/>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83"/>
        <w:gridCol w:w="60"/>
        <w:gridCol w:w="2252"/>
        <w:gridCol w:w="60"/>
        <w:gridCol w:w="927"/>
      </w:tblGrid>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SUMITOMO MITSUI BANKING CORPORATION, </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83" w:type="dxa"/>
            <w:tcBorders/>
            <w:vAlign w:val="center"/>
          </w:tcPr>
          <w:p>
            <w:pPr>
              <w:pStyle w:val="TableContents"/>
              <w:bidi w:val="0"/>
              <w:spacing w:before="0" w:after="283"/>
              <w:jc w:val="left"/>
              <w:rPr>
                <w:sz w:val="4"/>
                <w:szCs w:val="4"/>
              </w:rPr>
            </w:pPr>
            <w:r>
              <w:rPr>
                <w:sz w:val="4"/>
                <w:szCs w:val="4"/>
              </w:rPr>
            </w:r>
          </w:p>
        </w:tc>
        <w:tc>
          <w:tcPr>
            <w:tcW w:w="2312" w:type="dxa"/>
            <w:gridSpan w:val="2"/>
            <w:tcBorders/>
            <w:vAlign w:val="center"/>
          </w:tcPr>
          <w:p>
            <w:pPr>
              <w:pStyle w:val="TableContents"/>
              <w:bidi w:val="0"/>
              <w:spacing w:before="0" w:after="283"/>
              <w:jc w:val="left"/>
              <w:rPr>
                <w:sz w:val="4"/>
                <w:szCs w:val="4"/>
              </w:rPr>
            </w:pPr>
            <w:r>
              <w:rPr>
                <w:sz w:val="4"/>
                <w:szCs w:val="4"/>
              </w:rPr>
            </w:r>
          </w:p>
        </w:tc>
        <w:tc>
          <w:tcPr>
            <w:tcW w:w="987" w:type="dxa"/>
            <w:gridSpan w:val="2"/>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52"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Nabeel Shah</w:t>
            </w:r>
          </w:p>
        </w:tc>
        <w:tc>
          <w:tcPr>
            <w:tcW w:w="60" w:type="dxa"/>
            <w:tcBorders/>
            <w:vAlign w:val="bottom"/>
          </w:tcPr>
          <w:p>
            <w:pPr>
              <w:pStyle w:val="TableContents"/>
              <w:bidi w:val="0"/>
              <w:spacing w:before="0" w:after="283"/>
              <w:jc w:val="left"/>
              <w:rPr/>
            </w:pPr>
            <w:r>
              <w:rPr/>
              <w:t> </w:t>
            </w:r>
          </w:p>
        </w:tc>
        <w:tc>
          <w:tcPr>
            <w:tcW w:w="927" w:type="dxa"/>
            <w:tcBorders/>
          </w:tcPr>
          <w:p>
            <w:pPr>
              <w:pStyle w:val="TableContents"/>
              <w:bidi w:val="0"/>
              <w:spacing w:before="0" w:after="0"/>
              <w:jc w:val="both"/>
              <w:rPr/>
            </w:pPr>
            <w:r>
              <w:rPr/>
              <w:t>     </w:t>
            </w:r>
          </w:p>
        </w:tc>
      </w:tr>
      <w:tr>
        <w:trPr/>
        <w:tc>
          <w:tcPr>
            <w:tcW w:w="783"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39"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Nabeel Shah</w:t>
            </w:r>
          </w:p>
        </w:tc>
      </w:tr>
      <w:tr>
        <w:trPr/>
        <w:tc>
          <w:tcPr>
            <w:tcW w:w="783"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39"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5"/>
        <w:gridCol w:w="60"/>
        <w:gridCol w:w="2376"/>
        <w:gridCol w:w="60"/>
        <w:gridCol w:w="831"/>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4"/>
              </w:rPr>
            </w:pPr>
            <w:r>
              <w:rPr>
                <w:rFonts w:ascii="Times New Roman" w:hAnsi="Times New Roman"/>
                <w:b/>
                <w:sz w:val="24"/>
              </w:rPr>
              <w:t>Banco Bilbao Vizcaya Argentaria, S.A. New 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55"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c>
          <w:tcPr>
            <w:tcW w:w="891"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76"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Brian Crowley</w:t>
            </w:r>
          </w:p>
        </w:tc>
        <w:tc>
          <w:tcPr>
            <w:tcW w:w="60" w:type="dxa"/>
            <w:tcBorders/>
            <w:vAlign w:val="bottom"/>
          </w:tcPr>
          <w:p>
            <w:pPr>
              <w:pStyle w:val="TableContents"/>
              <w:bidi w:val="0"/>
              <w:spacing w:before="0" w:after="283"/>
              <w:jc w:val="left"/>
              <w:rPr/>
            </w:pPr>
            <w:r>
              <w:rPr/>
              <w:t> </w:t>
            </w:r>
          </w:p>
        </w:tc>
        <w:tc>
          <w:tcPr>
            <w:tcW w:w="831" w:type="dxa"/>
            <w:tcBorders/>
          </w:tcPr>
          <w:p>
            <w:pPr>
              <w:pStyle w:val="TableContents"/>
              <w:bidi w:val="0"/>
              <w:spacing w:before="0" w:after="0"/>
              <w:jc w:val="both"/>
              <w:rPr/>
            </w:pPr>
            <w:r>
              <w:rPr/>
              <w:t>    </w:t>
            </w:r>
          </w:p>
        </w:tc>
      </w:tr>
      <w:tr>
        <w:trPr/>
        <w:tc>
          <w:tcPr>
            <w:tcW w:w="755"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67"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Brian Crowley</w:t>
            </w:r>
          </w:p>
        </w:tc>
      </w:tr>
      <w:tr>
        <w:trPr/>
        <w:tc>
          <w:tcPr>
            <w:tcW w:w="755"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67"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Managing Director</w:t>
            </w:r>
          </w:p>
        </w:tc>
      </w:tr>
      <w:tr>
        <w:trPr>
          <w:trHeight w:val="240" w:hRule="atLeast"/>
        </w:trPr>
        <w:tc>
          <w:tcPr>
            <w:tcW w:w="755"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c>
          <w:tcPr>
            <w:tcW w:w="891"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76"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Armen Semizian</w:t>
            </w:r>
          </w:p>
        </w:tc>
        <w:tc>
          <w:tcPr>
            <w:tcW w:w="60" w:type="dxa"/>
            <w:tcBorders/>
            <w:vAlign w:val="bottom"/>
          </w:tcPr>
          <w:p>
            <w:pPr>
              <w:pStyle w:val="TableContents"/>
              <w:bidi w:val="0"/>
              <w:spacing w:before="0" w:after="283"/>
              <w:jc w:val="left"/>
              <w:rPr/>
            </w:pPr>
            <w:r>
              <w:rPr/>
              <w:t> </w:t>
            </w:r>
          </w:p>
        </w:tc>
        <w:tc>
          <w:tcPr>
            <w:tcW w:w="831" w:type="dxa"/>
            <w:tcBorders/>
          </w:tcPr>
          <w:p>
            <w:pPr>
              <w:pStyle w:val="TableContents"/>
              <w:bidi w:val="0"/>
              <w:spacing w:before="0" w:after="0"/>
              <w:jc w:val="both"/>
              <w:rPr/>
            </w:pPr>
            <w:r>
              <w:rPr/>
              <w:t>    </w:t>
            </w:r>
          </w:p>
        </w:tc>
      </w:tr>
      <w:tr>
        <w:trPr/>
        <w:tc>
          <w:tcPr>
            <w:tcW w:w="755"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67"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Armen Semizian</w:t>
            </w:r>
          </w:p>
        </w:tc>
      </w:tr>
      <w:tr>
        <w:trPr/>
        <w:tc>
          <w:tcPr>
            <w:tcW w:w="755"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67"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2241"/>
        <w:gridCol w:w="60"/>
        <w:gridCol w:w="957"/>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b/>
                <w:sz w:val="24"/>
              </w:rPr>
            </w:pPr>
            <w:r>
              <w:rPr>
                <w:rFonts w:ascii="Times New Roman" w:hAnsi="Times New Roman"/>
                <w:b/>
                <w:sz w:val="24"/>
              </w:rPr>
              <w:t>BNP PARIBAS,</w:t>
            </w:r>
          </w:p>
        </w:tc>
      </w:tr>
      <w:tr>
        <w:trPr/>
        <w:tc>
          <w:tcPr>
            <w:tcW w:w="4082" w:type="dxa"/>
            <w:gridSpan w:val="5"/>
            <w:tcBorders/>
          </w:tcPr>
          <w:p>
            <w:pPr>
              <w:pStyle w:val="TableContents"/>
              <w:bidi w:val="0"/>
              <w:spacing w:before="0" w:after="0"/>
              <w:jc w:val="both"/>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2301"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41"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Maria Mulic</w:t>
            </w:r>
          </w:p>
        </w:tc>
        <w:tc>
          <w:tcPr>
            <w:tcW w:w="60"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0"/>
              <w:jc w:val="both"/>
              <w:rPr/>
            </w:pPr>
            <w:r>
              <w:rPr/>
              <w:t>     </w:t>
            </w:r>
          </w:p>
        </w:tc>
      </w:tr>
      <w:tr>
        <w:trPr/>
        <w:tc>
          <w:tcPr>
            <w:tcW w:w="764"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5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Maria Mulic</w:t>
            </w:r>
          </w:p>
        </w:tc>
      </w:tr>
      <w:tr>
        <w:trPr/>
        <w:tc>
          <w:tcPr>
            <w:tcW w:w="764"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5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Managing Director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2301" w:type="dxa"/>
            <w:gridSpan w:val="2"/>
            <w:tcBorders/>
            <w:vAlign w:val="center"/>
          </w:tcPr>
          <w:p>
            <w:pPr>
              <w:pStyle w:val="TableContents"/>
              <w:bidi w:val="0"/>
              <w:spacing w:before="0" w:after="283"/>
              <w:jc w:val="left"/>
              <w:rPr>
                <w:sz w:val="4"/>
                <w:szCs w:val="4"/>
              </w:rPr>
            </w:pPr>
            <w:r>
              <w:rPr>
                <w:sz w:val="4"/>
                <w:szCs w:val="4"/>
              </w:rPr>
            </w:r>
          </w:p>
        </w:tc>
        <w:tc>
          <w:tcPr>
            <w:tcW w:w="1017"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41"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Melody Moss</w:t>
            </w:r>
          </w:p>
        </w:tc>
        <w:tc>
          <w:tcPr>
            <w:tcW w:w="60"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0"/>
              <w:jc w:val="both"/>
              <w:rPr/>
            </w:pPr>
            <w:r>
              <w:rPr/>
              <w:t>     </w:t>
            </w:r>
          </w:p>
        </w:tc>
      </w:tr>
      <w:tr>
        <w:trPr/>
        <w:tc>
          <w:tcPr>
            <w:tcW w:w="764"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5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Melody Moss</w:t>
            </w:r>
          </w:p>
        </w:tc>
      </w:tr>
      <w:tr>
        <w:trPr/>
        <w:tc>
          <w:tcPr>
            <w:tcW w:w="764"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5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2"/>
        <w:gridCol w:w="60"/>
        <w:gridCol w:w="2262"/>
        <w:gridCol w:w="60"/>
        <w:gridCol w:w="938"/>
      </w:tblGrid>
      <w:tr>
        <w:trPr/>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b/>
                <w:sz w:val="24"/>
              </w:rPr>
            </w:pPr>
            <w:r>
              <w:rPr>
                <w:rFonts w:ascii="Times New Roman" w:hAnsi="Times New Roman"/>
                <w:b/>
                <w:sz w:val="24"/>
              </w:rPr>
              <w:t>CREDIT AGRICOLE CORPORATE AND INVESTMENT BANK</w:t>
            </w:r>
          </w:p>
          <w:p>
            <w:pPr>
              <w:pStyle w:val="TableContents"/>
              <w:bidi w:val="0"/>
              <w:spacing w:before="0" w:after="20"/>
              <w:jc w:val="both"/>
              <w:rPr>
                <w:rFonts w:ascii="Times New Roman" w:hAnsi="Times New Roman"/>
                <w:sz w:val="24"/>
              </w:rPr>
            </w:pPr>
            <w:r>
              <w:rPr>
                <w:rFonts w:ascii="Times New Roman" w:hAnsi="Times New Roman"/>
                <w:sz w:val="24"/>
              </w:rPr>
              <w:t>as a Lender</w:t>
            </w:r>
          </w:p>
        </w:tc>
      </w:tr>
      <w:tr>
        <w:trPr>
          <w:trHeight w:val="240" w:hRule="atLeast"/>
        </w:trPr>
        <w:tc>
          <w:tcPr>
            <w:tcW w:w="762" w:type="dxa"/>
            <w:tcBorders/>
            <w:vAlign w:val="center"/>
          </w:tcPr>
          <w:p>
            <w:pPr>
              <w:pStyle w:val="TableContents"/>
              <w:bidi w:val="0"/>
              <w:spacing w:before="0" w:after="283"/>
              <w:jc w:val="left"/>
              <w:rPr>
                <w:sz w:val="4"/>
                <w:szCs w:val="4"/>
              </w:rPr>
            </w:pPr>
            <w:r>
              <w:rPr>
                <w:sz w:val="4"/>
                <w:szCs w:val="4"/>
              </w:rPr>
            </w:r>
          </w:p>
        </w:tc>
        <w:tc>
          <w:tcPr>
            <w:tcW w:w="2322" w:type="dxa"/>
            <w:gridSpan w:val="2"/>
            <w:tcBorders/>
            <w:vAlign w:val="center"/>
          </w:tcPr>
          <w:p>
            <w:pPr>
              <w:pStyle w:val="TableContents"/>
              <w:bidi w:val="0"/>
              <w:spacing w:before="0" w:after="283"/>
              <w:jc w:val="left"/>
              <w:rPr>
                <w:sz w:val="4"/>
                <w:szCs w:val="4"/>
              </w:rPr>
            </w:pPr>
            <w:r>
              <w:rPr>
                <w:sz w:val="4"/>
                <w:szCs w:val="4"/>
              </w:rPr>
            </w:r>
          </w:p>
        </w:tc>
        <w:tc>
          <w:tcPr>
            <w:tcW w:w="998"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62"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Jill Wong</w:t>
            </w:r>
          </w:p>
        </w:tc>
        <w:tc>
          <w:tcPr>
            <w:tcW w:w="60" w:type="dxa"/>
            <w:tcBorders/>
            <w:vAlign w:val="bottom"/>
          </w:tcPr>
          <w:p>
            <w:pPr>
              <w:pStyle w:val="TableContents"/>
              <w:bidi w:val="0"/>
              <w:spacing w:before="0" w:after="283"/>
              <w:jc w:val="left"/>
              <w:rPr/>
            </w:pPr>
            <w:r>
              <w:rPr/>
              <w:t> </w:t>
            </w:r>
          </w:p>
        </w:tc>
        <w:tc>
          <w:tcPr>
            <w:tcW w:w="938" w:type="dxa"/>
            <w:tcBorders/>
          </w:tcPr>
          <w:p>
            <w:pPr>
              <w:pStyle w:val="TableContents"/>
              <w:bidi w:val="0"/>
              <w:spacing w:before="0" w:after="0"/>
              <w:jc w:val="both"/>
              <w:rPr/>
            </w:pPr>
            <w:r>
              <w:rPr/>
              <w:t>     </w:t>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262" w:type="dxa"/>
            <w:tcBorders/>
          </w:tcPr>
          <w:p>
            <w:pPr>
              <w:pStyle w:val="TableContents"/>
              <w:bidi w:val="0"/>
              <w:spacing w:before="0" w:after="0"/>
              <w:jc w:val="both"/>
              <w:rPr>
                <w:rFonts w:ascii="Times New Roman" w:hAnsi="Times New Roman"/>
                <w:sz w:val="24"/>
              </w:rPr>
            </w:pPr>
            <w:r>
              <w:rPr>
                <w:rFonts w:ascii="Times New Roman" w:hAnsi="Times New Roman"/>
                <w:sz w:val="24"/>
              </w:rPr>
              <w:t>Jill Wong</w:t>
            </w:r>
          </w:p>
        </w:tc>
        <w:tc>
          <w:tcPr>
            <w:tcW w:w="60" w:type="dxa"/>
            <w:tcBorders/>
            <w:vAlign w:val="bottom"/>
          </w:tcPr>
          <w:p>
            <w:pPr>
              <w:pStyle w:val="TableContents"/>
              <w:bidi w:val="0"/>
              <w:spacing w:before="0" w:after="283"/>
              <w:jc w:val="left"/>
              <w:rPr/>
            </w:pPr>
            <w:r>
              <w:rPr/>
              <w:t> </w:t>
            </w:r>
          </w:p>
        </w:tc>
        <w:tc>
          <w:tcPr>
            <w:tcW w:w="938" w:type="dxa"/>
            <w:tcBorders/>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262" w:type="dxa"/>
            <w:tcBorders/>
          </w:tcPr>
          <w:p>
            <w:pPr>
              <w:pStyle w:val="TableContents"/>
              <w:bidi w:val="0"/>
              <w:spacing w:before="0" w:after="0"/>
              <w:jc w:val="both"/>
              <w:rPr>
                <w:rFonts w:ascii="Times New Roman" w:hAnsi="Times New Roman"/>
                <w:sz w:val="24"/>
              </w:rPr>
            </w:pPr>
            <w:r>
              <w:rPr>
                <w:rFonts w:ascii="Times New Roman" w:hAnsi="Times New Roman"/>
                <w:sz w:val="24"/>
              </w:rPr>
              <w:t>Director</w:t>
            </w:r>
          </w:p>
        </w:tc>
        <w:tc>
          <w:tcPr>
            <w:tcW w:w="60" w:type="dxa"/>
            <w:tcBorders/>
            <w:vAlign w:val="bottom"/>
          </w:tcPr>
          <w:p>
            <w:pPr>
              <w:pStyle w:val="TableContents"/>
              <w:bidi w:val="0"/>
              <w:spacing w:before="0" w:after="283"/>
              <w:jc w:val="left"/>
              <w:rPr/>
            </w:pPr>
            <w:r>
              <w:rPr/>
              <w:t> </w:t>
            </w:r>
          </w:p>
        </w:tc>
        <w:tc>
          <w:tcPr>
            <w:tcW w:w="938" w:type="dxa"/>
            <w:tcBorders/>
          </w:tcPr>
          <w:p>
            <w:pPr>
              <w:pStyle w:val="TableContents"/>
              <w:bidi w:val="0"/>
              <w:spacing w:before="0" w:after="283"/>
              <w:jc w:val="left"/>
              <w:rPr>
                <w:sz w:val="4"/>
                <w:szCs w:val="4"/>
              </w:rPr>
            </w:pPr>
            <w:r>
              <w:rPr>
                <w:sz w:val="4"/>
                <w:szCs w:val="4"/>
              </w:rPr>
            </w:r>
          </w:p>
        </w:tc>
      </w:tr>
      <w:tr>
        <w:trPr>
          <w:trHeight w:val="240" w:hRule="atLeast"/>
        </w:trPr>
        <w:tc>
          <w:tcPr>
            <w:tcW w:w="762" w:type="dxa"/>
            <w:tcBorders/>
            <w:vAlign w:val="center"/>
          </w:tcPr>
          <w:p>
            <w:pPr>
              <w:pStyle w:val="TableContents"/>
              <w:bidi w:val="0"/>
              <w:spacing w:before="0" w:after="283"/>
              <w:jc w:val="left"/>
              <w:rPr>
                <w:sz w:val="4"/>
                <w:szCs w:val="4"/>
              </w:rPr>
            </w:pPr>
            <w:r>
              <w:rPr>
                <w:sz w:val="4"/>
                <w:szCs w:val="4"/>
              </w:rPr>
            </w:r>
          </w:p>
        </w:tc>
        <w:tc>
          <w:tcPr>
            <w:tcW w:w="2322" w:type="dxa"/>
            <w:gridSpan w:val="2"/>
            <w:tcBorders/>
            <w:vAlign w:val="center"/>
          </w:tcPr>
          <w:p>
            <w:pPr>
              <w:pStyle w:val="TableContents"/>
              <w:bidi w:val="0"/>
              <w:spacing w:before="0" w:after="283"/>
              <w:jc w:val="left"/>
              <w:rPr>
                <w:sz w:val="4"/>
                <w:szCs w:val="4"/>
              </w:rPr>
            </w:pPr>
            <w:r>
              <w:rPr>
                <w:sz w:val="4"/>
                <w:szCs w:val="4"/>
              </w:rPr>
            </w:r>
          </w:p>
        </w:tc>
        <w:tc>
          <w:tcPr>
            <w:tcW w:w="998"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62"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Gordon Yip</w:t>
            </w:r>
          </w:p>
        </w:tc>
        <w:tc>
          <w:tcPr>
            <w:tcW w:w="60" w:type="dxa"/>
            <w:tcBorders/>
            <w:vAlign w:val="bottom"/>
          </w:tcPr>
          <w:p>
            <w:pPr>
              <w:pStyle w:val="TableContents"/>
              <w:bidi w:val="0"/>
              <w:spacing w:before="0" w:after="283"/>
              <w:jc w:val="left"/>
              <w:rPr/>
            </w:pPr>
            <w:r>
              <w:rPr/>
              <w:t> </w:t>
            </w:r>
          </w:p>
        </w:tc>
        <w:tc>
          <w:tcPr>
            <w:tcW w:w="938" w:type="dxa"/>
            <w:tcBorders/>
          </w:tcPr>
          <w:p>
            <w:pPr>
              <w:pStyle w:val="TableContents"/>
              <w:bidi w:val="0"/>
              <w:spacing w:before="0" w:after="0"/>
              <w:jc w:val="both"/>
              <w:rPr/>
            </w:pPr>
            <w:r>
              <w:rPr/>
              <w:t>    </w:t>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262" w:type="dxa"/>
            <w:tcBorders/>
          </w:tcPr>
          <w:p>
            <w:pPr>
              <w:pStyle w:val="TableContents"/>
              <w:bidi w:val="0"/>
              <w:spacing w:before="0" w:after="0"/>
              <w:jc w:val="both"/>
              <w:rPr>
                <w:rFonts w:ascii="Times New Roman" w:hAnsi="Times New Roman"/>
                <w:sz w:val="24"/>
              </w:rPr>
            </w:pPr>
            <w:r>
              <w:rPr>
                <w:rFonts w:ascii="Times New Roman" w:hAnsi="Times New Roman"/>
                <w:sz w:val="24"/>
              </w:rPr>
              <w:t>Gordon Yip</w:t>
            </w:r>
          </w:p>
        </w:tc>
        <w:tc>
          <w:tcPr>
            <w:tcW w:w="60" w:type="dxa"/>
            <w:tcBorders/>
            <w:vAlign w:val="bottom"/>
          </w:tcPr>
          <w:p>
            <w:pPr>
              <w:pStyle w:val="TableContents"/>
              <w:bidi w:val="0"/>
              <w:spacing w:before="0" w:after="283"/>
              <w:jc w:val="left"/>
              <w:rPr/>
            </w:pPr>
            <w:r>
              <w:rPr/>
              <w:t> </w:t>
            </w:r>
          </w:p>
        </w:tc>
        <w:tc>
          <w:tcPr>
            <w:tcW w:w="938" w:type="dxa"/>
            <w:tcBorders/>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262" w:type="dxa"/>
            <w:tcBorders/>
          </w:tcPr>
          <w:p>
            <w:pPr>
              <w:pStyle w:val="TableContents"/>
              <w:bidi w:val="0"/>
              <w:spacing w:before="0" w:after="0"/>
              <w:jc w:val="both"/>
              <w:rPr>
                <w:rFonts w:ascii="Times New Roman" w:hAnsi="Times New Roman"/>
                <w:sz w:val="24"/>
              </w:rPr>
            </w:pPr>
            <w:r>
              <w:rPr>
                <w:rFonts w:ascii="Times New Roman" w:hAnsi="Times New Roman"/>
                <w:sz w:val="24"/>
              </w:rPr>
              <w:t>Director</w:t>
            </w:r>
          </w:p>
        </w:tc>
        <w:tc>
          <w:tcPr>
            <w:tcW w:w="60" w:type="dxa"/>
            <w:tcBorders/>
            <w:vAlign w:val="bottom"/>
          </w:tcPr>
          <w:p>
            <w:pPr>
              <w:pStyle w:val="TableContents"/>
              <w:bidi w:val="0"/>
              <w:spacing w:before="0" w:after="283"/>
              <w:jc w:val="left"/>
              <w:rPr/>
            </w:pPr>
            <w:r>
              <w:rPr/>
              <w:t> </w:t>
            </w:r>
          </w:p>
        </w:tc>
        <w:tc>
          <w:tcPr>
            <w:tcW w:w="9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4"/>
        <w:gridCol w:w="60"/>
        <w:gridCol w:w="2292"/>
        <w:gridCol w:w="60"/>
        <w:gridCol w:w="916"/>
      </w:tblGrid>
      <w:tr>
        <w:trPr/>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4"/>
              </w:rPr>
            </w:pPr>
            <w:r>
              <w:rPr>
                <w:rFonts w:ascii="Times New Roman" w:hAnsi="Times New Roman"/>
                <w:b/>
                <w:sz w:val="24"/>
              </w:rPr>
              <w:t>ING Bank N.V., Dublin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54" w:type="dxa"/>
            <w:tcBorders/>
            <w:vAlign w:val="center"/>
          </w:tcPr>
          <w:p>
            <w:pPr>
              <w:pStyle w:val="TableContents"/>
              <w:bidi w:val="0"/>
              <w:spacing w:before="0" w:after="283"/>
              <w:jc w:val="left"/>
              <w:rPr>
                <w:sz w:val="4"/>
                <w:szCs w:val="4"/>
              </w:rPr>
            </w:pPr>
            <w:r>
              <w:rPr>
                <w:sz w:val="4"/>
                <w:szCs w:val="4"/>
              </w:rPr>
            </w:r>
          </w:p>
        </w:tc>
        <w:tc>
          <w:tcPr>
            <w:tcW w:w="2352" w:type="dxa"/>
            <w:gridSpan w:val="2"/>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r>
      <w:tr>
        <w:trPr/>
        <w:tc>
          <w:tcPr>
            <w:tcW w:w="754"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2292"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Rory Fitzgerald</w:t>
            </w:r>
          </w:p>
        </w:tc>
        <w:tc>
          <w:tcPr>
            <w:tcW w:w="6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0"/>
              <w:jc w:val="both"/>
              <w:rPr/>
            </w:pPr>
            <w:r>
              <w:rPr/>
              <w:t>     </w:t>
            </w:r>
          </w:p>
        </w:tc>
      </w:tr>
      <w:tr>
        <w:trPr/>
        <w:tc>
          <w:tcPr>
            <w:tcW w:w="754"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292" w:type="dxa"/>
            <w:tcBorders/>
          </w:tcPr>
          <w:p>
            <w:pPr>
              <w:pStyle w:val="TableContents"/>
              <w:bidi w:val="0"/>
              <w:spacing w:before="0" w:after="0"/>
              <w:jc w:val="both"/>
              <w:rPr>
                <w:rFonts w:ascii="Times New Roman" w:hAnsi="Times New Roman"/>
                <w:sz w:val="24"/>
              </w:rPr>
            </w:pPr>
            <w:r>
              <w:rPr>
                <w:rFonts w:ascii="Times New Roman" w:hAnsi="Times New Roman"/>
                <w:sz w:val="24"/>
              </w:rPr>
              <w:t>Rory Fitzgerald</w:t>
            </w:r>
          </w:p>
        </w:tc>
        <w:tc>
          <w:tcPr>
            <w:tcW w:w="6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283"/>
              <w:jc w:val="left"/>
              <w:rPr>
                <w:sz w:val="4"/>
                <w:szCs w:val="4"/>
              </w:rPr>
            </w:pPr>
            <w:r>
              <w:rPr>
                <w:sz w:val="4"/>
                <w:szCs w:val="4"/>
              </w:rPr>
            </w:r>
          </w:p>
        </w:tc>
      </w:tr>
      <w:tr>
        <w:trPr/>
        <w:tc>
          <w:tcPr>
            <w:tcW w:w="754"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292" w:type="dxa"/>
            <w:tcBorders/>
          </w:tcPr>
          <w:p>
            <w:pPr>
              <w:pStyle w:val="TableContents"/>
              <w:bidi w:val="0"/>
              <w:spacing w:before="0" w:after="0"/>
              <w:jc w:val="both"/>
              <w:rPr>
                <w:rFonts w:ascii="Times New Roman" w:hAnsi="Times New Roman"/>
                <w:sz w:val="24"/>
              </w:rPr>
            </w:pPr>
            <w:r>
              <w:rPr>
                <w:rFonts w:ascii="Times New Roman" w:hAnsi="Times New Roman"/>
                <w:sz w:val="24"/>
              </w:rPr>
              <w:t>Director</w:t>
            </w:r>
          </w:p>
        </w:tc>
        <w:tc>
          <w:tcPr>
            <w:tcW w:w="6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283"/>
              <w:jc w:val="left"/>
              <w:rPr>
                <w:sz w:val="4"/>
                <w:szCs w:val="4"/>
              </w:rPr>
            </w:pPr>
            <w:r>
              <w:rPr>
                <w:sz w:val="4"/>
                <w:szCs w:val="4"/>
              </w:rPr>
            </w:r>
          </w:p>
        </w:tc>
      </w:tr>
      <w:tr>
        <w:trPr>
          <w:trHeight w:val="240" w:hRule="atLeast"/>
        </w:trPr>
        <w:tc>
          <w:tcPr>
            <w:tcW w:w="754" w:type="dxa"/>
            <w:tcBorders/>
            <w:vAlign w:val="center"/>
          </w:tcPr>
          <w:p>
            <w:pPr>
              <w:pStyle w:val="TableContents"/>
              <w:bidi w:val="0"/>
              <w:spacing w:before="0" w:after="283"/>
              <w:jc w:val="left"/>
              <w:rPr>
                <w:sz w:val="4"/>
                <w:szCs w:val="4"/>
              </w:rPr>
            </w:pPr>
            <w:r>
              <w:rPr>
                <w:sz w:val="4"/>
                <w:szCs w:val="4"/>
              </w:rPr>
            </w:r>
          </w:p>
        </w:tc>
        <w:tc>
          <w:tcPr>
            <w:tcW w:w="2352" w:type="dxa"/>
            <w:gridSpan w:val="2"/>
            <w:tcBorders/>
            <w:vAlign w:val="center"/>
          </w:tcPr>
          <w:p>
            <w:pPr>
              <w:pStyle w:val="TableContents"/>
              <w:bidi w:val="0"/>
              <w:spacing w:before="0" w:after="283"/>
              <w:jc w:val="left"/>
              <w:rPr>
                <w:sz w:val="4"/>
                <w:szCs w:val="4"/>
              </w:rPr>
            </w:pPr>
            <w:r>
              <w:rPr>
                <w:sz w:val="4"/>
                <w:szCs w:val="4"/>
              </w:rPr>
            </w:r>
          </w:p>
        </w:tc>
        <w:tc>
          <w:tcPr>
            <w:tcW w:w="976" w:type="dxa"/>
            <w:gridSpan w:val="2"/>
            <w:tcBorders/>
            <w:vAlign w:val="center"/>
          </w:tcPr>
          <w:p>
            <w:pPr>
              <w:pStyle w:val="TableContents"/>
              <w:bidi w:val="0"/>
              <w:spacing w:before="0" w:after="283"/>
              <w:jc w:val="left"/>
              <w:rPr>
                <w:sz w:val="4"/>
                <w:szCs w:val="4"/>
              </w:rPr>
            </w:pPr>
            <w:r>
              <w:rPr>
                <w:sz w:val="4"/>
                <w:szCs w:val="4"/>
              </w:rPr>
            </w:r>
          </w:p>
        </w:tc>
      </w:tr>
      <w:tr>
        <w:trPr/>
        <w:tc>
          <w:tcPr>
            <w:tcW w:w="754"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2292"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Louise Gough</w:t>
            </w:r>
          </w:p>
        </w:tc>
        <w:tc>
          <w:tcPr>
            <w:tcW w:w="6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0"/>
              <w:jc w:val="both"/>
              <w:rPr/>
            </w:pPr>
            <w:r>
              <w:rPr/>
              <w:t>    </w:t>
            </w:r>
          </w:p>
        </w:tc>
      </w:tr>
      <w:tr>
        <w:trPr/>
        <w:tc>
          <w:tcPr>
            <w:tcW w:w="754"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292" w:type="dxa"/>
            <w:tcBorders/>
          </w:tcPr>
          <w:p>
            <w:pPr>
              <w:pStyle w:val="TableContents"/>
              <w:bidi w:val="0"/>
              <w:spacing w:before="0" w:after="0"/>
              <w:jc w:val="both"/>
              <w:rPr>
                <w:rFonts w:ascii="Times New Roman" w:hAnsi="Times New Roman"/>
                <w:sz w:val="24"/>
              </w:rPr>
            </w:pPr>
            <w:r>
              <w:rPr>
                <w:rFonts w:ascii="Times New Roman" w:hAnsi="Times New Roman"/>
                <w:sz w:val="24"/>
              </w:rPr>
              <w:t>Louise Gough</w:t>
            </w:r>
          </w:p>
        </w:tc>
        <w:tc>
          <w:tcPr>
            <w:tcW w:w="6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283"/>
              <w:jc w:val="left"/>
              <w:rPr>
                <w:sz w:val="4"/>
                <w:szCs w:val="4"/>
              </w:rPr>
            </w:pPr>
            <w:r>
              <w:rPr>
                <w:sz w:val="4"/>
                <w:szCs w:val="4"/>
              </w:rPr>
            </w:r>
          </w:p>
        </w:tc>
      </w:tr>
      <w:tr>
        <w:trPr/>
        <w:tc>
          <w:tcPr>
            <w:tcW w:w="754"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292" w:type="dxa"/>
            <w:tcBorders/>
          </w:tcPr>
          <w:p>
            <w:pPr>
              <w:pStyle w:val="TableContents"/>
              <w:bidi w:val="0"/>
              <w:spacing w:before="0" w:after="0"/>
              <w:jc w:val="both"/>
              <w:rPr>
                <w:rFonts w:ascii="Times New Roman" w:hAnsi="Times New Roman"/>
                <w:sz w:val="24"/>
              </w:rPr>
            </w:pPr>
            <w:r>
              <w:rPr>
                <w:rFonts w:ascii="Times New Roman" w:hAnsi="Times New Roman"/>
                <w:sz w:val="24"/>
              </w:rPr>
              <w:t>Director</w:t>
            </w:r>
          </w:p>
        </w:tc>
        <w:tc>
          <w:tcPr>
            <w:tcW w:w="60" w:type="dxa"/>
            <w:tcBorders/>
            <w:vAlign w:val="bottom"/>
          </w:tcPr>
          <w:p>
            <w:pPr>
              <w:pStyle w:val="TableContents"/>
              <w:bidi w:val="0"/>
              <w:spacing w:before="0" w:after="283"/>
              <w:jc w:val="left"/>
              <w:rPr/>
            </w:pPr>
            <w:r>
              <w:rPr/>
              <w:t> </w:t>
            </w:r>
          </w:p>
        </w:tc>
        <w:tc>
          <w:tcPr>
            <w:tcW w:w="91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0"/>
        <w:gridCol w:w="60"/>
        <w:gridCol w:w="2214"/>
        <w:gridCol w:w="60"/>
        <w:gridCol w:w="978"/>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b/>
                <w:sz w:val="24"/>
              </w:rPr>
            </w:pPr>
            <w:r>
              <w:rPr>
                <w:rFonts w:ascii="Times New Roman" w:hAnsi="Times New Roman"/>
                <w:b/>
                <w:sz w:val="24"/>
              </w:rPr>
              <w:t>The Bank of Nova Scotia,</w:t>
            </w:r>
          </w:p>
          <w:p>
            <w:pPr>
              <w:pStyle w:val="TableContents"/>
              <w:bidi w:val="0"/>
              <w:spacing w:before="0" w:after="20"/>
              <w:jc w:val="both"/>
              <w:rPr>
                <w:rFonts w:ascii="Times New Roman" w:hAnsi="Times New Roman"/>
                <w:sz w:val="24"/>
              </w:rPr>
            </w:pPr>
            <w:r>
              <w:rPr>
                <w:rFonts w:ascii="Times New Roman" w:hAnsi="Times New Roman"/>
                <w:sz w:val="24"/>
              </w:rPr>
              <w:t>as a Lender</w:t>
            </w:r>
          </w:p>
        </w:tc>
      </w:tr>
      <w:tr>
        <w:trPr>
          <w:trHeight w:val="240" w:hRule="atLeast"/>
        </w:trPr>
        <w:tc>
          <w:tcPr>
            <w:tcW w:w="770" w:type="dxa"/>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2214"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Yvonne Bai</w:t>
            </w:r>
          </w:p>
        </w:tc>
        <w:tc>
          <w:tcPr>
            <w:tcW w:w="60"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0"/>
              <w:jc w:val="both"/>
              <w:rPr/>
            </w:pPr>
            <w:r>
              <w:rPr/>
              <w:t>     </w:t>
            </w:r>
          </w:p>
        </w:tc>
      </w:tr>
      <w:tr>
        <w:trPr/>
        <w:tc>
          <w:tcPr>
            <w:tcW w:w="770"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5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Yvonne Bai</w:t>
            </w:r>
          </w:p>
        </w:tc>
      </w:tr>
      <w:tr>
        <w:trPr/>
        <w:tc>
          <w:tcPr>
            <w:tcW w:w="770"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5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2253"/>
        <w:gridCol w:w="60"/>
        <w:gridCol w:w="942"/>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b/>
                <w:sz w:val="24"/>
              </w:rPr>
            </w:pPr>
            <w:r>
              <w:rPr>
                <w:rFonts w:ascii="Times New Roman" w:hAnsi="Times New Roman"/>
                <w:b/>
                <w:sz w:val="24"/>
              </w:rPr>
              <w:t>GOLDMAN SACHS BANK USA,</w:t>
            </w:r>
          </w:p>
          <w:p>
            <w:pPr>
              <w:pStyle w:val="TableContents"/>
              <w:bidi w:val="0"/>
              <w:spacing w:before="0" w:after="20"/>
              <w:jc w:val="both"/>
              <w:rPr>
                <w:rFonts w:ascii="Times New Roman" w:hAnsi="Times New Roman"/>
                <w:sz w:val="24"/>
              </w:rPr>
            </w:pPr>
            <w:r>
              <w:rPr>
                <w:rFonts w:ascii="Times New Roman" w:hAnsi="Times New Roman"/>
                <w:sz w:val="24"/>
              </w:rPr>
              <w:t>as a Lender,</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231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2253"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Dan Starr</w:t>
            </w:r>
          </w:p>
        </w:tc>
        <w:tc>
          <w:tcPr>
            <w:tcW w:w="60" w:type="dxa"/>
            <w:tcBorders/>
            <w:vAlign w:val="bottom"/>
          </w:tcPr>
          <w:p>
            <w:pPr>
              <w:pStyle w:val="TableContents"/>
              <w:bidi w:val="0"/>
              <w:spacing w:before="0" w:after="283"/>
              <w:jc w:val="left"/>
              <w:rPr/>
            </w:pPr>
            <w:r>
              <w:rPr/>
              <w:t> </w:t>
            </w:r>
          </w:p>
        </w:tc>
        <w:tc>
          <w:tcPr>
            <w:tcW w:w="942" w:type="dxa"/>
            <w:tcBorders/>
          </w:tcPr>
          <w:p>
            <w:pPr>
              <w:pStyle w:val="TableContents"/>
              <w:bidi w:val="0"/>
              <w:spacing w:before="0" w:after="0"/>
              <w:jc w:val="both"/>
              <w:rPr/>
            </w:pPr>
            <w:r>
              <w:rPr/>
              <w:t>     </w:t>
            </w:r>
          </w:p>
        </w:tc>
      </w:tr>
      <w:tr>
        <w:trPr/>
        <w:tc>
          <w:tcPr>
            <w:tcW w:w="767"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55"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Dan Starr</w:t>
            </w:r>
          </w:p>
        </w:tc>
      </w:tr>
      <w:tr>
        <w:trPr/>
        <w:tc>
          <w:tcPr>
            <w:tcW w:w="767"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55"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2"/>
        <w:gridCol w:w="60"/>
        <w:gridCol w:w="2224"/>
        <w:gridCol w:w="60"/>
        <w:gridCol w:w="946"/>
      </w:tblGrid>
      <w:tr>
        <w:trPr/>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4"/>
              </w:rPr>
            </w:pPr>
            <w:r>
              <w:rPr>
                <w:rFonts w:ascii="Times New Roman" w:hAnsi="Times New Roman"/>
                <w:b/>
                <w:sz w:val="24"/>
              </w:rPr>
              <w:t>PNC BANK NATIONAL ASSOCIATION,</w:t>
            </w:r>
          </w:p>
          <w:p>
            <w:pPr>
              <w:pStyle w:val="TableContents"/>
              <w:bidi w:val="0"/>
              <w:spacing w:before="0" w:after="20"/>
              <w:jc w:val="both"/>
              <w:rPr>
                <w:rFonts w:ascii="Times New Roman" w:hAnsi="Times New Roman"/>
                <w:sz w:val="24"/>
              </w:rPr>
            </w:pPr>
            <w:r>
              <w:rPr>
                <w:rFonts w:ascii="Times New Roman" w:hAnsi="Times New Roman"/>
                <w:sz w:val="24"/>
              </w:rPr>
              <w:t>as a Lender,</w:t>
            </w:r>
          </w:p>
        </w:tc>
      </w:tr>
      <w:tr>
        <w:trPr>
          <w:trHeight w:val="240" w:hRule="atLeast"/>
        </w:trPr>
        <w:tc>
          <w:tcPr>
            <w:tcW w:w="792" w:type="dxa"/>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2224"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Amy Tallia</w:t>
            </w:r>
          </w:p>
        </w:tc>
        <w:tc>
          <w:tcPr>
            <w:tcW w:w="60" w:type="dxa"/>
            <w:tcBorders/>
            <w:vAlign w:val="bottom"/>
          </w:tcPr>
          <w:p>
            <w:pPr>
              <w:pStyle w:val="TableContents"/>
              <w:bidi w:val="0"/>
              <w:spacing w:before="0" w:after="283"/>
              <w:jc w:val="left"/>
              <w:rPr/>
            </w:pPr>
            <w:r>
              <w:rPr/>
              <w:t> </w:t>
            </w:r>
          </w:p>
        </w:tc>
        <w:tc>
          <w:tcPr>
            <w:tcW w:w="946" w:type="dxa"/>
            <w:tcBorders/>
          </w:tcPr>
          <w:p>
            <w:pPr>
              <w:pStyle w:val="TableContents"/>
              <w:bidi w:val="0"/>
              <w:spacing w:before="0" w:after="0"/>
              <w:jc w:val="both"/>
              <w:rPr/>
            </w:pPr>
            <w:r>
              <w:rPr/>
              <w:t>     </w:t>
            </w:r>
          </w:p>
        </w:tc>
      </w:tr>
      <w:tr>
        <w:trPr/>
        <w:tc>
          <w:tcPr>
            <w:tcW w:w="792"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224" w:type="dxa"/>
            <w:tcBorders/>
          </w:tcPr>
          <w:p>
            <w:pPr>
              <w:pStyle w:val="TableContents"/>
              <w:bidi w:val="0"/>
              <w:spacing w:before="0" w:after="0"/>
              <w:jc w:val="both"/>
              <w:rPr>
                <w:rFonts w:ascii="Times New Roman" w:hAnsi="Times New Roman"/>
                <w:sz w:val="24"/>
              </w:rPr>
            </w:pPr>
            <w:r>
              <w:rPr>
                <w:rFonts w:ascii="Times New Roman" w:hAnsi="Times New Roman"/>
                <w:sz w:val="24"/>
              </w:rPr>
              <w:t>Amy Tallia</w:t>
            </w:r>
          </w:p>
        </w:tc>
        <w:tc>
          <w:tcPr>
            <w:tcW w:w="60" w:type="dxa"/>
            <w:tcBorders/>
            <w:vAlign w:val="bottom"/>
          </w:tcPr>
          <w:p>
            <w:pPr>
              <w:pStyle w:val="TableContents"/>
              <w:bidi w:val="0"/>
              <w:spacing w:before="0" w:after="283"/>
              <w:jc w:val="left"/>
              <w:rPr/>
            </w:pPr>
            <w:r>
              <w:rPr/>
              <w:t> </w:t>
            </w:r>
          </w:p>
        </w:tc>
        <w:tc>
          <w:tcPr>
            <w:tcW w:w="946" w:type="dxa"/>
            <w:tcBorders/>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224" w:type="dxa"/>
            <w:tcBorders/>
          </w:tcPr>
          <w:p>
            <w:pPr>
              <w:pStyle w:val="TableContents"/>
              <w:bidi w:val="0"/>
              <w:spacing w:before="0" w:after="0"/>
              <w:jc w:val="both"/>
              <w:rPr>
                <w:rFonts w:ascii="Times New Roman" w:hAnsi="Times New Roman"/>
                <w:sz w:val="24"/>
              </w:rPr>
            </w:pPr>
            <w:r>
              <w:rPr>
                <w:rFonts w:ascii="Times New Roman" w:hAnsi="Times New Roman"/>
                <w:sz w:val="24"/>
              </w:rPr>
              <w:t>SVP</w:t>
            </w:r>
          </w:p>
        </w:tc>
        <w:tc>
          <w:tcPr>
            <w:tcW w:w="60" w:type="dxa"/>
            <w:tcBorders/>
            <w:vAlign w:val="bottom"/>
          </w:tcPr>
          <w:p>
            <w:pPr>
              <w:pStyle w:val="TableContents"/>
              <w:bidi w:val="0"/>
              <w:spacing w:before="0" w:after="283"/>
              <w:jc w:val="left"/>
              <w:rPr/>
            </w:pPr>
            <w:r>
              <w:rPr/>
              <w:t> </w:t>
            </w:r>
          </w:p>
        </w:tc>
        <w:tc>
          <w:tcPr>
            <w:tcW w:w="94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9"/>
        <w:gridCol w:w="60"/>
        <w:gridCol w:w="2403"/>
        <w:gridCol w:w="60"/>
        <w:gridCol w:w="800"/>
      </w:tblGrid>
      <w:tr>
        <w:trPr/>
        <w:tc>
          <w:tcPr>
            <w:tcW w:w="7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4"/>
              </w:rPr>
            </w:pPr>
            <w:r>
              <w:rPr>
                <w:rFonts w:ascii="Times New Roman" w:hAnsi="Times New Roman"/>
                <w:b/>
                <w:sz w:val="24"/>
              </w:rPr>
              <w:t>U.S. BANK NATIONAL ASSOCIATION,</w:t>
            </w:r>
          </w:p>
          <w:p>
            <w:pPr>
              <w:pStyle w:val="TableContents"/>
              <w:bidi w:val="0"/>
              <w:spacing w:before="0" w:after="20"/>
              <w:jc w:val="both"/>
              <w:rPr>
                <w:rFonts w:ascii="Times New Roman" w:hAnsi="Times New Roman"/>
                <w:sz w:val="24"/>
              </w:rPr>
            </w:pPr>
            <w:r>
              <w:rPr>
                <w:rFonts w:ascii="Times New Roman" w:hAnsi="Times New Roman"/>
                <w:sz w:val="24"/>
              </w:rPr>
              <w:t>as a Lender</w:t>
            </w:r>
          </w:p>
        </w:tc>
      </w:tr>
      <w:tr>
        <w:trPr>
          <w:trHeight w:val="240" w:hRule="atLeast"/>
        </w:trPr>
        <w:tc>
          <w:tcPr>
            <w:tcW w:w="759" w:type="dxa"/>
            <w:tcBorders/>
            <w:vAlign w:val="center"/>
          </w:tcPr>
          <w:p>
            <w:pPr>
              <w:pStyle w:val="TableContents"/>
              <w:bidi w:val="0"/>
              <w:spacing w:before="0" w:after="283"/>
              <w:jc w:val="left"/>
              <w:rPr>
                <w:sz w:val="4"/>
                <w:szCs w:val="4"/>
              </w:rPr>
            </w:pPr>
            <w:r>
              <w:rPr>
                <w:sz w:val="4"/>
                <w:szCs w:val="4"/>
              </w:rPr>
            </w:r>
          </w:p>
        </w:tc>
        <w:tc>
          <w:tcPr>
            <w:tcW w:w="2463"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r>
      <w:tr>
        <w:trPr/>
        <w:tc>
          <w:tcPr>
            <w:tcW w:w="759"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403"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Joseph Howard</w:t>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0"/>
              <w:jc w:val="both"/>
              <w:rPr/>
            </w:pPr>
            <w:r>
              <w:rPr/>
              <w:t>     </w:t>
            </w:r>
          </w:p>
        </w:tc>
      </w:tr>
      <w:tr>
        <w:trPr/>
        <w:tc>
          <w:tcPr>
            <w:tcW w:w="759"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63"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Joseph Howard</w:t>
            </w:r>
          </w:p>
        </w:tc>
      </w:tr>
      <w:tr>
        <w:trPr/>
        <w:tc>
          <w:tcPr>
            <w:tcW w:w="759"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63"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6"/>
        <w:gridCol w:w="60"/>
        <w:gridCol w:w="2242"/>
        <w:gridCol w:w="60"/>
        <w:gridCol w:w="954"/>
      </w:tblGrid>
      <w:tr>
        <w:trPr/>
        <w:tc>
          <w:tcPr>
            <w:tcW w:w="7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4"/>
              </w:rPr>
            </w:pPr>
            <w:r>
              <w:rPr>
                <w:rFonts w:ascii="Times New Roman" w:hAnsi="Times New Roman"/>
                <w:b/>
                <w:sz w:val="24"/>
              </w:rPr>
              <w:t>LLOYDS BANK PLC,</w:t>
            </w:r>
          </w:p>
          <w:p>
            <w:pPr>
              <w:pStyle w:val="TableContents"/>
              <w:bidi w:val="0"/>
              <w:spacing w:before="0" w:after="20"/>
              <w:jc w:val="both"/>
              <w:rPr>
                <w:rFonts w:ascii="Times New Roman" w:hAnsi="Times New Roman"/>
                <w:sz w:val="24"/>
              </w:rPr>
            </w:pPr>
            <w:r>
              <w:rPr>
                <w:rFonts w:ascii="Times New Roman" w:hAnsi="Times New Roman"/>
                <w:sz w:val="24"/>
              </w:rPr>
              <w:t>as a Lender</w:t>
            </w:r>
          </w:p>
        </w:tc>
      </w:tr>
      <w:tr>
        <w:trPr>
          <w:trHeight w:val="240" w:hRule="atLeast"/>
        </w:trPr>
        <w:tc>
          <w:tcPr>
            <w:tcW w:w="766" w:type="dxa"/>
            <w:tcBorders/>
            <w:vAlign w:val="center"/>
          </w:tcPr>
          <w:p>
            <w:pPr>
              <w:pStyle w:val="TableContents"/>
              <w:bidi w:val="0"/>
              <w:spacing w:before="0" w:after="283"/>
              <w:jc w:val="left"/>
              <w:rPr>
                <w:sz w:val="4"/>
                <w:szCs w:val="4"/>
              </w:rPr>
            </w:pPr>
            <w:r>
              <w:rPr>
                <w:sz w:val="4"/>
                <w:szCs w:val="4"/>
              </w:rPr>
            </w:r>
          </w:p>
        </w:tc>
        <w:tc>
          <w:tcPr>
            <w:tcW w:w="2302"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r>
      <w:tr>
        <w:trPr/>
        <w:tc>
          <w:tcPr>
            <w:tcW w:w="766"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42"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Iain Brown</w:t>
            </w:r>
          </w:p>
        </w:tc>
        <w:tc>
          <w:tcPr>
            <w:tcW w:w="60" w:type="dxa"/>
            <w:tcBorders/>
            <w:vAlign w:val="bottom"/>
          </w:tcPr>
          <w:p>
            <w:pPr>
              <w:pStyle w:val="TableContents"/>
              <w:bidi w:val="0"/>
              <w:spacing w:before="0" w:after="283"/>
              <w:jc w:val="left"/>
              <w:rPr/>
            </w:pPr>
            <w:r>
              <w:rPr/>
              <w:t> </w:t>
            </w:r>
          </w:p>
        </w:tc>
        <w:tc>
          <w:tcPr>
            <w:tcW w:w="954" w:type="dxa"/>
            <w:tcBorders/>
          </w:tcPr>
          <w:p>
            <w:pPr>
              <w:pStyle w:val="TableContents"/>
              <w:bidi w:val="0"/>
              <w:spacing w:before="0" w:after="0"/>
              <w:jc w:val="both"/>
              <w:rPr/>
            </w:pPr>
            <w:r>
              <w:rPr/>
              <w:t>     </w:t>
            </w:r>
          </w:p>
        </w:tc>
      </w:tr>
      <w:tr>
        <w:trPr/>
        <w:tc>
          <w:tcPr>
            <w:tcW w:w="766"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56"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Iain Brown</w:t>
            </w:r>
          </w:p>
        </w:tc>
      </w:tr>
      <w:tr>
        <w:trPr/>
        <w:tc>
          <w:tcPr>
            <w:tcW w:w="766"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56"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Associate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2"/>
        <w:gridCol w:w="60"/>
        <w:gridCol w:w="2262"/>
        <w:gridCol w:w="60"/>
        <w:gridCol w:w="938"/>
      </w:tblGrid>
      <w:tr>
        <w:trPr/>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CoBank ACB,</w:t>
            </w:r>
          </w:p>
        </w:tc>
      </w:tr>
      <w:tr>
        <w:trPr/>
        <w:tc>
          <w:tcPr>
            <w:tcW w:w="4082" w:type="dxa"/>
            <w:gridSpan w:val="5"/>
            <w:tcBorders/>
          </w:tcPr>
          <w:p>
            <w:pPr>
              <w:pStyle w:val="TableContents"/>
              <w:bidi w:val="0"/>
              <w:spacing w:before="0" w:after="283"/>
              <w:jc w:val="left"/>
              <w:rPr/>
            </w:pPr>
            <w:r>
              <w:rPr/>
              <w:t>as a Lender,</w:t>
            </w:r>
          </w:p>
        </w:tc>
      </w:tr>
      <w:tr>
        <w:trPr>
          <w:trHeight w:val="240" w:hRule="atLeast"/>
        </w:trPr>
        <w:tc>
          <w:tcPr>
            <w:tcW w:w="762" w:type="dxa"/>
            <w:tcBorders/>
            <w:vAlign w:val="center"/>
          </w:tcPr>
          <w:p>
            <w:pPr>
              <w:pStyle w:val="TableContents"/>
              <w:bidi w:val="0"/>
              <w:spacing w:before="0" w:after="283"/>
              <w:jc w:val="left"/>
              <w:rPr>
                <w:sz w:val="4"/>
                <w:szCs w:val="4"/>
              </w:rPr>
            </w:pPr>
            <w:r>
              <w:rPr>
                <w:sz w:val="4"/>
                <w:szCs w:val="4"/>
              </w:rPr>
            </w:r>
          </w:p>
        </w:tc>
        <w:tc>
          <w:tcPr>
            <w:tcW w:w="2322" w:type="dxa"/>
            <w:gridSpan w:val="2"/>
            <w:tcBorders/>
            <w:vAlign w:val="center"/>
          </w:tcPr>
          <w:p>
            <w:pPr>
              <w:pStyle w:val="TableContents"/>
              <w:bidi w:val="0"/>
              <w:spacing w:before="0" w:after="283"/>
              <w:jc w:val="left"/>
              <w:rPr>
                <w:sz w:val="4"/>
                <w:szCs w:val="4"/>
              </w:rPr>
            </w:pPr>
            <w:r>
              <w:rPr>
                <w:sz w:val="4"/>
                <w:szCs w:val="4"/>
              </w:rPr>
            </w:r>
          </w:p>
        </w:tc>
        <w:tc>
          <w:tcPr>
            <w:tcW w:w="998"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62" w:type="dxa"/>
            <w:tcBorders>
              <w:bottom w:val="single" w:sz="2" w:space="0" w:color="000000"/>
            </w:tcBorders>
            <w:tcMar>
              <w:bottom w:w="28" w:type="dxa"/>
            </w:tcMar>
          </w:tcPr>
          <w:p>
            <w:pPr>
              <w:pStyle w:val="TableContents"/>
              <w:bidi w:val="0"/>
              <w:spacing w:before="0" w:after="0"/>
              <w:jc w:val="both"/>
              <w:rPr>
                <w:rFonts w:ascii="Times New Roman" w:hAnsi="Times New Roman"/>
                <w:sz w:val="24"/>
              </w:rPr>
            </w:pPr>
            <w:r>
              <w:rPr>
                <w:rFonts w:ascii="Times New Roman" w:hAnsi="Times New Roman"/>
                <w:sz w:val="24"/>
              </w:rPr>
              <w:t>/s/ Scott Johnson</w:t>
            </w:r>
          </w:p>
        </w:tc>
        <w:tc>
          <w:tcPr>
            <w:tcW w:w="60" w:type="dxa"/>
            <w:tcBorders/>
            <w:vAlign w:val="bottom"/>
          </w:tcPr>
          <w:p>
            <w:pPr>
              <w:pStyle w:val="TableContents"/>
              <w:bidi w:val="0"/>
              <w:spacing w:before="0" w:after="283"/>
              <w:jc w:val="left"/>
              <w:rPr/>
            </w:pPr>
            <w:r>
              <w:rPr/>
              <w:t> </w:t>
            </w:r>
          </w:p>
        </w:tc>
        <w:tc>
          <w:tcPr>
            <w:tcW w:w="938" w:type="dxa"/>
            <w:tcBorders/>
          </w:tcPr>
          <w:p>
            <w:pPr>
              <w:pStyle w:val="TableContents"/>
              <w:bidi w:val="0"/>
              <w:spacing w:before="0" w:after="0"/>
              <w:jc w:val="both"/>
              <w:rPr/>
            </w:pPr>
            <w:r>
              <w:rPr/>
              <w:t>     </w:t>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3260"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Scott Johnson</w:t>
            </w:r>
          </w:p>
        </w:tc>
      </w:tr>
      <w:tr>
        <w:trPr/>
        <w:tc>
          <w:tcPr>
            <w:tcW w:w="762"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3260"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Sector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4 to Third Amended and Restated Multicurrency Revolving Credit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Schedule 1 </w:t>
      </w:r>
    </w:p>
    <w:p>
      <w:pPr>
        <w:pStyle w:val="TextBody"/>
        <w:bidi w:val="0"/>
        <w:spacing w:before="240" w:after="0"/>
        <w:jc w:val="center"/>
        <w:rPr>
          <w:rFonts w:ascii="Times New Roman" w:hAnsi="Times New Roman"/>
          <w:b/>
          <w:sz w:val="24"/>
        </w:rPr>
      </w:pPr>
      <w:r>
        <w:rPr>
          <w:rFonts w:ascii="Times New Roman" w:hAnsi="Times New Roman"/>
          <w:b/>
          <w:sz w:val="24"/>
        </w:rPr>
        <w:t xml:space="preserve">Commitments; Commitment Ratios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0"/>
        <w:gridCol w:w="120"/>
        <w:gridCol w:w="2462"/>
        <w:gridCol w:w="120"/>
        <w:gridCol w:w="2337"/>
        <w:gridCol w:w="120"/>
        <w:gridCol w:w="2406"/>
      </w:tblGrid>
      <w:tr>
        <w:trPr/>
        <w:tc>
          <w:tcPr>
            <w:tcW w:w="2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r>
      <w:tr>
        <w:trPr/>
        <w:tc>
          <w:tcPr>
            <w:tcW w:w="2640" w:type="dxa"/>
            <w:tcBorders>
              <w:top w:val="single" w:sz="2" w:space="0" w:color="000000"/>
              <w:left w:val="single" w:sz="2" w:space="0" w:color="000000"/>
              <w:bottom w:val="single" w:sz="2" w:space="0" w:color="000000"/>
              <w:right w:val="single" w:sz="2" w:space="0" w:color="000000"/>
            </w:tcBorders>
            <w:shd w:fill="D9D9D9" w:val="clear"/>
            <w:tcMar>
              <w:top w:w="28" w:type="dxa"/>
              <w:left w:w="160" w:type="dxa"/>
              <w:bottom w:w="28" w:type="dxa"/>
              <w:right w:w="28" w:type="dxa"/>
            </w:tcMar>
          </w:tcPr>
          <w:p>
            <w:pPr>
              <w:pStyle w:val="TableContents"/>
              <w:bidi w:val="0"/>
              <w:spacing w:before="0" w:after="283"/>
              <w:jc w:val="left"/>
              <w:rPr>
                <w:b/>
                <w:u w:val="single"/>
              </w:rPr>
            </w:pPr>
            <w:r>
              <w:rPr>
                <w:b/>
                <w:u w:val="single"/>
              </w:rPr>
              <w:t>Entity</w:t>
            </w:r>
          </w:p>
        </w:tc>
        <w:tc>
          <w:tcPr>
            <w:tcW w:w="12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shd w:fill="D9D9D9" w:val="clear"/>
            <w:tcMar>
              <w:top w:w="28" w:type="dxa"/>
              <w:bottom w:w="28" w:type="dxa"/>
              <w:right w:w="28" w:type="dxa"/>
            </w:tcMa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Revolving Loan</w:t>
            </w:r>
          </w:p>
          <w:p>
            <w:pPr>
              <w:pStyle w:val="TableContents"/>
              <w:bidi w:val="0"/>
              <w:spacing w:before="0" w:after="20"/>
              <w:jc w:val="center"/>
              <w:rPr>
                <w:rFonts w:ascii="Times New Roman" w:hAnsi="Times New Roman"/>
                <w:b/>
                <w:sz w:val="20"/>
                <w:u w:val="single"/>
              </w:rPr>
            </w:pPr>
            <w:r>
              <w:rPr>
                <w:rFonts w:ascii="Times New Roman" w:hAnsi="Times New Roman"/>
                <w:b/>
                <w:sz w:val="20"/>
                <w:u w:val="single"/>
              </w:rPr>
              <w:t>Commitment</w:t>
            </w:r>
          </w:p>
        </w:tc>
        <w:tc>
          <w:tcPr>
            <w:tcW w:w="12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shd w:fill="D9D9D9" w:val="clear"/>
            <w:tcMar>
              <w:top w:w="28" w:type="dxa"/>
              <w:bottom w:w="28" w:type="dxa"/>
              <w:right w:w="28" w:type="dxa"/>
            </w:tcMa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Commitment</w:t>
            </w:r>
          </w:p>
          <w:p>
            <w:pPr>
              <w:pStyle w:val="TableContents"/>
              <w:bidi w:val="0"/>
              <w:spacing w:before="0" w:after="20"/>
              <w:jc w:val="center"/>
              <w:rPr>
                <w:rFonts w:ascii="Times New Roman" w:hAnsi="Times New Roman"/>
                <w:b/>
                <w:sz w:val="20"/>
                <w:u w:val="single"/>
              </w:rPr>
            </w:pPr>
            <w:r>
              <w:rPr>
                <w:rFonts w:ascii="Times New Roman" w:hAnsi="Times New Roman"/>
                <w:b/>
                <w:sz w:val="20"/>
                <w:u w:val="single"/>
              </w:rPr>
              <w:t>Ratio</w:t>
            </w:r>
          </w:p>
        </w:tc>
        <w:tc>
          <w:tcPr>
            <w:tcW w:w="12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shd w:fill="D9D9D9" w:val="clear"/>
            <w:tcMar>
              <w:top w:w="28" w:type="dxa"/>
              <w:bottom w:w="28" w:type="dxa"/>
              <w:right w:w="40" w:type="dxa"/>
            </w:tcMar>
          </w:tcPr>
          <w:p>
            <w:pPr>
              <w:pStyle w:val="TableContents"/>
              <w:bidi w:val="0"/>
              <w:spacing w:before="0" w:after="283"/>
              <w:jc w:val="center"/>
              <w:rPr>
                <w:b/>
                <w:u w:val="single"/>
              </w:rPr>
            </w:pPr>
            <w:r>
              <w:rPr>
                <w:b/>
                <w:u w:val="single"/>
              </w:rPr>
              <w:t>L/C Commitment</w:t>
            </w:r>
          </w:p>
        </w:tc>
      </w:tr>
      <w:tr>
        <w:trPr>
          <w:trHeight w:val="75" w:hRule="atLeast"/>
        </w:trPr>
        <w:tc>
          <w:tcPr>
            <w:tcW w:w="264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58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45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52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64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The Toronto-Dominion Bank, New York Branch</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462"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$ 420,000,000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37"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t>7.00%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406"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$25,000,000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Mizuho Bank,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$ 420,000,000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$ 420,000,000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$ 420,000,000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$ 420,000,000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$231,000,000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3.15%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$13,750,000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MUFG Bank,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$189 000,000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$11.250,000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Royal Bank of Canada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$ 420,000,000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$ 420,000,000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7.00%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Banco Bilbao Vizcaya Argentaria, S.A. New York Branch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$331,000,000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5.52%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$331,000,000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5.52%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Credit Agricole Corporate and Investment Bank</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$331,000,000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5.52%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ING Bank N.V., Dublin Branch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$331,000,000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5.52%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The Bank of Nova Scotia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$331,000,000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5.52%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4.50%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$224,000,000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3.73%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$224,000,000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3.73%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Lloyds Bank PLC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$217,000,000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CoBank, ACB</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0.83%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64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62"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b/>
              </w:rPr>
            </w:pPr>
            <w:r>
              <w:rPr>
                <w:b/>
              </w:rPr>
              <w:t>$6,000,000,000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37"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b/>
              </w:rPr>
            </w:pPr>
            <w:r>
              <w:rPr>
                <w:b/>
              </w:rPr>
              <w:t>100%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06"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b/>
              </w:rPr>
            </w:pPr>
            <w:r>
              <w:rPr>
                <w:b/>
              </w:rPr>
              <w:t>$200,000,000</w:t>
            </w:r>
          </w:p>
        </w:tc>
      </w:tr>
    </w:tbl>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4. to Third Amended </w:t>
      </w:r>
    </w:p>
    <w:p>
      <w:pPr>
        <w:pStyle w:val="TextBody"/>
        <w:bidi w:val="0"/>
        <w:spacing w:before="0" w:after="0"/>
        <w:jc w:val="right"/>
        <w:rPr>
          <w:rFonts w:ascii="Times New Roman" w:hAnsi="Times New Roman"/>
          <w:sz w:val="16"/>
        </w:rPr>
      </w:pPr>
      <w:r>
        <w:rPr>
          <w:rFonts w:ascii="Times New Roman" w:hAnsi="Times New Roman"/>
          <w:sz w:val="16"/>
        </w:rPr>
        <w:t xml:space="preserve">and Restated Multicurrency Revolving Credit Agreement </w:t>
      </w:r>
    </w:p>
    <w:p>
      <w:pPr>
        <w:pStyle w:val="TextBody"/>
        <w:bidi w:val="0"/>
        <w:spacing w:before="120" w:after="0"/>
        <w:jc w:val="center"/>
        <w:rPr>
          <w:rFonts w:ascii="Times New Roman" w:hAnsi="Times New Roman"/>
          <w:sz w:val="24"/>
        </w:rPr>
      </w:pPr>
      <w:r>
        <w:rPr>
          <w:rFonts w:ascii="Times New Roman" w:hAnsi="Times New Roman"/>
          <w:sz w:val="24"/>
        </w:rPr>
        <w:t xml:space="preserve">Schedule 1 - 1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Exhibit A </w:t>
      </w:r>
    </w:p>
    <w:p>
      <w:pPr>
        <w:pStyle w:val="TextBody"/>
        <w:bidi w:val="0"/>
        <w:spacing w:before="240" w:after="0"/>
        <w:jc w:val="center"/>
        <w:rPr>
          <w:rFonts w:ascii="Times New Roman" w:hAnsi="Times New Roman"/>
          <w:b/>
          <w:sz w:val="24"/>
        </w:rPr>
      </w:pPr>
      <w:r>
        <w:rPr>
          <w:rFonts w:ascii="Times New Roman" w:hAnsi="Times New Roman"/>
          <w:b/>
          <w:sz w:val="24"/>
        </w:rPr>
        <w:t xml:space="preserve">Amended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(See attached).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4. to Third Amended </w:t>
      </w:r>
    </w:p>
    <w:p>
      <w:pPr>
        <w:pStyle w:val="TextBody"/>
        <w:bidi w:val="0"/>
        <w:spacing w:before="0" w:after="0"/>
        <w:jc w:val="right"/>
        <w:rPr>
          <w:rFonts w:ascii="Times New Roman" w:hAnsi="Times New Roman"/>
          <w:sz w:val="16"/>
        </w:rPr>
      </w:pPr>
      <w:r>
        <w:rPr>
          <w:rFonts w:ascii="Times New Roman" w:hAnsi="Times New Roman"/>
          <w:sz w:val="16"/>
        </w:rPr>
        <w:t xml:space="preserve">and Restated Multicurrency Revolving Credit Agreement </w:t>
      </w:r>
    </w:p>
    <w:p>
      <w:pPr>
        <w:pStyle w:val="TextBody"/>
        <w:bidi w:val="0"/>
        <w:spacing w:before="120" w:after="0"/>
        <w:jc w:val="center"/>
        <w:rPr>
          <w:rFonts w:ascii="Times New Roman" w:hAnsi="Times New Roman"/>
          <w:sz w:val="24"/>
        </w:rPr>
      </w:pPr>
      <w:r>
        <w:rPr>
          <w:rFonts w:ascii="Times New Roman" w:hAnsi="Times New Roman"/>
          <w:sz w:val="24"/>
        </w:rPr>
        <w:t xml:space="preserve">Exhibit A - 1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4"/>
        </w:rPr>
      </w:pPr>
      <w:r>
        <w:rPr>
          <w:rFonts w:ascii="Times New Roman" w:hAnsi="Times New Roman"/>
          <w:sz w:val="24"/>
        </w:rPr>
        <w:t xml:space="preserve">EXHIBIT A to </w:t>
      </w:r>
    </w:p>
    <w:p>
      <w:pPr>
        <w:pStyle w:val="TextBody"/>
        <w:bidi w:val="0"/>
        <w:spacing w:before="0" w:after="0"/>
        <w:jc w:val="right"/>
        <w:rPr>
          <w:rFonts w:ascii="Times New Roman" w:hAnsi="Times New Roman"/>
          <w:sz w:val="24"/>
        </w:rPr>
      </w:pPr>
      <w:r>
        <w:rPr>
          <w:rFonts w:ascii="Times New Roman" w:hAnsi="Times New Roman"/>
          <w:sz w:val="24"/>
        </w:rPr>
        <w:t>AMENDMENT No.</w:t>
      </w:r>
      <w:r>
        <w:rPr>
          <w:rFonts w:ascii="Times New Roman" w:hAnsi="Times New Roman"/>
          <w:strike/>
          <w:color w:val="FF0000"/>
          <w:sz w:val="24"/>
        </w:rPr>
        <w:t> 3</w:t>
      </w:r>
      <w:r>
        <w:rPr>
          <w:rFonts w:ascii="Times New Roman" w:hAnsi="Times New Roman"/>
          <w:color w:val="0000FF"/>
          <w:sz w:val="24"/>
          <w:u w:val="single"/>
          <w:bdr w:val="double" w:sz="2" w:space="1" w:color="000000"/>
        </w:rPr>
        <w:t>4</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THIRD AMENDED AND RESTATED MULTICURRENCY REVOLVING CREDIT AGREEMENT </w:t>
      </w:r>
    </w:p>
    <w:p>
      <w:pPr>
        <w:pStyle w:val="TextBody"/>
        <w:bidi w:val="0"/>
        <w:spacing w:before="240" w:after="0"/>
        <w:jc w:val="center"/>
        <w:rPr>
          <w:rFonts w:ascii="Times New Roman" w:hAnsi="Times New Roman"/>
          <w:b/>
          <w:sz w:val="24"/>
        </w:rPr>
      </w:pPr>
      <w:r>
        <w:rPr>
          <w:rFonts w:ascii="Times New Roman" w:hAnsi="Times New Roman"/>
          <w:b/>
          <w:sz w:val="24"/>
        </w:rPr>
        <w:t xml:space="preserve">AMONG </w:t>
      </w:r>
    </w:p>
    <w:p>
      <w:pPr>
        <w:pStyle w:val="TextBody"/>
        <w:bidi w:val="0"/>
        <w:spacing w:before="240" w:after="0"/>
        <w:jc w:val="center"/>
        <w:rPr>
          <w:rFonts w:ascii="Times New Roman" w:hAnsi="Times New Roman"/>
          <w:b/>
          <w:sz w:val="24"/>
        </w:rPr>
      </w:pPr>
      <w:r>
        <w:rPr>
          <w:rFonts w:ascii="Times New Roman" w:hAnsi="Times New Roman"/>
          <w:b/>
          <w:sz w:val="24"/>
        </w:rPr>
        <w:t xml:space="preserve">AMERICAN TOWER CORPORATION </w:t>
      </w:r>
    </w:p>
    <w:p>
      <w:pPr>
        <w:pStyle w:val="TextBody"/>
        <w:bidi w:val="0"/>
        <w:spacing w:before="0" w:after="0"/>
        <w:jc w:val="center"/>
        <w:rPr>
          <w:rFonts w:ascii="Times New Roman" w:hAnsi="Times New Roman"/>
          <w:b/>
          <w:sz w:val="24"/>
        </w:rPr>
      </w:pPr>
      <w:r>
        <w:rPr>
          <w:rFonts w:ascii="Times New Roman" w:hAnsi="Times New Roman"/>
          <w:b/>
          <w:sz w:val="24"/>
        </w:rPr>
        <w:t xml:space="preserve">AND CERTAIN OF ITS SUBSIDIARIES, </w:t>
      </w:r>
    </w:p>
    <w:p>
      <w:pPr>
        <w:pStyle w:val="TextBody"/>
        <w:bidi w:val="0"/>
        <w:spacing w:before="0" w:after="0"/>
        <w:jc w:val="center"/>
        <w:rPr>
          <w:rFonts w:ascii="Times New Roman" w:hAnsi="Times New Roman"/>
          <w:b/>
          <w:sz w:val="24"/>
        </w:rPr>
      </w:pPr>
      <w:r>
        <w:rPr>
          <w:rFonts w:ascii="Times New Roman" w:hAnsi="Times New Roman"/>
          <w:b/>
          <w:sz w:val="24"/>
        </w:rPr>
        <w:t xml:space="preserve">AS THE BORROWERS; </w:t>
      </w:r>
    </w:p>
    <w:p>
      <w:pPr>
        <w:pStyle w:val="TextBody"/>
        <w:bidi w:val="0"/>
        <w:spacing w:before="240" w:after="0"/>
        <w:jc w:val="center"/>
        <w:rPr>
          <w:rFonts w:ascii="Times New Roman" w:hAnsi="Times New Roman"/>
          <w:b/>
          <w:sz w:val="24"/>
        </w:rPr>
      </w:pPr>
      <w:r>
        <w:rPr>
          <w:rFonts w:ascii="Times New Roman" w:hAnsi="Times New Roman"/>
          <w:b/>
          <w:sz w:val="24"/>
        </w:rPr>
        <w:t xml:space="preserve">TORONTO DOMINION (TEXAS) LLC </w:t>
      </w:r>
    </w:p>
    <w:p>
      <w:pPr>
        <w:pStyle w:val="TextBody"/>
        <w:bidi w:val="0"/>
        <w:spacing w:before="0" w:after="0"/>
        <w:jc w:val="center"/>
        <w:rPr>
          <w:rFonts w:ascii="Times New Roman" w:hAnsi="Times New Roman"/>
          <w:b/>
          <w:sz w:val="24"/>
        </w:rPr>
      </w:pPr>
      <w:r>
        <w:rPr>
          <w:rFonts w:ascii="Times New Roman" w:hAnsi="Times New Roman"/>
          <w:b/>
          <w:sz w:val="24"/>
        </w:rPr>
        <w:t xml:space="preserve">AS ADMINISTRATIVE AGENT FOR THE LENDERS; </w:t>
      </w:r>
    </w:p>
    <w:p>
      <w:pPr>
        <w:pStyle w:val="TextBody"/>
        <w:bidi w:val="0"/>
        <w:spacing w:before="240" w:after="0"/>
        <w:jc w:val="center"/>
        <w:rPr>
          <w:rFonts w:ascii="Times New Roman" w:hAnsi="Times New Roman"/>
          <w:b/>
          <w:sz w:val="24"/>
        </w:rPr>
      </w:pPr>
      <w:r>
        <w:rPr>
          <w:rFonts w:ascii="Times New Roman" w:hAnsi="Times New Roman"/>
          <w:b/>
          <w:sz w:val="24"/>
        </w:rPr>
        <w:t xml:space="preserve">THE FINANCIAL INSTITUTIONS PARTIES HERETO; </w:t>
      </w:r>
    </w:p>
    <w:p>
      <w:pPr>
        <w:pStyle w:val="TextBody"/>
        <w:bidi w:val="0"/>
        <w:spacing w:before="240" w:after="0"/>
        <w:jc w:val="center"/>
        <w:rPr>
          <w:rFonts w:ascii="Times New Roman" w:hAnsi="Times New Roman"/>
          <w:b/>
          <w:sz w:val="24"/>
        </w:rPr>
      </w:pPr>
      <w:r>
        <w:rPr>
          <w:rFonts w:ascii="Times New Roman" w:hAnsi="Times New Roman"/>
          <w:b/>
          <w:sz w:val="24"/>
        </w:rPr>
        <w:t xml:space="preserve">AND WITH </w:t>
      </w:r>
    </w:p>
    <w:p>
      <w:pPr>
        <w:pStyle w:val="TextBody"/>
        <w:bidi w:val="0"/>
        <w:spacing w:before="240" w:after="0"/>
        <w:jc w:val="center"/>
        <w:rPr>
          <w:rFonts w:ascii="Times New Roman" w:hAnsi="Times New Roman"/>
          <w:b/>
          <w:sz w:val="24"/>
        </w:rPr>
      </w:pPr>
      <w:r>
        <w:rPr>
          <w:rFonts w:ascii="Times New Roman" w:hAnsi="Times New Roman"/>
          <w:b/>
          <w:sz w:val="24"/>
        </w:rPr>
        <w:t xml:space="preserve">TD SECURITIES (USA), LLC, </w:t>
      </w:r>
    </w:p>
    <w:p>
      <w:pPr>
        <w:pStyle w:val="TextBody"/>
        <w:bidi w:val="0"/>
        <w:spacing w:before="0" w:after="0"/>
        <w:jc w:val="center"/>
        <w:rPr>
          <w:rFonts w:ascii="Times New Roman" w:hAnsi="Times New Roman"/>
          <w:b/>
          <w:sz w:val="24"/>
        </w:rPr>
      </w:pPr>
      <w:r>
        <w:rPr>
          <w:rFonts w:ascii="Times New Roman" w:hAnsi="Times New Roman"/>
          <w:b/>
          <w:sz w:val="24"/>
        </w:rPr>
        <w:t xml:space="preserve">MIZUHO BANK, LTD.,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BARCLAYS BANK PLC,</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BOFA SECURITIES, INC., </w:t>
      </w:r>
    </w:p>
    <w:p>
      <w:pPr>
        <w:pStyle w:val="TextBody"/>
        <w:bidi w:val="0"/>
        <w:spacing w:before="0" w:after="0"/>
        <w:jc w:val="center"/>
        <w:rPr>
          <w:rFonts w:ascii="Times New Roman" w:hAnsi="Times New Roman"/>
          <w:b/>
          <w:sz w:val="24"/>
        </w:rPr>
      </w:pPr>
      <w:r>
        <w:rPr>
          <w:rFonts w:ascii="Times New Roman" w:hAnsi="Times New Roman"/>
          <w:b/>
          <w:sz w:val="24"/>
        </w:rPr>
        <w:t xml:space="preserve">CITIBANK, N.A., </w:t>
      </w:r>
    </w:p>
    <w:p>
      <w:pPr>
        <w:pStyle w:val="TextBody"/>
        <w:bidi w:val="0"/>
        <w:spacing w:before="0" w:after="0"/>
        <w:jc w:val="center"/>
        <w:rPr>
          <w:rFonts w:ascii="Times New Roman" w:hAnsi="Times New Roman"/>
          <w:b/>
          <w:sz w:val="24"/>
        </w:rPr>
      </w:pPr>
      <w:r>
        <w:rPr>
          <w:rFonts w:ascii="Times New Roman" w:hAnsi="Times New Roman"/>
          <w:b/>
          <w:sz w:val="24"/>
        </w:rPr>
        <w:t>JPMORGAN CHASE BANK, N.A.</w:t>
      </w:r>
      <w:r>
        <w:rPr>
          <w:rFonts w:ascii="Times New Roman" w:hAnsi="Times New Roman"/>
          <w:b/>
          <w:color w:val="0000FF"/>
          <w:sz w:val="24"/>
          <w:u w:val="single"/>
          <w:bdr w:val="double" w:sz="2" w:space="1" w:color="000000"/>
        </w:rPr>
        <w:t>,</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RBC CAPITAL MARKETS</w:t>
      </w:r>
      <w:r>
        <w:rPr>
          <w:rFonts w:ascii="Times New Roman" w:hAnsi="Times New Roman"/>
          <w:b/>
          <w:color w:val="0000FF"/>
          <w:sz w:val="24"/>
          <w:u w:val="single"/>
          <w:bdr w:val="double" w:sz="2" w:space="1" w:color="000000"/>
        </w:rPr>
        <w:t>,1</w:t>
      </w:r>
      <w:r>
        <w:rPr>
          <w:rFonts w:ascii="Times New Roman" w:hAnsi="Times New Roman"/>
          <w:b/>
          <w:color w:val="0000FF"/>
          <w:sz w:val="24"/>
        </w:rPr>
        <w:t xml:space="preserve"> </w:t>
      </w:r>
    </w:p>
    <w:p>
      <w:pPr>
        <w:pStyle w:val="TextBody"/>
        <w:bidi w:val="0"/>
        <w:spacing w:before="0" w:after="0"/>
        <w:jc w:val="center"/>
        <w:rPr>
          <w:rFonts w:ascii="Times New Roman" w:hAnsi="Times New Roman"/>
          <w:b/>
          <w:sz w:val="24"/>
        </w:rPr>
      </w:pPr>
      <w:r>
        <w:rPr>
          <w:rFonts w:ascii="Times New Roman" w:hAnsi="Times New Roman"/>
          <w:b/>
          <w:color w:val="0000FF"/>
          <w:sz w:val="24"/>
          <w:u w:val="single"/>
          <w:bdr w:val="double" w:sz="2" w:space="1" w:color="000000"/>
        </w:rPr>
        <w:t>SUMITOMO MITSUI BANKING CORPORATION</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and </w:t>
      </w:r>
    </w:p>
    <w:p>
      <w:pPr>
        <w:pStyle w:val="TextBody"/>
        <w:bidi w:val="0"/>
        <w:spacing w:before="0" w:after="0"/>
        <w:jc w:val="center"/>
        <w:rPr>
          <w:rFonts w:ascii="Times New Roman" w:hAnsi="Times New Roman"/>
          <w:b/>
          <w:sz w:val="24"/>
        </w:rPr>
      </w:pPr>
      <w:r>
        <w:rPr>
          <w:rFonts w:ascii="Times New Roman" w:hAnsi="Times New Roman"/>
          <w:b/>
          <w:sz w:val="24"/>
        </w:rPr>
        <w:t xml:space="preserve">MORGAN STANLEY MUFG LOAN PARTNERS, LLC </w:t>
      </w:r>
    </w:p>
    <w:p>
      <w:pPr>
        <w:pStyle w:val="TextBody"/>
        <w:bidi w:val="0"/>
        <w:spacing w:before="0" w:after="0"/>
        <w:jc w:val="center"/>
        <w:rPr>
          <w:rFonts w:ascii="Times New Roman" w:hAnsi="Times New Roman"/>
          <w:b/>
          <w:sz w:val="24"/>
        </w:rPr>
      </w:pPr>
      <w:r>
        <w:rPr>
          <w:rFonts w:ascii="Times New Roman" w:hAnsi="Times New Roman"/>
          <w:b/>
          <w:sz w:val="24"/>
        </w:rPr>
        <w:t xml:space="preserve">AS JOINT LEAD ARRANGERS AND JOINT BOOKRUNNERS; </w:t>
      </w:r>
    </w:p>
    <w:p>
      <w:pPr>
        <w:pStyle w:val="TextBody"/>
        <w:bidi w:val="0"/>
        <w:spacing w:before="240" w:after="0"/>
        <w:jc w:val="center"/>
        <w:rPr>
          <w:rFonts w:ascii="Times New Roman" w:hAnsi="Times New Roman"/>
          <w:b/>
          <w:sz w:val="24"/>
        </w:rPr>
      </w:pPr>
      <w:r>
        <w:rPr>
          <w:rFonts w:ascii="Times New Roman" w:hAnsi="Times New Roman"/>
          <w:b/>
          <w:sz w:val="24"/>
        </w:rPr>
        <w:t xml:space="preserve">MIZUHO BANK, LTD. </w:t>
      </w:r>
    </w:p>
    <w:p>
      <w:pPr>
        <w:pStyle w:val="TextBody"/>
        <w:bidi w:val="0"/>
        <w:spacing w:before="0" w:after="0"/>
        <w:jc w:val="center"/>
        <w:rPr>
          <w:rFonts w:ascii="Times New Roman" w:hAnsi="Times New Roman"/>
          <w:b/>
          <w:sz w:val="24"/>
        </w:rPr>
      </w:pPr>
      <w:r>
        <w:rPr>
          <w:rFonts w:ascii="Times New Roman" w:hAnsi="Times New Roman"/>
          <w:b/>
          <w:sz w:val="24"/>
        </w:rPr>
        <w:t xml:space="preserve">AS SYNDICATION AGENT; </w:t>
      </w:r>
    </w:p>
    <w:p>
      <w:pPr>
        <w:pStyle w:val="TextBody"/>
        <w:bidi w:val="0"/>
        <w:spacing w:before="240" w:after="0"/>
        <w:jc w:val="center"/>
        <w:rPr>
          <w:rFonts w:ascii="Times New Roman" w:hAnsi="Times New Roman"/>
          <w:b/>
          <w:sz w:val="24"/>
        </w:rPr>
      </w:pPr>
      <w:r>
        <w:rPr>
          <w:rFonts w:ascii="Times New Roman" w:hAnsi="Times New Roman"/>
          <w:b/>
          <w:sz w:val="24"/>
        </w:rPr>
        <w:t xml:space="preserve">AND </w:t>
      </w:r>
    </w:p>
    <w:p>
      <w:pPr>
        <w:pStyle w:val="TextBody"/>
        <w:bidi w:val="0"/>
        <w:spacing w:before="240" w:after="0"/>
        <w:jc w:val="center"/>
        <w:rPr>
          <w:rFonts w:ascii="Times New Roman" w:hAnsi="Times New Roman"/>
          <w:b/>
          <w:sz w:val="24"/>
        </w:rPr>
      </w:pPr>
      <w:r>
        <w:rPr>
          <w:rFonts w:ascii="Times New Roman" w:hAnsi="Times New Roman"/>
          <w:b/>
          <w:strike/>
          <w:color w:val="FF0000"/>
          <w:sz w:val="24"/>
        </w:rPr>
        <w:t>BARCLAYS BANK PLC</w:t>
      </w:r>
      <w:r>
        <w:rPr>
          <w:rFonts w:ascii="Times New Roman" w:hAnsi="Times New Roman"/>
          <w:b/>
          <w:color w:val="0000FF"/>
          <w:sz w:val="24"/>
          <w:u w:val="single"/>
          <w:bdr w:val="double" w:sz="2" w:space="1" w:color="000000"/>
        </w:rPr>
        <w:t>SUMITOMO MITSUI BANKING CORPORATION</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BOFA SECURITIES, INC., </w:t>
      </w:r>
    </w:p>
    <w:p>
      <w:pPr>
        <w:pStyle w:val="TextBody"/>
        <w:bidi w:val="0"/>
        <w:spacing w:before="0" w:after="0"/>
        <w:jc w:val="center"/>
        <w:rPr>
          <w:rFonts w:ascii="Times New Roman" w:hAnsi="Times New Roman"/>
          <w:b/>
          <w:sz w:val="24"/>
        </w:rPr>
      </w:pPr>
      <w:r>
        <w:rPr>
          <w:rFonts w:ascii="Times New Roman" w:hAnsi="Times New Roman"/>
          <w:b/>
          <w:sz w:val="24"/>
        </w:rPr>
        <w:t xml:space="preserve">CITIBANK, N.A., </w:t>
      </w:r>
    </w:p>
    <w:p>
      <w:pPr>
        <w:pStyle w:val="TextBody"/>
        <w:bidi w:val="0"/>
        <w:spacing w:before="0" w:after="0"/>
        <w:jc w:val="center"/>
        <w:rPr>
          <w:rFonts w:ascii="Times New Roman" w:hAnsi="Times New Roman"/>
          <w:b/>
          <w:sz w:val="24"/>
        </w:rPr>
      </w:pPr>
      <w:r>
        <w:rPr>
          <w:rFonts w:ascii="Times New Roman" w:hAnsi="Times New Roman"/>
          <w:b/>
          <w:sz w:val="24"/>
        </w:rPr>
        <w:t xml:space="preserve">JPMORGAN CHASE BANK, N.A., </w:t>
      </w:r>
    </w:p>
    <w:p>
      <w:pPr>
        <w:pStyle w:val="TextBody"/>
        <w:bidi w:val="0"/>
        <w:spacing w:before="0" w:after="0"/>
        <w:jc w:val="center"/>
        <w:rPr>
          <w:rFonts w:ascii="Times New Roman" w:hAnsi="Times New Roman"/>
          <w:b/>
          <w:sz w:val="24"/>
        </w:rPr>
      </w:pPr>
      <w:r>
        <w:rPr>
          <w:rFonts w:ascii="Times New Roman" w:hAnsi="Times New Roman"/>
          <w:b/>
          <w:sz w:val="24"/>
        </w:rPr>
        <w:t xml:space="preserve">ROYAL BANK OF CANADA </w:t>
      </w:r>
    </w:p>
    <w:p>
      <w:pPr>
        <w:pStyle w:val="TextBody"/>
        <w:bidi w:val="0"/>
        <w:spacing w:before="0" w:after="0"/>
        <w:jc w:val="center"/>
        <w:rPr>
          <w:rFonts w:ascii="Times New Roman" w:hAnsi="Times New Roman"/>
          <w:b/>
          <w:sz w:val="24"/>
        </w:rPr>
      </w:pPr>
      <w:r>
        <w:rPr>
          <w:rFonts w:ascii="Times New Roman" w:hAnsi="Times New Roman"/>
          <w:b/>
          <w:sz w:val="24"/>
        </w:rPr>
        <w:t xml:space="preserve">and </w:t>
      </w:r>
    </w:p>
    <w:p>
      <w:pPr>
        <w:pStyle w:val="TextBody"/>
        <w:bidi w:val="0"/>
        <w:spacing w:before="0" w:after="0"/>
        <w:jc w:val="center"/>
        <w:rPr>
          <w:rFonts w:ascii="Times New Roman" w:hAnsi="Times New Roman"/>
          <w:b/>
          <w:sz w:val="24"/>
        </w:rPr>
      </w:pPr>
      <w:r>
        <w:rPr>
          <w:rFonts w:ascii="Times New Roman" w:hAnsi="Times New Roman"/>
          <w:b/>
          <w:sz w:val="24"/>
        </w:rPr>
        <w:t xml:space="preserve">MORGAN STANLEY MUFG LOAN PARTNERS, LLC </w:t>
      </w:r>
    </w:p>
    <w:p>
      <w:pPr>
        <w:pStyle w:val="TextBody"/>
        <w:bidi w:val="0"/>
        <w:spacing w:before="0" w:after="0"/>
        <w:jc w:val="center"/>
        <w:rPr>
          <w:rFonts w:ascii="Times New Roman" w:hAnsi="Times New Roman"/>
          <w:b/>
          <w:sz w:val="24"/>
        </w:rPr>
      </w:pPr>
      <w:r>
        <w:rPr>
          <w:rFonts w:ascii="Times New Roman" w:hAnsi="Times New Roman"/>
          <w:b/>
          <w:sz w:val="24"/>
        </w:rPr>
        <w:t xml:space="preserve">AS CO-DOCUMENTATION AGENTS.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3"/>
        <w:gridCol w:w="9992"/>
      </w:tblGrid>
      <w:tr>
        <w:trPr/>
        <w:tc>
          <w:tcPr>
            <w:tcW w:w="213" w:type="dxa"/>
            <w:tcBorders/>
          </w:tcPr>
          <w:p>
            <w:pPr>
              <w:pStyle w:val="TableContents"/>
              <w:bidi w:val="0"/>
              <w:spacing w:before="0" w:after="283"/>
              <w:jc w:val="left"/>
              <w:rPr/>
            </w:pPr>
            <w:r>
              <w:rPr/>
              <w:t>1 </w:t>
            </w:r>
          </w:p>
        </w:tc>
        <w:tc>
          <w:tcPr>
            <w:tcW w:w="99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brand name for the capital markets businesses of ROYAL BANK OF CANADA and its affiliates.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rPr>
      </w:pPr>
      <w:r>
        <w:rPr>
          <w:rFonts w:ascii="Times New Roman" w:hAnsi="Times New Roman"/>
          <w:b/>
          <w:sz w:val="24"/>
        </w:rPr>
        <w:t xml:space="preserve">Dated as of December 8, 2021, </w:t>
      </w:r>
    </w:p>
    <w:p>
      <w:pPr>
        <w:pStyle w:val="TextBody"/>
        <w:bidi w:val="0"/>
        <w:spacing w:before="240" w:after="0"/>
        <w:jc w:val="center"/>
        <w:rPr>
          <w:rFonts w:ascii="Times New Roman" w:hAnsi="Times New Roman"/>
          <w:b/>
          <w:sz w:val="24"/>
        </w:rPr>
      </w:pPr>
      <w:r>
        <w:rPr>
          <w:rFonts w:ascii="Times New Roman" w:hAnsi="Times New Roman"/>
          <w:b/>
          <w:sz w:val="24"/>
        </w:rPr>
        <w:t xml:space="preserve">as amended by Amendment No. 1, as of June 29, 2023, Amendment No. 2, dated as of June 27, 2024, </w:t>
      </w:r>
      <w:r>
        <w:rPr>
          <w:rFonts w:ascii="Times New Roman" w:hAnsi="Times New Roman"/>
          <w:b/>
          <w:strike/>
          <w:color w:val="FF0000"/>
          <w:sz w:val="24"/>
        </w:rPr>
        <w:t xml:space="preserve">and </w:t>
      </w:r>
      <w:r>
        <w:rPr>
          <w:rFonts w:ascii="Times New Roman" w:hAnsi="Times New Roman"/>
          <w:b/>
          <w:sz w:val="24"/>
        </w:rPr>
        <w:t xml:space="preserve">Amendment No. 3, dated as of January 28, 2025 </w:t>
      </w:r>
    </w:p>
    <w:p>
      <w:pPr>
        <w:pStyle w:val="TextBody"/>
        <w:bidi w:val="0"/>
        <w:spacing w:before="240" w:after="0"/>
        <w:jc w:val="center"/>
        <w:rPr>
          <w:rFonts w:ascii="Times New Roman" w:hAnsi="Times New Roman"/>
          <w:b/>
          <w:sz w:val="24"/>
        </w:rPr>
      </w:pPr>
      <w:r>
        <w:rPr>
          <w:rFonts w:ascii="Times New Roman" w:hAnsi="Times New Roman"/>
          <w:b/>
          <w:color w:val="0000FF"/>
          <w:sz w:val="24"/>
          <w:u w:val="single"/>
          <w:bdr w:val="double" w:sz="2" w:space="1" w:color="000000"/>
        </w:rPr>
        <w:t>and Amendment No. 4, dated as of May 7, 2026</w:t>
      </w:r>
      <w:r>
        <w:rPr>
          <w:rFonts w:ascii="Times New Roman" w:hAnsi="Times New Roman"/>
          <w:b/>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57"/>
        <w:gridCol w:w="197"/>
        <w:gridCol w:w="7224"/>
        <w:gridCol w:w="247"/>
        <w:gridCol w:w="96"/>
        <w:gridCol w:w="421"/>
        <w:gridCol w:w="63"/>
      </w:tblGrid>
      <w:tr>
        <w:trPr/>
        <w:tc>
          <w:tcPr>
            <w:tcW w:w="1957"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722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5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2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6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1 - DEFINITIONS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1.1</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Definitions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1.2</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Interpretation</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1.3</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Dutch Terms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1.4</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Cross References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1.5</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Accounting Provisions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1.6</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Letter of Credit Amounts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1.7</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Exchange Rates; Currency Equivalents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1.8</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Additional Alternative Currencies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1.9</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Divisions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1.10</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Rates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6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2 - LOANS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The Revolving Loans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2.2</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Manner of Advance and Disbursement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2.3</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Interest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2.4</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Commitment and Letter of Credit Fees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2.5</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Voluntary Commitment Reductions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2.6</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Prepayments and Repayments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2.7</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Notes; Loan Accounts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2.8</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Manner of Payment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2.9</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Reimbursement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2.10</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Pro Rata Treatment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2.11</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Capital Adequacy</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2.12</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Lender Tax Forms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2.13</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Letters of Credit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2.14</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Incremental Commitments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2.15</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Cash Collateral</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2.16</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Defaulting Lenders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2.17</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Swingline Loans</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2.18</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Maturity Date Extension</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60" w:hRule="atLeast"/>
        </w:trPr>
        <w:tc>
          <w:tcPr>
            <w:tcW w:w="9378" w:type="dxa"/>
            <w:gridSpan w:val="3"/>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937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3 - CONDITIONS PRECEDENT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60" w:hRule="atLeast"/>
        </w:trPr>
        <w:tc>
          <w:tcPr>
            <w:tcW w:w="1957" w:type="dxa"/>
            <w:tcBorders/>
            <w:vAlign w:val="center"/>
          </w:tcPr>
          <w:p>
            <w:pPr>
              <w:pStyle w:val="TableContents"/>
              <w:bidi w:val="0"/>
              <w:spacing w:before="0" w:after="283"/>
              <w:jc w:val="left"/>
              <w:rPr>
                <w:sz w:val="4"/>
                <w:szCs w:val="4"/>
              </w:rPr>
            </w:pPr>
            <w:r>
              <w:rPr>
                <w:sz w:val="4"/>
                <w:szCs w:val="4"/>
              </w:rPr>
            </w:r>
          </w:p>
        </w:tc>
        <w:tc>
          <w:tcPr>
            <w:tcW w:w="7421" w:type="dxa"/>
            <w:gridSpan w:val="2"/>
            <w:tcBorders/>
            <w:vAlign w:val="center"/>
          </w:tcPr>
          <w:p>
            <w:pPr>
              <w:pStyle w:val="TableContents"/>
              <w:bidi w:val="0"/>
              <w:spacing w:before="0" w:after="283"/>
              <w:jc w:val="left"/>
              <w:rPr>
                <w:sz w:val="4"/>
                <w:szCs w:val="4"/>
              </w:rPr>
            </w:pPr>
            <w:r>
              <w:rPr>
                <w:sz w:val="4"/>
                <w:szCs w:val="4"/>
              </w:rPr>
            </w:r>
          </w:p>
        </w:tc>
        <w:tc>
          <w:tcPr>
            <w:tcW w:w="827" w:type="dxa"/>
            <w:gridSpan w:val="4"/>
            <w:tcBorders/>
            <w:vAlign w:val="center"/>
          </w:tcPr>
          <w:p>
            <w:pPr>
              <w:pStyle w:val="TableContents"/>
              <w:bidi w:val="0"/>
              <w:spacing w:before="0" w:after="283"/>
              <w:jc w:val="left"/>
              <w:rPr>
                <w:sz w:val="4"/>
                <w:szCs w:val="4"/>
              </w:rPr>
            </w:pPr>
            <w:r>
              <w:rPr>
                <w:sz w:val="4"/>
                <w:szCs w:val="4"/>
              </w:rPr>
            </w:r>
          </w:p>
        </w:tc>
      </w:tr>
      <w:tr>
        <w:trPr/>
        <w:tc>
          <w:tcPr>
            <w:tcW w:w="1957" w:type="dxa"/>
            <w:tcBorders/>
          </w:tcPr>
          <w:p>
            <w:pPr>
              <w:pStyle w:val="TableContents"/>
              <w:bidi w:val="0"/>
              <w:spacing w:before="0" w:after="0"/>
              <w:jc w:val="left"/>
              <w:rPr>
                <w:rFonts w:ascii="Times New Roman" w:hAnsi="Times New Roman"/>
                <w:sz w:val="24"/>
              </w:rPr>
            </w:pPr>
            <w:r>
              <w:rPr>
                <w:rFonts w:ascii="Times New Roman" w:hAnsi="Times New Roman"/>
                <w:sz w:val="24"/>
              </w:rPr>
              <w:t>Section 3.1</w:t>
            </w:r>
          </w:p>
        </w:tc>
        <w:tc>
          <w:tcPr>
            <w:tcW w:w="197" w:type="dxa"/>
            <w:tcBorders/>
            <w:vAlign w:val="bottom"/>
          </w:tcPr>
          <w:p>
            <w:pPr>
              <w:pStyle w:val="TableContents"/>
              <w:bidi w:val="0"/>
              <w:spacing w:before="0" w:after="283"/>
              <w:jc w:val="left"/>
              <w:rPr/>
            </w:pPr>
            <w:r>
              <w:rPr/>
              <w:t> </w:t>
            </w:r>
          </w:p>
        </w:tc>
        <w:tc>
          <w:tcPr>
            <w:tcW w:w="7224" w:type="dxa"/>
            <w:tcBorders/>
          </w:tcPr>
          <w:p>
            <w:pPr>
              <w:pStyle w:val="TableContents"/>
              <w:bidi w:val="0"/>
              <w:spacing w:before="0" w:after="0"/>
              <w:jc w:val="left"/>
              <w:rPr>
                <w:rFonts w:ascii="Times New Roman" w:hAnsi="Times New Roman"/>
                <w:sz w:val="24"/>
              </w:rPr>
            </w:pPr>
            <w:r>
              <w:rPr>
                <w:rFonts w:ascii="Times New Roman" w:hAnsi="Times New Roman"/>
                <w:sz w:val="24"/>
              </w:rPr>
              <w:t>Conditions Precedent to Effectiveness of this Agreement</w:t>
            </w:r>
          </w:p>
        </w:tc>
        <w:tc>
          <w:tcPr>
            <w:tcW w:w="24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49"/>
        <w:gridCol w:w="109"/>
        <w:gridCol w:w="7935"/>
        <w:gridCol w:w="127"/>
        <w:gridCol w:w="60"/>
        <w:gridCol w:w="261"/>
        <w:gridCol w:w="64"/>
      </w:tblGrid>
      <w:tr>
        <w:trPr/>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93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3.2</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Conditions Precedent to Initial Advance to Each Subsidiary Borrower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3.3</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Conditions Precedent to Each Advance (Other than a Certain Funds Advance)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3.4</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Conditions Precedent to Issuance of Letters of Credit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3.5</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Conditions Precedent to Certain Funds Advance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60" w:hRule="atLeast"/>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4 - REPRESENTATIONS AND WARRANTIES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60" w:hRule="atLeast"/>
        </w:trPr>
        <w:tc>
          <w:tcPr>
            <w:tcW w:w="1649" w:type="dxa"/>
            <w:tcBorders/>
            <w:vAlign w:val="center"/>
          </w:tcPr>
          <w:p>
            <w:pPr>
              <w:pStyle w:val="TableContents"/>
              <w:bidi w:val="0"/>
              <w:spacing w:before="0" w:after="283"/>
              <w:jc w:val="left"/>
              <w:rPr>
                <w:sz w:val="4"/>
                <w:szCs w:val="4"/>
              </w:rPr>
            </w:pPr>
            <w:r>
              <w:rPr>
                <w:sz w:val="4"/>
                <w:szCs w:val="4"/>
              </w:rPr>
            </w:r>
          </w:p>
        </w:tc>
        <w:tc>
          <w:tcPr>
            <w:tcW w:w="8044" w:type="dxa"/>
            <w:gridSpan w:val="2"/>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4.1</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Representations and Warranties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4.2</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Survival of Representations and Warranties, Etc.</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60" w:hRule="atLeast"/>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5 - GENERAL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60" w:hRule="atLeast"/>
        </w:trPr>
        <w:tc>
          <w:tcPr>
            <w:tcW w:w="1649" w:type="dxa"/>
            <w:tcBorders/>
            <w:vAlign w:val="center"/>
          </w:tcPr>
          <w:p>
            <w:pPr>
              <w:pStyle w:val="TableContents"/>
              <w:bidi w:val="0"/>
              <w:spacing w:before="0" w:after="283"/>
              <w:jc w:val="left"/>
              <w:rPr>
                <w:sz w:val="4"/>
                <w:szCs w:val="4"/>
              </w:rPr>
            </w:pPr>
            <w:r>
              <w:rPr>
                <w:sz w:val="4"/>
                <w:szCs w:val="4"/>
              </w:rPr>
            </w:r>
          </w:p>
        </w:tc>
        <w:tc>
          <w:tcPr>
            <w:tcW w:w="8044" w:type="dxa"/>
            <w:gridSpan w:val="2"/>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5.1</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Preservation of Existence and Similar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5.2</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Compliance with Applicable Law</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5.3</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Maintenance of Properties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5.4</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Accounting Methods and Financial Records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5.5</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5.6</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Payment of Taxes and Claims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5.7</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Visits and Inspections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5.8</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Use of Proceeds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5.9</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Maintenance of REIT Status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5.10</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Senior Credit Facility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60" w:hRule="atLeast"/>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6 - INFORMATION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60" w:hRule="atLeast"/>
        </w:trPr>
        <w:tc>
          <w:tcPr>
            <w:tcW w:w="1649" w:type="dxa"/>
            <w:tcBorders/>
            <w:vAlign w:val="center"/>
          </w:tcPr>
          <w:p>
            <w:pPr>
              <w:pStyle w:val="TableContents"/>
              <w:bidi w:val="0"/>
              <w:spacing w:before="0" w:after="283"/>
              <w:jc w:val="left"/>
              <w:rPr>
                <w:sz w:val="4"/>
                <w:szCs w:val="4"/>
              </w:rPr>
            </w:pPr>
            <w:r>
              <w:rPr>
                <w:sz w:val="4"/>
                <w:szCs w:val="4"/>
              </w:rPr>
            </w:r>
          </w:p>
        </w:tc>
        <w:tc>
          <w:tcPr>
            <w:tcW w:w="8044" w:type="dxa"/>
            <w:gridSpan w:val="2"/>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6.1</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Quarterly Financial Statements and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6.2</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Annual Financial Statements and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6.3</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Performance Certificates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6.4</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Copies of Other Reports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6.5</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Notice of Litigation and Other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6.6</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Certain Electronic Delivery; Public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6.7</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Know Your Customer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6.8</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Additional Requested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rHeight w:val="60" w:hRule="atLeast"/>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7 - NEGATIVE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rHeight w:val="60" w:hRule="atLeast"/>
        </w:trPr>
        <w:tc>
          <w:tcPr>
            <w:tcW w:w="1649" w:type="dxa"/>
            <w:tcBorders/>
            <w:vAlign w:val="center"/>
          </w:tcPr>
          <w:p>
            <w:pPr>
              <w:pStyle w:val="TableContents"/>
              <w:bidi w:val="0"/>
              <w:spacing w:before="0" w:after="283"/>
              <w:jc w:val="left"/>
              <w:rPr>
                <w:sz w:val="4"/>
                <w:szCs w:val="4"/>
              </w:rPr>
            </w:pPr>
            <w:r>
              <w:rPr>
                <w:sz w:val="4"/>
                <w:szCs w:val="4"/>
              </w:rPr>
            </w:r>
          </w:p>
        </w:tc>
        <w:tc>
          <w:tcPr>
            <w:tcW w:w="8044" w:type="dxa"/>
            <w:gridSpan w:val="2"/>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7.1</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Indebtedness; Guaranties of the Company and itsCompany’s Subsidiaries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7.2</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Limitation on Liens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7.3</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Liquidation, Merger or Disposition of Assets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7.4</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Restricted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7.5</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Senior Secured Leverage Ratio[Reserved]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649" w:type="dxa"/>
            <w:tcBorders/>
          </w:tcPr>
          <w:p>
            <w:pPr>
              <w:pStyle w:val="TableContents"/>
              <w:bidi w:val="0"/>
              <w:spacing w:before="0" w:after="0"/>
              <w:jc w:val="left"/>
              <w:rPr>
                <w:rFonts w:ascii="Times New Roman" w:hAnsi="Times New Roman"/>
                <w:sz w:val="24"/>
              </w:rPr>
            </w:pPr>
            <w:r>
              <w:rPr>
                <w:rFonts w:ascii="Times New Roman" w:hAnsi="Times New Roman"/>
                <w:sz w:val="24"/>
              </w:rPr>
              <w:t>Section 7.6</w:t>
            </w:r>
          </w:p>
        </w:tc>
        <w:tc>
          <w:tcPr>
            <w:tcW w:w="109" w:type="dxa"/>
            <w:tcBorders/>
            <w:vAlign w:val="bottom"/>
          </w:tcPr>
          <w:p>
            <w:pPr>
              <w:pStyle w:val="TableContents"/>
              <w:bidi w:val="0"/>
              <w:spacing w:before="0" w:after="283"/>
              <w:jc w:val="left"/>
              <w:rPr/>
            </w:pPr>
            <w:r>
              <w:rPr/>
              <w:t> </w:t>
            </w:r>
          </w:p>
        </w:tc>
        <w:tc>
          <w:tcPr>
            <w:tcW w:w="7935" w:type="dxa"/>
            <w:tcBorders/>
          </w:tcPr>
          <w:p>
            <w:pPr>
              <w:pStyle w:val="TableContents"/>
              <w:bidi w:val="0"/>
              <w:spacing w:before="0" w:after="0"/>
              <w:jc w:val="left"/>
              <w:rPr>
                <w:rFonts w:ascii="Times New Roman" w:hAnsi="Times New Roman"/>
                <w:sz w:val="24"/>
              </w:rPr>
            </w:pPr>
            <w:r>
              <w:rPr>
                <w:rFonts w:ascii="Times New Roman" w:hAnsi="Times New Roman"/>
                <w:sz w:val="24"/>
              </w:rPr>
              <w:t>Total Company Leverage Ratio</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33"/>
        <w:gridCol w:w="115"/>
        <w:gridCol w:w="7600"/>
        <w:gridCol w:w="150"/>
        <w:gridCol w:w="60"/>
        <w:gridCol w:w="383"/>
        <w:gridCol w:w="64"/>
      </w:tblGrid>
      <w:tr>
        <w:trPr/>
        <w:tc>
          <w:tcPr>
            <w:tcW w:w="183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60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7.7</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7.8</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Affiliate Transactions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7.9</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Restrictive Agreements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7.10</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Use of Proceeds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6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8 - DEFAULT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8.1</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Events of Default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8.2</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Remedies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8.3</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Payments Subsequent to Declaration of Event of Default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6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9 - THE ADMINISTRATIVE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9.1</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Appointment and Authorization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9.2</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Rights as a Lender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9.3</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Exculpatory Provisions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9.4</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Reliance by Administrative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9.5</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Resignation of Administrative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9.6</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Non-Reliance on Administrative Agent and Other Lenders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9.7</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Indemnification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9.8</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No Responsibilities of the Agents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9.9</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Lender ERISA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9.10</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Erroneous Payments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rHeight w:val="6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10 - CHANGES IN CIRCUMSTANCES AFFECTING TERM RATE ADVANCES AND INCREASED COSTS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10.1</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Interest Rate Basis Determination Inadequate or Unfair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10.2</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Illegality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10.3</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Increased Costs and Additional Amounts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10.4</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Effect On Other Advances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10.5</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Claims for Increased Costs and Taxes; Replacement Lenders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6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11 - GUARANTY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11.1</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Unconditional Guaranty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11.2</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Guaranty Absolute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11.3</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Waivers and Acknowledgments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11.4</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Subrogation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11.5</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Subordination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11.6</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Continuing Guaranty; Assignments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rHeight w:val="60"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12 - MISCELLANEOUS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rHeight w:val="60" w:hRule="atLeast"/>
        </w:trPr>
        <w:tc>
          <w:tcPr>
            <w:tcW w:w="1833" w:type="dxa"/>
            <w:tcBorders/>
            <w:vAlign w:val="center"/>
          </w:tcPr>
          <w:p>
            <w:pPr>
              <w:pStyle w:val="TableContents"/>
              <w:bidi w:val="0"/>
              <w:spacing w:before="0" w:after="283"/>
              <w:jc w:val="left"/>
              <w:rPr>
                <w:sz w:val="4"/>
                <w:szCs w:val="4"/>
              </w:rPr>
            </w:pPr>
            <w:r>
              <w:rPr>
                <w:sz w:val="4"/>
                <w:szCs w:val="4"/>
              </w:rPr>
            </w:r>
          </w:p>
        </w:tc>
        <w:tc>
          <w:tcPr>
            <w:tcW w:w="7715"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833" w:type="dxa"/>
            <w:tcBorders/>
          </w:tcPr>
          <w:p>
            <w:pPr>
              <w:pStyle w:val="TableContents"/>
              <w:bidi w:val="0"/>
              <w:spacing w:before="0" w:after="0"/>
              <w:jc w:val="left"/>
              <w:rPr>
                <w:rFonts w:ascii="Times New Roman" w:hAnsi="Times New Roman"/>
                <w:sz w:val="24"/>
              </w:rPr>
            </w:pPr>
            <w:r>
              <w:rPr>
                <w:rFonts w:ascii="Times New Roman" w:hAnsi="Times New Roman"/>
                <w:sz w:val="24"/>
              </w:rPr>
              <w:t>Section 12.1</w:t>
            </w:r>
          </w:p>
        </w:tc>
        <w:tc>
          <w:tcPr>
            <w:tcW w:w="115" w:type="dxa"/>
            <w:tcBorders/>
            <w:vAlign w:val="bottom"/>
          </w:tcPr>
          <w:p>
            <w:pPr>
              <w:pStyle w:val="TableContents"/>
              <w:bidi w:val="0"/>
              <w:spacing w:before="0" w:after="283"/>
              <w:jc w:val="left"/>
              <w:rPr/>
            </w:pPr>
            <w:r>
              <w:rPr/>
              <w:t> </w:t>
            </w:r>
          </w:p>
        </w:tc>
        <w:tc>
          <w:tcPr>
            <w:tcW w:w="7600" w:type="dxa"/>
            <w:tcBorders/>
          </w:tcPr>
          <w:p>
            <w:pPr>
              <w:pStyle w:val="TableContents"/>
              <w:bidi w:val="0"/>
              <w:spacing w:before="0" w:after="0"/>
              <w:jc w:val="left"/>
              <w:rPr>
                <w:rFonts w:ascii="Times New Roman" w:hAnsi="Times New Roman"/>
                <w:sz w:val="24"/>
              </w:rPr>
            </w:pPr>
            <w:r>
              <w:rPr>
                <w:rFonts w:ascii="Times New Roman" w:hAnsi="Times New Roman"/>
                <w:sz w:val="24"/>
              </w:rPr>
              <w:t>Notices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90"/>
        <w:gridCol w:w="114"/>
        <w:gridCol w:w="7548"/>
        <w:gridCol w:w="149"/>
        <w:gridCol w:w="60"/>
        <w:gridCol w:w="380"/>
        <w:gridCol w:w="64"/>
      </w:tblGrid>
      <w:tr>
        <w:trPr/>
        <w:tc>
          <w:tcPr>
            <w:tcW w:w="189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548"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12.2</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Expenses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12.3</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Waivers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12.4</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Assignment and Participation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12.5</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Indemnity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12.6</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Subsidiary Borrowers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12.7</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Counterparts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12.8</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Governing Law; Jurisdiction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12.9</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Severability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12.10</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Interest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12.11</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Table of Contents and Headings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12.12</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Amendment and Waiver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12.13</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Power of Attorney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12.14</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Entire Agreement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12.15</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Other Relationships; No Fiduciary Relationships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12.16</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Directly or Indirectly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12.17</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Reliance on and Survival of Various Provisions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12.18</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Senior Debt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12.19</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Obligations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12.20</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Confidentiality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12.21</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Judgment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12.22</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Substitution of Currency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12.23</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Right of Set-off</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12.24</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Acknowledgement and Consent to Bail-In of Affected Financial Institutions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12.25</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USA Patriot Act and Beneficial Ownership Regulation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rHeight w:val="60" w:hRule="atLeast"/>
        </w:trPr>
        <w:tc>
          <w:tcPr>
            <w:tcW w:w="9552" w:type="dxa"/>
            <w:gridSpan w:val="3"/>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9552" w:type="dxa"/>
            <w:gridSpan w:val="3"/>
            <w:tcBorders/>
          </w:tcPr>
          <w:p>
            <w:pPr>
              <w:pStyle w:val="TableContents"/>
              <w:bidi w:val="0"/>
              <w:spacing w:before="0" w:after="0"/>
              <w:jc w:val="both"/>
              <w:rPr>
                <w:rFonts w:ascii="Times New Roman" w:hAnsi="Times New Roman"/>
                <w:sz w:val="24"/>
              </w:rPr>
            </w:pPr>
            <w:r>
              <w:rPr>
                <w:rFonts w:ascii="Times New Roman" w:hAnsi="Times New Roman"/>
                <w:sz w:val="24"/>
              </w:rPr>
              <w:t>Article 13 - WAIVER OF JURY TRIAL</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rHeight w:val="60" w:hRule="atLeast"/>
        </w:trPr>
        <w:tc>
          <w:tcPr>
            <w:tcW w:w="1890" w:type="dxa"/>
            <w:tcBorders/>
            <w:vAlign w:val="center"/>
          </w:tcPr>
          <w:p>
            <w:pPr>
              <w:pStyle w:val="TableContents"/>
              <w:bidi w:val="0"/>
              <w:spacing w:before="0" w:after="283"/>
              <w:jc w:val="left"/>
              <w:rPr>
                <w:sz w:val="4"/>
                <w:szCs w:val="4"/>
              </w:rPr>
            </w:pPr>
            <w:r>
              <w:rPr>
                <w:sz w:val="4"/>
                <w:szCs w:val="4"/>
              </w:rPr>
            </w:r>
          </w:p>
        </w:tc>
        <w:tc>
          <w:tcPr>
            <w:tcW w:w="7662"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90" w:type="dxa"/>
            <w:tcBorders/>
          </w:tcPr>
          <w:p>
            <w:pPr>
              <w:pStyle w:val="TableContents"/>
              <w:bidi w:val="0"/>
              <w:spacing w:before="0" w:after="0"/>
              <w:jc w:val="left"/>
              <w:rPr>
                <w:rFonts w:ascii="Times New Roman" w:hAnsi="Times New Roman"/>
                <w:sz w:val="24"/>
              </w:rPr>
            </w:pPr>
            <w:r>
              <w:rPr>
                <w:rFonts w:ascii="Times New Roman" w:hAnsi="Times New Roman"/>
                <w:sz w:val="24"/>
              </w:rPr>
              <w:t>Section 13.1</w:t>
            </w:r>
          </w:p>
        </w:tc>
        <w:tc>
          <w:tcPr>
            <w:tcW w:w="114"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4"/>
              </w:rPr>
            </w:pPr>
            <w:r>
              <w:rPr>
                <w:rFonts w:ascii="Times New Roman" w:hAnsi="Times New Roman"/>
                <w:sz w:val="24"/>
              </w:rPr>
              <w:t>Waiver of Jury Trial</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7"/>
        <w:gridCol w:w="123"/>
        <w:gridCol w:w="8785"/>
      </w:tblGrid>
      <w:tr>
        <w:trPr/>
        <w:tc>
          <w:tcPr>
            <w:tcW w:w="12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785" w:type="dxa"/>
            <w:tcBorders/>
            <w:vAlign w:val="center"/>
          </w:tcPr>
          <w:p>
            <w:pPr>
              <w:pStyle w:val="TableContents"/>
              <w:bidi w:val="0"/>
              <w:spacing w:before="0" w:after="283"/>
              <w:jc w:val="left"/>
              <w:rPr>
                <w:sz w:val="4"/>
                <w:szCs w:val="4"/>
              </w:rPr>
            </w:pPr>
            <w:r>
              <w:rPr>
                <w:sz w:val="4"/>
                <w:szCs w:val="4"/>
              </w:rPr>
            </w:r>
          </w:p>
        </w:tc>
      </w:tr>
      <w:tr>
        <w:trPr/>
        <w:tc>
          <w:tcPr>
            <w:tcW w:w="1297"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Schedule 1</w:t>
            </w:r>
          </w:p>
        </w:tc>
        <w:tc>
          <w:tcPr>
            <w:tcW w:w="123"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Commitments; Commitment Ratios</w:t>
            </w:r>
          </w:p>
        </w:tc>
      </w:tr>
      <w:tr>
        <w:trPr/>
        <w:tc>
          <w:tcPr>
            <w:tcW w:w="1297"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Schedule 2</w:t>
            </w:r>
          </w:p>
        </w:tc>
        <w:tc>
          <w:tcPr>
            <w:tcW w:w="123"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Existing Letters of Credit</w:t>
            </w:r>
          </w:p>
        </w:tc>
      </w:tr>
      <w:tr>
        <w:trPr/>
        <w:tc>
          <w:tcPr>
            <w:tcW w:w="1297"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Schedule 3</w:t>
            </w:r>
          </w:p>
        </w:tc>
        <w:tc>
          <w:tcPr>
            <w:tcW w:w="123"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Existing ABS Facilities</w:t>
            </w:r>
          </w:p>
        </w:tc>
      </w:tr>
      <w:tr>
        <w:trPr/>
        <w:tc>
          <w:tcPr>
            <w:tcW w:w="1297"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Schedule 4</w:t>
            </w:r>
          </w:p>
        </w:tc>
        <w:tc>
          <w:tcPr>
            <w:tcW w:w="123"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Subsidiaries on the Effective Date</w:t>
            </w:r>
          </w:p>
        </w:tc>
      </w:tr>
      <w:tr>
        <w:trPr/>
        <w:tc>
          <w:tcPr>
            <w:tcW w:w="1297"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Schedule 5</w:t>
            </w:r>
          </w:p>
        </w:tc>
        <w:tc>
          <w:tcPr>
            <w:tcW w:w="123" w:type="dxa"/>
            <w:tcBorders/>
            <w:vAlign w:val="bottom"/>
          </w:tcPr>
          <w:p>
            <w:pPr>
              <w:pStyle w:val="TableContents"/>
              <w:bidi w:val="0"/>
              <w:spacing w:before="0" w:after="283"/>
              <w:jc w:val="left"/>
              <w:rPr/>
            </w:pPr>
            <w:r>
              <w:rPr/>
              <w:t>  </w:t>
            </w:r>
          </w:p>
        </w:tc>
        <w:tc>
          <w:tcPr>
            <w:tcW w:w="878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Administrative Agent’s Office, Certain Notice Addresses</w:t>
            </w:r>
          </w:p>
        </w:tc>
      </w:tr>
    </w:tbl>
    <w:p>
      <w:pPr>
        <w:pStyle w:val="TextBody"/>
        <w:bidi w:val="0"/>
        <w:spacing w:before="480" w:after="0"/>
        <w:jc w:val="center"/>
        <w:rPr>
          <w:rFonts w:ascii="Times New Roman" w:hAnsi="Times New Roman"/>
          <w:b/>
          <w:sz w:val="24"/>
        </w:rPr>
      </w:pPr>
      <w:r>
        <w:rPr>
          <w:rFonts w:ascii="Times New Roman" w:hAnsi="Times New Roman"/>
          <w:b/>
          <w:sz w:val="24"/>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9"/>
        <w:gridCol w:w="124"/>
        <w:gridCol w:w="8852"/>
      </w:tblGrid>
      <w:tr>
        <w:trPr/>
        <w:tc>
          <w:tcPr>
            <w:tcW w:w="122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852"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A</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Request for Advance</w:t>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B</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trike/>
                <w:color w:val="FF0000"/>
                <w:sz w:val="24"/>
              </w:rPr>
              <w:t>[RESERVED]</w:t>
            </w:r>
            <w:r>
              <w:rPr>
                <w:rFonts w:ascii="Times New Roman" w:hAnsi="Times New Roman"/>
                <w:color w:val="0000FF"/>
                <w:sz w:val="24"/>
                <w:u w:val="single"/>
                <w:bdr w:val="double" w:sz="2" w:space="1" w:color="000000"/>
              </w:rPr>
              <w:t>Form of Solvency Certificate</w:t>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C</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Revolving Loan Note</w:t>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D</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Loan Certificate</w:t>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E</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Performance Certificate</w:t>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F</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Assignment and Assumption</w:t>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G</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Swingline Loan Notice</w:t>
            </w:r>
          </w:p>
        </w:tc>
      </w:tr>
      <w:tr>
        <w:trPr/>
        <w:tc>
          <w:tcPr>
            <w:tcW w:w="122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Exhibit H</w:t>
            </w:r>
          </w:p>
        </w:tc>
        <w:tc>
          <w:tcPr>
            <w:tcW w:w="124" w:type="dxa"/>
            <w:tcBorders/>
            <w:vAlign w:val="bottom"/>
          </w:tcPr>
          <w:p>
            <w:pPr>
              <w:pStyle w:val="TableContents"/>
              <w:bidi w:val="0"/>
              <w:spacing w:before="0" w:after="283"/>
              <w:jc w:val="left"/>
              <w:rPr/>
            </w:pPr>
            <w:r>
              <w:rPr/>
              <w:t>  </w:t>
            </w:r>
          </w:p>
        </w:tc>
        <w:tc>
          <w:tcPr>
            <w:tcW w:w="8852"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Designation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u w:val="single"/>
        </w:rPr>
      </w:pPr>
      <w:r>
        <w:rPr>
          <w:rFonts w:ascii="Times New Roman" w:hAnsi="Times New Roman"/>
          <w:b/>
          <w:sz w:val="24"/>
          <w:u w:val="single"/>
        </w:rPr>
        <w:t xml:space="preserve">THIRD AMENDED AND RESTATED MULTICURRENCY REVOLVING CREDIT AGREEMENT </w:t>
      </w:r>
    </w:p>
    <w:p>
      <w:pPr>
        <w:pStyle w:val="TextBody"/>
        <w:bidi w:val="0"/>
        <w:spacing w:before="240" w:after="0"/>
        <w:jc w:val="both"/>
        <w:rPr>
          <w:rFonts w:ascii="Times New Roman" w:hAnsi="Times New Roman"/>
          <w:sz w:val="24"/>
        </w:rPr>
      </w:pPr>
      <w:r>
        <w:rPr>
          <w:rFonts w:ascii="Times New Roman" w:hAnsi="Times New Roman"/>
          <w:sz w:val="24"/>
        </w:rPr>
        <w:t xml:space="preserve">This Third Amended And Restated Multicurrency Revolving Credit Agreement is made as of December 8, 2021, by and among </w:t>
      </w:r>
      <w:r>
        <w:rPr>
          <w:rFonts w:ascii="Times New Roman" w:hAnsi="Times New Roman"/>
          <w:b/>
          <w:sz w:val="24"/>
        </w:rPr>
        <w:t>AMERICAN TOWER CORPORATION</w:t>
      </w:r>
      <w:r>
        <w:rPr>
          <w:rFonts w:ascii="Times New Roman" w:hAnsi="Times New Roman"/>
          <w:sz w:val="24"/>
        </w:rPr>
        <w:t>, a Delaware corporation (the “</w:t>
      </w:r>
      <w:r>
        <w:rPr>
          <w:rFonts w:ascii="Times New Roman" w:hAnsi="Times New Roman"/>
          <w:sz w:val="24"/>
          <w:u w:val="single"/>
        </w:rPr>
        <w:t>Company</w:t>
      </w:r>
      <w:r>
        <w:rPr>
          <w:rFonts w:ascii="Times New Roman" w:hAnsi="Times New Roman"/>
          <w:sz w:val="24"/>
        </w:rPr>
        <w:t xml:space="preserve">”), as a Borrower, </w:t>
      </w:r>
      <w:r>
        <w:rPr>
          <w:rFonts w:ascii="Times New Roman" w:hAnsi="Times New Roman"/>
          <w:strike/>
          <w:color w:val="FF0000"/>
          <w:sz w:val="24"/>
        </w:rPr>
        <w:t>the</w:t>
      </w:r>
      <w:r>
        <w:rPr>
          <w:rFonts w:ascii="Times New Roman" w:hAnsi="Times New Roman"/>
          <w:color w:val="0000FF"/>
          <w:sz w:val="24"/>
          <w:u w:val="single"/>
          <w:bdr w:val="double" w:sz="2" w:space="1" w:color="000000"/>
        </w:rPr>
        <w:t>ATC INTERNATIONAL FINANCING II B.V. (the “Dutch Borrower”), as a Subsidiary Borrower, the other</w:t>
      </w:r>
      <w:r>
        <w:rPr>
          <w:rFonts w:ascii="Times New Roman" w:hAnsi="Times New Roman"/>
          <w:sz w:val="24"/>
        </w:rPr>
        <w:t xml:space="preserve"> Subsidiary Borrowers (as defined herein), </w:t>
      </w:r>
      <w:r>
        <w:rPr>
          <w:rFonts w:ascii="Times New Roman" w:hAnsi="Times New Roman"/>
          <w:b/>
          <w:sz w:val="24"/>
        </w:rPr>
        <w:t>TORONTO DOMINION (TEXAS) LLC</w:t>
      </w:r>
      <w:r>
        <w:rPr>
          <w:rFonts w:ascii="Times New Roman" w:hAnsi="Times New Roman"/>
          <w:sz w:val="24"/>
        </w:rPr>
        <w:t xml:space="preserve">, as Administrative Agent, and the financial institutions parties hereto (together with any permitted successors and assigns of the foregoing). </w:t>
      </w:r>
    </w:p>
    <w:p>
      <w:pPr>
        <w:pStyle w:val="TextBody"/>
        <w:bidi w:val="0"/>
        <w:spacing w:before="240" w:after="0"/>
        <w:jc w:val="both"/>
        <w:rPr>
          <w:rFonts w:ascii="Times New Roman" w:hAnsi="Times New Roman"/>
          <w:sz w:val="24"/>
        </w:rPr>
      </w:pPr>
      <w:r>
        <w:rPr>
          <w:rFonts w:ascii="Times New Roman" w:hAnsi="Times New Roman"/>
          <w:b/>
          <w:sz w:val="24"/>
        </w:rPr>
        <w:t>NOW, THEREFORE</w:t>
      </w:r>
      <w:r>
        <w:rPr>
          <w:rFonts w:ascii="Times New Roman" w:hAnsi="Times New Roman"/>
          <w:sz w:val="24"/>
        </w:rPr>
        <w:t xml:space="preserve">, for good and valuable consideration, the receipt and sufficiency of which are hereby acknowledged by each of the parties hereto, the parties hereby agree as follows: </w:t>
      </w:r>
    </w:p>
    <w:p>
      <w:pPr>
        <w:pStyle w:val="TextBody"/>
        <w:bidi w:val="0"/>
        <w:spacing w:before="240" w:after="0"/>
        <w:jc w:val="center"/>
        <w:rPr>
          <w:rFonts w:ascii="Times New Roman" w:hAnsi="Times New Roman"/>
          <w:sz w:val="24"/>
        </w:rPr>
      </w:pPr>
      <w:r>
        <w:rPr>
          <w:rFonts w:ascii="Times New Roman" w:hAnsi="Times New Roman"/>
          <w:sz w:val="24"/>
        </w:rPr>
        <w:t xml:space="preserve">ARTICLE 1 - DEFINITIONS </w:t>
      </w:r>
    </w:p>
    <w:p>
      <w:pPr>
        <w:pStyle w:val="TextBody"/>
        <w:bidi w:val="0"/>
        <w:spacing w:before="240" w:after="0"/>
        <w:jc w:val="both"/>
        <w:rPr>
          <w:rFonts w:ascii="Times New Roman" w:hAnsi="Times New Roman"/>
          <w:sz w:val="24"/>
        </w:rPr>
      </w:pPr>
      <w:r>
        <w:rPr>
          <w:rFonts w:ascii="Times New Roman" w:hAnsi="Times New Roman"/>
          <w:sz w:val="24"/>
        </w:rPr>
        <w:t>Section 1.1 </w:t>
      </w:r>
      <w:r>
        <w:rPr>
          <w:rFonts w:ascii="Times New Roman" w:hAnsi="Times New Roman"/>
          <w:sz w:val="24"/>
          <w:u w:val="single"/>
        </w:rPr>
        <w:t>Definitions</w:t>
      </w:r>
      <w:r>
        <w:rPr>
          <w:rFonts w:ascii="Times New Roman" w:hAnsi="Times New Roman"/>
          <w:sz w:val="24"/>
        </w:rPr>
        <w:t xml:space="preserve">. For the purposes of this Agreement: </w:t>
      </w:r>
    </w:p>
    <w:p>
      <w:pPr>
        <w:pStyle w:val="TextBody"/>
        <w:bidi w:val="0"/>
        <w:spacing w:before="240" w:after="0"/>
        <w:jc w:val="both"/>
        <w:rPr/>
      </w:pPr>
      <w:r>
        <w:rPr/>
        <w:t>“</w:t>
      </w:r>
      <w:r>
        <w:rPr>
          <w:rFonts w:ascii="Times New Roman" w:hAnsi="Times New Roman"/>
          <w:sz w:val="24"/>
          <w:u w:val="single"/>
        </w:rPr>
        <w:t>2-Year Term Loan Agreement</w:t>
      </w:r>
      <w:r>
        <w:rPr>
          <w:rFonts w:ascii="Times New Roman" w:hAnsi="Times New Roman"/>
          <w:sz w:val="24"/>
        </w:rPr>
        <w:t xml:space="preserve">” shall have the meaning ascribed thereto in the definition of “Effective Date Credit Agreements”. </w:t>
      </w:r>
    </w:p>
    <w:p>
      <w:pPr>
        <w:pStyle w:val="TextBody"/>
        <w:bidi w:val="0"/>
        <w:spacing w:before="240" w:after="0"/>
        <w:jc w:val="both"/>
        <w:rPr/>
      </w:pPr>
      <w:r>
        <w:rPr/>
        <w:t>“</w:t>
      </w:r>
      <w:r>
        <w:rPr>
          <w:rFonts w:ascii="Times New Roman" w:hAnsi="Times New Roman"/>
          <w:sz w:val="24"/>
          <w:u w:val="single"/>
        </w:rPr>
        <w:t>364-Day Term Loan Agreement</w:t>
      </w:r>
      <w:r>
        <w:rPr>
          <w:rFonts w:ascii="Times New Roman" w:hAnsi="Times New Roman"/>
          <w:sz w:val="24"/>
        </w:rPr>
        <w:t xml:space="preserve">” shall have the meaning ascribed thereto in the definition of “Effective Date Credit Agreements”. </w:t>
      </w:r>
    </w:p>
    <w:p>
      <w:pPr>
        <w:pStyle w:val="TextBody"/>
        <w:bidi w:val="0"/>
        <w:spacing w:before="240" w:after="0"/>
        <w:jc w:val="both"/>
        <w:rPr/>
      </w:pPr>
      <w:r>
        <w:rPr/>
        <w:t>“</w:t>
      </w:r>
      <w:r>
        <w:rPr>
          <w:rFonts w:ascii="Times New Roman" w:hAnsi="Times New Roman"/>
          <w:sz w:val="24"/>
          <w:u w:val="single"/>
        </w:rPr>
        <w:t>ABS Facility</w:t>
      </w:r>
      <w:r>
        <w:rPr>
          <w:rFonts w:ascii="Times New Roman" w:hAnsi="Times New Roman"/>
          <w:sz w:val="24"/>
        </w:rPr>
        <w:t xml:space="preserve">” shall mean one or more secured loans, borrowings or facilities that may be included in a commercial real estate securitization transaction. </w:t>
      </w:r>
    </w:p>
    <w:p>
      <w:pPr>
        <w:pStyle w:val="TextBody"/>
        <w:bidi w:val="0"/>
        <w:spacing w:before="240" w:after="0"/>
        <w:jc w:val="both"/>
        <w:rPr/>
      </w:pPr>
      <w:r>
        <w:rPr/>
        <w:t>“</w:t>
      </w:r>
      <w:r>
        <w:rPr>
          <w:rFonts w:ascii="Times New Roman" w:hAnsi="Times New Roman"/>
          <w:sz w:val="24"/>
          <w:u w:val="single"/>
        </w:rPr>
        <w:t>Acquisition</w:t>
      </w:r>
      <w:r>
        <w:rPr>
          <w:rFonts w:ascii="Times New Roman" w:hAnsi="Times New Roman"/>
          <w:sz w:val="24"/>
        </w:rPr>
        <w:t xml:space="preserve">” shall mean (whether by purchase, lease, exchange, issuance of stock or other equity or debt securities, merger, reorganization or any other method) (i) any acquisition by the Company or any of its Subsidiaries of any Person that is not a Subsidiary of the Company, which Person shall then become consolidated with the Company or such Subsidiary in accordance with GAAP; (ii) any acquisition by the Company or any of its Subsidiaries of all or any substantial part of the assets of any Person that is not a Subsidiary of the Company; (iii) any acquisition by the Company or any of its Subsidiaries of any business (or related contracts) primarily engaged in the tower, tower management or related businesses; or (iv) any acquisition by the Company or any of its Subsidiaries of any communications towers or communications tower sites. </w:t>
      </w:r>
    </w:p>
    <w:p>
      <w:pPr>
        <w:pStyle w:val="TextBody"/>
        <w:bidi w:val="0"/>
        <w:spacing w:before="240" w:after="0"/>
        <w:jc w:val="both"/>
        <w:rPr/>
      </w:pPr>
      <w:r>
        <w:rPr/>
        <w:t>“</w:t>
      </w:r>
      <w:r>
        <w:rPr>
          <w:rFonts w:ascii="Times New Roman" w:hAnsi="Times New Roman"/>
          <w:sz w:val="24"/>
          <w:u w:val="single"/>
        </w:rPr>
        <w:t>Act</w:t>
      </w:r>
      <w:r>
        <w:rPr>
          <w:rFonts w:ascii="Times New Roman" w:hAnsi="Times New Roman"/>
          <w:sz w:val="24"/>
        </w:rPr>
        <w:t xml:space="preserve">” shall have the meaning ascribed thereto in Section 12.25 hereof. </w:t>
      </w:r>
    </w:p>
    <w:p>
      <w:pPr>
        <w:pStyle w:val="TextBody"/>
        <w:bidi w:val="0"/>
        <w:spacing w:before="240" w:after="0"/>
        <w:jc w:val="both"/>
        <w:rPr/>
      </w:pPr>
      <w:r>
        <w:rPr/>
        <w:t>“</w:t>
      </w:r>
      <w:r>
        <w:rPr>
          <w:rFonts w:ascii="Times New Roman" w:hAnsi="Times New Roman"/>
          <w:sz w:val="24"/>
          <w:u w:val="single"/>
        </w:rPr>
        <w:t>Adjusted EBITDA</w:t>
      </w:r>
      <w:r>
        <w:rPr>
          <w:rFonts w:ascii="Times New Roman" w:hAnsi="Times New Roman"/>
          <w:sz w:val="24"/>
        </w:rPr>
        <w:t xml:space="preserve">” shall mean, for the twelve (12) month period preceding the calculation date, for any Person, the sum of (a) Net Income, plus (b) to the extent deducted in determining Net Income, the sum, without duplication, of such Person’s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Hedge Agreements, non-cash impairment charges, non-cash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valuation charges for stock option grants or vesting of restricted stock awards or any other non-cash compensation charges, and losses from the early extinguishment of Indebtedness), (vi) non-recurring integration costs and expenses resulting from operational changes and improvements (including, without limitation, severance costs and business optimization expenses) and (vii) non-recurring charges and expenses, restructuring charges, transaction expenses (including, without limitation, transaction expenses incurred in connection with any merger or acquisition) and underwriters’ fees,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(A) with respect to any Person that became a Subsidiary of the Company, or was merged with or consolidated into the Company or any of its Subsidiaries, during such period, or any acquisition by the Company or any of its Subsidiaries of the assets of any Person during such period, “</w:t>
      </w:r>
      <w:r>
        <w:rPr>
          <w:rFonts w:ascii="Times New Roman" w:hAnsi="Times New Roman"/>
          <w:sz w:val="24"/>
          <w:u w:val="single"/>
        </w:rPr>
        <w:t>Adjusted EBITDA</w:t>
      </w:r>
      <w:r>
        <w:rPr>
          <w:rFonts w:ascii="Times New Roman" w:hAnsi="Times New Roman"/>
          <w:sz w:val="24"/>
        </w:rPr>
        <w:t>” shall, at the option of the Company in respect of any or all of the foregoing, also include the Adjusted EBITDA of such Person or attributable to such assets, as applicable, during such period as if such acquisition, merger or consolidation, including any concurrent transaction entered into by such Person or with respect to such assets as part of such acquisition, merger or consolidation, had occurred on the first day of such period and (B) with respect to any Person that has ceased to be a Subsidiary of the Company during such period, or any material assets of the Company or any of its Subsidiaries sold or otherwise disposed of by the Company or any of its Subsidiaries during such period, “</w:t>
      </w:r>
      <w:r>
        <w:rPr>
          <w:rFonts w:ascii="Times New Roman" w:hAnsi="Times New Roman"/>
          <w:sz w:val="24"/>
          <w:u w:val="single"/>
        </w:rPr>
        <w:t>Adjusted EBITDA</w:t>
      </w:r>
      <w:r>
        <w:rPr>
          <w:rFonts w:ascii="Times New Roman" w:hAnsi="Times New Roman"/>
          <w:sz w:val="24"/>
        </w:rPr>
        <w:t xml:space="preserve">”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240" w:after="0"/>
        <w:jc w:val="both"/>
        <w:rPr/>
      </w:pPr>
      <w:r>
        <w:rPr/>
        <w:t>“</w:t>
      </w:r>
      <w:r>
        <w:rPr>
          <w:rFonts w:ascii="Times New Roman" w:hAnsi="Times New Roman"/>
          <w:sz w:val="24"/>
          <w:u w:val="single"/>
        </w:rPr>
        <w:t>Adjusted Term CORRA</w:t>
      </w:r>
      <w:r>
        <w:rPr>
          <w:rFonts w:ascii="Times New Roman" w:hAnsi="Times New Roman"/>
          <w:sz w:val="24"/>
        </w:rPr>
        <w:t xml:space="preserve">” shall mean, for purposes of any calculation and subject to the provisions of Section 10.1(b), the rate per annum equal to (a) Term CORRA for such calculation </w:t>
      </w:r>
      <w:r>
        <w:rPr>
          <w:rFonts w:ascii="Times New Roman" w:hAnsi="Times New Roman"/>
          <w:sz w:val="24"/>
          <w:u w:val="single"/>
        </w:rPr>
        <w:t>plus</w:t>
      </w:r>
      <w:r>
        <w:rPr>
          <w:rFonts w:ascii="Times New Roman" w:hAnsi="Times New Roman"/>
          <w:sz w:val="24"/>
        </w:rPr>
        <w:t xml:space="preserve"> (b) the Term CORRA Adjustment; </w:t>
      </w:r>
      <w:r>
        <w:rPr>
          <w:rFonts w:ascii="Times New Roman" w:hAnsi="Times New Roman"/>
          <w:sz w:val="24"/>
          <w:u w:val="single"/>
        </w:rPr>
        <w:t>provided</w:t>
      </w:r>
      <w:r>
        <w:rPr>
          <w:rFonts w:ascii="Times New Roman" w:hAnsi="Times New Roman"/>
          <w:sz w:val="24"/>
        </w:rPr>
        <w:t xml:space="preserve"> that if Adjusted Term CORRA as so determined shall ever be less than the Floor, then Adjusted Term CORRA shall be deemed to be the Floor. </w:t>
      </w:r>
    </w:p>
    <w:p>
      <w:pPr>
        <w:pStyle w:val="TextBody"/>
        <w:bidi w:val="0"/>
        <w:spacing w:before="240" w:after="0"/>
        <w:jc w:val="both"/>
        <w:rPr/>
      </w:pPr>
      <w:r>
        <w:rPr>
          <w:strike/>
          <w:color w:val="FF0000"/>
        </w:rPr>
        <w:t>“</w:t>
      </w:r>
      <w:r>
        <w:rPr>
          <w:rFonts w:ascii="Times New Roman" w:hAnsi="Times New Roman"/>
          <w:strike/>
          <w:color w:val="FF0000"/>
          <w:sz w:val="24"/>
        </w:rPr>
        <w:t>Adjusted Term SOFR” shall mean, for purposes of any calculation and subject to the provisions of Section 10.1(b), the rate per annum equal to (a) Term SOFR for such calculation plus (b) the Term SOFR Adjustment; provided that if Adjusted</w:t>
      </w:r>
      <w:r>
        <w:rPr>
          <w:rFonts w:ascii="Times New Roman" w:hAnsi="Times New Roman"/>
          <w:sz w:val="24"/>
        </w:rPr>
        <w:t xml:space="preserve"> </w:t>
      </w:r>
      <w:r>
        <w:rPr>
          <w:rFonts w:ascii="Times New Roman" w:hAnsi="Times New Roman"/>
          <w:strike/>
          <w:color w:val="00C000"/>
          <w:sz w:val="24"/>
        </w:rPr>
        <w:t>Term SOFR as so determined</w:t>
      </w:r>
      <w:r>
        <w:rPr>
          <w:rFonts w:ascii="Times New Roman" w:hAnsi="Times New Roman"/>
          <w:strike/>
          <w:color w:val="FF0000"/>
          <w:sz w:val="24"/>
        </w:rPr>
        <w:t xml:space="preserve"> shall ever be less than the Floor, then Adjusted Term</w:t>
      </w:r>
      <w:r>
        <w:rPr>
          <w:rFonts w:ascii="Times New Roman" w:hAnsi="Times New Roman"/>
          <w:sz w:val="24"/>
        </w:rPr>
        <w:t xml:space="preserve"> </w:t>
      </w:r>
      <w:r>
        <w:rPr>
          <w:rFonts w:ascii="Times New Roman" w:hAnsi="Times New Roman"/>
          <w:strike/>
          <w:color w:val="00C000"/>
          <w:sz w:val="24"/>
        </w:rPr>
        <w:t>SOFR shall be deemed to be the Floor</w:t>
      </w:r>
      <w:r>
        <w:rPr>
          <w:rFonts w:ascii="Times New Roman" w:hAnsi="Times New Roman"/>
          <w:strike/>
          <w:color w:val="FF0000"/>
          <w:sz w:val="24"/>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Administrative Agent</w:t>
      </w:r>
      <w:r>
        <w:rPr>
          <w:rFonts w:ascii="Times New Roman" w:hAnsi="Times New Roman"/>
          <w:sz w:val="24"/>
        </w:rPr>
        <w:t xml:space="preserve">” shall mean Toronto Dominion (Texas) LLC, in its capacity as Administrative Agent for the Lenders and the Issuing Banks, or any successor Administrative Agent appointed pursuant to Section 9.5 hereof. </w:t>
      </w:r>
    </w:p>
    <w:p>
      <w:pPr>
        <w:pStyle w:val="TextBody"/>
        <w:bidi w:val="0"/>
        <w:spacing w:before="240" w:after="0"/>
        <w:jc w:val="both"/>
        <w:rPr/>
      </w:pPr>
      <w:r>
        <w:rPr/>
        <w:t>“</w:t>
      </w:r>
      <w:r>
        <w:rPr>
          <w:rFonts w:ascii="Times New Roman" w:hAnsi="Times New Roman"/>
          <w:sz w:val="24"/>
          <w:u w:val="single"/>
        </w:rPr>
        <w:t>Administrative Agent’s Office</w:t>
      </w:r>
      <w:r>
        <w:rPr>
          <w:rFonts w:ascii="Times New Roman" w:hAnsi="Times New Roman"/>
          <w:sz w:val="24"/>
        </w:rPr>
        <w:t xml:space="preserve">” shall mean the Administrative Agent’s address and, as appropriate, account as set forth on Schedule 5, or such other address or account as may be designated pursuant to the provisions of Section 12.1 hereof. </w:t>
      </w:r>
    </w:p>
    <w:p>
      <w:pPr>
        <w:pStyle w:val="TextBody"/>
        <w:bidi w:val="0"/>
        <w:spacing w:before="240" w:after="0"/>
        <w:jc w:val="both"/>
        <w:rPr/>
      </w:pPr>
      <w:r>
        <w:rPr/>
        <w:t>“</w:t>
      </w:r>
      <w:r>
        <w:rPr>
          <w:rFonts w:ascii="Times New Roman" w:hAnsi="Times New Roman"/>
          <w:sz w:val="24"/>
          <w:u w:val="single"/>
        </w:rPr>
        <w:t>Advance</w:t>
      </w:r>
      <w:r>
        <w:rPr>
          <w:rFonts w:ascii="Times New Roman" w:hAnsi="Times New Roman"/>
          <w:sz w:val="24"/>
        </w:rPr>
        <w:t>” shall mean the aggregate amounts advanced by the Lenders to the Company or any Subsidiary Borrower pursuant to Article 2 hereof on the occasion of any borrowing and having the same Interest Rate Basis and Interest Period; and “</w:t>
      </w:r>
      <w:r>
        <w:rPr>
          <w:rFonts w:ascii="Times New Roman" w:hAnsi="Times New Roman"/>
          <w:sz w:val="24"/>
          <w:u w:val="single"/>
        </w:rPr>
        <w:t>Advances</w:t>
      </w:r>
      <w:r>
        <w:rPr>
          <w:rFonts w:ascii="Times New Roman" w:hAnsi="Times New Roman"/>
          <w:sz w:val="24"/>
        </w:rPr>
        <w:t xml:space="preserve">” shall mean more than one Advance.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Affected Financial Institution</w:t>
      </w:r>
      <w:r>
        <w:rPr>
          <w:rFonts w:ascii="Times New Roman" w:hAnsi="Times New Roman"/>
          <w:sz w:val="24"/>
        </w:rPr>
        <w:t xml:space="preserve">” shall mean (a) any EEA Financial Institution, or (b) any UK Financial Institution. </w:t>
      </w:r>
    </w:p>
    <w:p>
      <w:pPr>
        <w:pStyle w:val="TextBody"/>
        <w:bidi w:val="0"/>
        <w:spacing w:before="240" w:after="0"/>
        <w:jc w:val="both"/>
        <w:rPr/>
      </w:pPr>
      <w:r>
        <w:rPr/>
        <w:t>“</w:t>
      </w:r>
      <w:r>
        <w:rPr>
          <w:rFonts w:ascii="Times New Roman" w:hAnsi="Times New Roman"/>
          <w:sz w:val="24"/>
          <w:u w:val="single"/>
        </w:rPr>
        <w:t>Affected Lender</w:t>
      </w:r>
      <w:r>
        <w:rPr>
          <w:rFonts w:ascii="Times New Roman" w:hAnsi="Times New Roman"/>
          <w:sz w:val="24"/>
        </w:rPr>
        <w:t xml:space="preserve">” shall have the meaning ascribed thereto in Section 10.5 hereof. </w:t>
      </w:r>
    </w:p>
    <w:p>
      <w:pPr>
        <w:pStyle w:val="TextBody"/>
        <w:bidi w:val="0"/>
        <w:spacing w:before="240" w:after="0"/>
        <w:jc w:val="both"/>
        <w:rPr/>
      </w:pPr>
      <w:r>
        <w:rPr/>
        <w:t>“</w:t>
      </w:r>
      <w:r>
        <w:rPr>
          <w:rFonts w:ascii="Times New Roman" w:hAnsi="Times New Roman"/>
          <w:sz w:val="24"/>
          <w:u w:val="single"/>
        </w:rPr>
        <w:t>Affiliate</w:t>
      </w:r>
      <w:r>
        <w:rPr>
          <w:rFonts w:ascii="Times New Roman" w:hAnsi="Times New Roman"/>
          <w:sz w:val="24"/>
        </w:rPr>
        <w:t xml:space="preserve">” shall mean, with respect to a Person, any other Person directly or indirectly controlling, controlled by, or under common control with, such first Person. For purposes of this definition, “control,” when used with respect to any Person, shall mean the power to direct or cause the direction of the management and policies of such Person whether by contract or otherwise. </w:t>
      </w:r>
    </w:p>
    <w:p>
      <w:pPr>
        <w:pStyle w:val="TextBody"/>
        <w:bidi w:val="0"/>
        <w:spacing w:before="240" w:after="0"/>
        <w:jc w:val="both"/>
        <w:rPr/>
      </w:pPr>
      <w:r>
        <w:rPr/>
        <w:t>“</w:t>
      </w:r>
      <w:r>
        <w:rPr>
          <w:rFonts w:ascii="Times New Roman" w:hAnsi="Times New Roman"/>
          <w:sz w:val="24"/>
          <w:u w:val="single"/>
        </w:rPr>
        <w:t>Agreed Currency</w:t>
      </w:r>
      <w:r>
        <w:rPr>
          <w:rFonts w:ascii="Times New Roman" w:hAnsi="Times New Roman"/>
          <w:sz w:val="24"/>
        </w:rPr>
        <w:t xml:space="preserve">” shall mean Dollars and each Alternative Currency. </w:t>
      </w:r>
    </w:p>
    <w:p>
      <w:pPr>
        <w:pStyle w:val="TextBody"/>
        <w:bidi w:val="0"/>
        <w:spacing w:before="240" w:after="0"/>
        <w:jc w:val="both"/>
        <w:rPr/>
      </w:pPr>
      <w:r>
        <w:rPr/>
        <w:t>“</w:t>
      </w:r>
      <w:r>
        <w:rPr>
          <w:rFonts w:ascii="Times New Roman" w:hAnsi="Times New Roman"/>
          <w:sz w:val="24"/>
          <w:u w:val="single"/>
        </w:rPr>
        <w:t>Agreement</w:t>
      </w:r>
      <w:r>
        <w:rPr>
          <w:rFonts w:ascii="Times New Roman" w:hAnsi="Times New Roman"/>
          <w:sz w:val="24"/>
        </w:rPr>
        <w:t xml:space="preserve">” shall mean this Third Amended and Restated Multicurrency Revolving Credit Agreement, as amended, supplemented, restated or otherwise modified in writing from time to time. </w:t>
      </w:r>
    </w:p>
    <w:p>
      <w:pPr>
        <w:pStyle w:val="TextBody"/>
        <w:bidi w:val="0"/>
        <w:spacing w:before="240" w:after="0"/>
        <w:jc w:val="both"/>
        <w:rPr/>
      </w:pPr>
      <w:r>
        <w:rPr/>
        <w:t>“</w:t>
      </w:r>
      <w:r>
        <w:rPr>
          <w:rFonts w:ascii="Times New Roman" w:hAnsi="Times New Roman"/>
          <w:sz w:val="24"/>
          <w:u w:val="single"/>
        </w:rPr>
        <w:t>Alternative Currency</w:t>
      </w:r>
      <w:r>
        <w:rPr>
          <w:rFonts w:ascii="Times New Roman" w:hAnsi="Times New Roman"/>
          <w:sz w:val="24"/>
        </w:rPr>
        <w:t xml:space="preserve">” shall mean each of Euro, Sterling, Yen, Canadian Dollars, Australian Dollars and each other currency (other than Dollars) that is approved in accordance with Section 1.7. </w:t>
      </w:r>
    </w:p>
    <w:p>
      <w:pPr>
        <w:pStyle w:val="TextBody"/>
        <w:bidi w:val="0"/>
        <w:spacing w:before="240" w:after="0"/>
        <w:jc w:val="both"/>
        <w:rPr/>
      </w:pPr>
      <w:r>
        <w:rPr/>
        <w:t>“</w:t>
      </w:r>
      <w:r>
        <w:rPr>
          <w:rFonts w:ascii="Times New Roman" w:hAnsi="Times New Roman"/>
          <w:sz w:val="24"/>
          <w:u w:val="single"/>
        </w:rPr>
        <w:t>Alternative Currency Equivalent</w:t>
      </w:r>
      <w:r>
        <w:rPr>
          <w:rFonts w:ascii="Times New Roman" w:hAnsi="Times New Roman"/>
          <w:sz w:val="24"/>
        </w:rPr>
        <w:t xml:space="preserve">” shall mean,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for the purchase of such Alternative Currency with Dollars. </w:t>
      </w:r>
    </w:p>
    <w:p>
      <w:pPr>
        <w:pStyle w:val="TextBody"/>
        <w:bidi w:val="0"/>
        <w:spacing w:before="240" w:after="0"/>
        <w:jc w:val="both"/>
        <w:rPr/>
      </w:pPr>
      <w:r>
        <w:rPr/>
        <w:t>“</w:t>
      </w:r>
      <w:r>
        <w:rPr>
          <w:rFonts w:ascii="Times New Roman" w:hAnsi="Times New Roman"/>
          <w:sz w:val="24"/>
          <w:u w:val="single"/>
        </w:rPr>
        <w:t>Alternative Currency Sublimit</w:t>
      </w:r>
      <w:r>
        <w:rPr>
          <w:rFonts w:ascii="Times New Roman" w:hAnsi="Times New Roman"/>
          <w:sz w:val="24"/>
        </w:rPr>
        <w:t xml:space="preserve">” shall mean an amount equal to the lesser of (a) $3,500,000,000 and (b) the Available Amount. The Alternative Currency Sublimit is part of, and not in addition to, the Revolving Loan Commitments. </w:t>
      </w:r>
    </w:p>
    <w:p>
      <w:pPr>
        <w:pStyle w:val="TextBody"/>
        <w:bidi w:val="0"/>
        <w:spacing w:before="240" w:after="0"/>
        <w:jc w:val="both"/>
        <w:rPr/>
      </w:pPr>
      <w:r>
        <w:rPr/>
        <w:t>“</w:t>
      </w:r>
      <w:r>
        <w:rPr>
          <w:rFonts w:ascii="Times New Roman" w:hAnsi="Times New Roman"/>
          <w:sz w:val="24"/>
          <w:u w:val="single"/>
        </w:rPr>
        <w:t>Amendment No. 1</w:t>
      </w:r>
      <w:r>
        <w:rPr>
          <w:rFonts w:ascii="Times New Roman" w:hAnsi="Times New Roman"/>
          <w:sz w:val="24"/>
        </w:rPr>
        <w:t xml:space="preserve">” shall mean that certain Amendment No. 1 to the Third Amended and Restated Multicurrency Revolving Credit Agreement, dated as of the Amendment No. 1 Effective Date, by and among, the Company, the Subsidiary Borrowers party thereto, the Lenders party thereto and the Administrative Agent. </w:t>
      </w:r>
    </w:p>
    <w:p>
      <w:pPr>
        <w:pStyle w:val="TextBody"/>
        <w:bidi w:val="0"/>
        <w:spacing w:before="240" w:after="0"/>
        <w:jc w:val="both"/>
        <w:rPr/>
      </w:pPr>
      <w:r>
        <w:rPr/>
        <w:t>“</w:t>
      </w:r>
      <w:r>
        <w:rPr>
          <w:rFonts w:ascii="Times New Roman" w:hAnsi="Times New Roman"/>
          <w:sz w:val="24"/>
          <w:u w:val="single"/>
        </w:rPr>
        <w:t>Amendment No. 1 Effective Date</w:t>
      </w:r>
      <w:r>
        <w:rPr>
          <w:rFonts w:ascii="Times New Roman" w:hAnsi="Times New Roman"/>
          <w:sz w:val="24"/>
        </w:rPr>
        <w:t xml:space="preserve">” shall mean June 29, 2023. </w:t>
      </w:r>
    </w:p>
    <w:p>
      <w:pPr>
        <w:pStyle w:val="TextBody"/>
        <w:bidi w:val="0"/>
        <w:spacing w:before="240" w:after="0"/>
        <w:jc w:val="both"/>
        <w:rPr/>
      </w:pPr>
      <w:r>
        <w:rPr/>
        <w:t>“</w:t>
      </w:r>
      <w:r>
        <w:rPr>
          <w:rFonts w:ascii="Times New Roman" w:hAnsi="Times New Roman"/>
          <w:sz w:val="24"/>
          <w:u w:val="single"/>
        </w:rPr>
        <w:t>Amendment No. 2</w:t>
      </w:r>
      <w:r>
        <w:rPr>
          <w:rFonts w:ascii="Times New Roman" w:hAnsi="Times New Roman"/>
          <w:sz w:val="24"/>
        </w:rPr>
        <w:t xml:space="preserve">” shall mean that certain Notice of Benchmark Replacement and Amendment No. 2 to the Credit Agreement, dated as of the Amendment No. 2 Effective Date, by and between, the Company and the Administrative Agent. </w:t>
      </w:r>
    </w:p>
    <w:p>
      <w:pPr>
        <w:pStyle w:val="TextBody"/>
        <w:bidi w:val="0"/>
        <w:spacing w:before="240" w:after="0"/>
        <w:jc w:val="both"/>
        <w:rPr/>
      </w:pPr>
      <w:r>
        <w:rPr/>
        <w:t>“</w:t>
      </w:r>
      <w:r>
        <w:rPr>
          <w:rFonts w:ascii="Times New Roman" w:hAnsi="Times New Roman"/>
          <w:sz w:val="24"/>
          <w:u w:val="single"/>
        </w:rPr>
        <w:t>Amendment No. 2 Effective Date</w:t>
      </w:r>
      <w:r>
        <w:rPr>
          <w:rFonts w:ascii="Times New Roman" w:hAnsi="Times New Roman"/>
          <w:sz w:val="24"/>
        </w:rPr>
        <w:t xml:space="preserve">” shall mean June 27, 2024. </w:t>
      </w:r>
    </w:p>
    <w:p>
      <w:pPr>
        <w:pStyle w:val="TextBody"/>
        <w:bidi w:val="0"/>
        <w:spacing w:before="240" w:after="0"/>
        <w:jc w:val="both"/>
        <w:rPr/>
      </w:pPr>
      <w:r>
        <w:rPr/>
        <w:t>“</w:t>
      </w:r>
      <w:r>
        <w:rPr>
          <w:rFonts w:ascii="Times New Roman" w:hAnsi="Times New Roman"/>
          <w:sz w:val="24"/>
          <w:u w:val="single"/>
        </w:rPr>
        <w:t>Amendment No. 3</w:t>
      </w:r>
      <w:r>
        <w:rPr>
          <w:rFonts w:ascii="Times New Roman" w:hAnsi="Times New Roman"/>
          <w:sz w:val="24"/>
        </w:rPr>
        <w:t xml:space="preserve">” shall mean that certain Amendment No. 3 to the Third Amended and Restated Multicurrency Revolving Credit Agreement, dated as of the Amendment No. 3 Effective Date, by and among, the Company, the Subsidiary Borrowers party thereto, the Lenders party thereto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Amendment No. 3 Effective Date</w:t>
      </w:r>
      <w:r>
        <w:rPr>
          <w:rFonts w:ascii="Times New Roman" w:hAnsi="Times New Roman"/>
          <w:sz w:val="24"/>
        </w:rPr>
        <w:t xml:space="preserve">” shall mean January 28, 2025.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Amendment No. 4” shall mean that certain Amendment No. 4 to the Third Amended and Restated Multicurrency Revolving Credit Agreement, dated as of the Amendment No. 4 Effective Date, by and among, the Company, the Subsidiary Borrowers party thereto, the Lenders party thereto and the Administrative Agent.</w:t>
      </w:r>
      <w:r>
        <w:rPr>
          <w:rFonts w:ascii="Times New Roman" w:hAnsi="Times New Roman"/>
          <w:sz w:val="24"/>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Amendment No. 4 Effective Date” shall mean May 7, 2026.</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Anti-Corruption Laws</w:t>
      </w:r>
      <w:r>
        <w:rPr>
          <w:rFonts w:ascii="Times New Roman" w:hAnsi="Times New Roman"/>
          <w:sz w:val="24"/>
        </w:rPr>
        <w:t xml:space="preserve">” shall mean all laws, rules, and regulations of any jurisdiction applicable to the Company or its Subsidiaries from time to time concerning or relating to money laundering, bribery or corruption. </w:t>
      </w:r>
    </w:p>
    <w:p>
      <w:pPr>
        <w:pStyle w:val="TextBody"/>
        <w:bidi w:val="0"/>
        <w:spacing w:before="240" w:after="0"/>
        <w:jc w:val="both"/>
        <w:rPr/>
      </w:pPr>
      <w:r>
        <w:rPr/>
        <w:t>“</w:t>
      </w:r>
      <w:r>
        <w:rPr>
          <w:rFonts w:ascii="Times New Roman" w:hAnsi="Times New Roman"/>
          <w:sz w:val="24"/>
          <w:u w:val="single"/>
        </w:rPr>
        <w:t>Applicable Debt Rating</w:t>
      </w:r>
      <w:r>
        <w:rPr>
          <w:rFonts w:ascii="Times New Roman" w:hAnsi="Times New Roman"/>
          <w:sz w:val="24"/>
        </w:rPr>
        <w:t xml:space="preserve">” shall mean the highest Debt Rating received from any of S&amp;P, Moody’s and Fitch; provided that if the lowest Debt Rating received from any such rating agency is two or more rating levels below the highest Debt Rating received from any such rating agency, the Applicable Debt Rating shall be the level that is one level below the highest of such Debt Ratings;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two ratings are at the same highest level, the Applicable Debt Rating shall be the highest level. </w:t>
      </w:r>
    </w:p>
    <w:p>
      <w:pPr>
        <w:pStyle w:val="TextBody"/>
        <w:bidi w:val="0"/>
        <w:spacing w:before="240" w:after="0"/>
        <w:jc w:val="both"/>
        <w:rPr/>
      </w:pPr>
      <w:r>
        <w:rPr/>
        <w:t>“</w:t>
      </w:r>
      <w:r>
        <w:rPr>
          <w:rFonts w:ascii="Times New Roman" w:hAnsi="Times New Roman"/>
          <w:sz w:val="24"/>
          <w:u w:val="single"/>
        </w:rPr>
        <w:t>Applicable Law</w:t>
      </w:r>
      <w:r>
        <w:rPr>
          <w:rFonts w:ascii="Times New Roman" w:hAnsi="Times New Roman"/>
          <w:sz w:val="24"/>
        </w:rPr>
        <w:t xml:space="preserve">” shall mean, in respect of any Person, all provisions of constitutions, statutes, treaties, rules, regulations and orders of governmental bodies or regulatory agencies applicable to such Person, including, without limiting the foregoing, the Licenses, the Communications Act, zoning ordinances and all environmental laws, and all orders, decisions, judgments and decrees of all courts and arbitrators in proceedings or actions to which the Person in question is a party or by which it is bound. </w:t>
      </w:r>
    </w:p>
    <w:p>
      <w:pPr>
        <w:pStyle w:val="TextBody"/>
        <w:bidi w:val="0"/>
        <w:spacing w:before="240" w:after="0"/>
        <w:jc w:val="both"/>
        <w:rPr/>
      </w:pPr>
      <w:r>
        <w:rPr/>
        <w:t>“</w:t>
      </w:r>
      <w:r>
        <w:rPr>
          <w:rFonts w:ascii="Times New Roman" w:hAnsi="Times New Roman"/>
          <w:sz w:val="24"/>
          <w:u w:val="single"/>
        </w:rPr>
        <w:t>Applicable Margin</w:t>
      </w:r>
      <w:r>
        <w:rPr>
          <w:rFonts w:ascii="Times New Roman" w:hAnsi="Times New Roman"/>
          <w:sz w:val="24"/>
        </w:rPr>
        <w:t xml:space="preserve">” shall mean the interest rate margin applicable to Base Rate Advances, SONIA Rate Advances and Term Rate Advances, as the case may be, in each case determined in accordance with Section 2.3(f) hereof. </w:t>
      </w:r>
    </w:p>
    <w:p>
      <w:pPr>
        <w:pStyle w:val="TextBody"/>
        <w:bidi w:val="0"/>
        <w:spacing w:before="240" w:after="0"/>
        <w:jc w:val="both"/>
        <w:rPr/>
      </w:pPr>
      <w:r>
        <w:rPr/>
        <w:t>“</w:t>
      </w:r>
      <w:r>
        <w:rPr>
          <w:rFonts w:ascii="Times New Roman" w:hAnsi="Times New Roman"/>
          <w:sz w:val="24"/>
          <w:u w:val="single"/>
        </w:rPr>
        <w:t>Attributable Debt</w:t>
      </w:r>
      <w:r>
        <w:rPr>
          <w:rFonts w:ascii="Times New Roman" w:hAnsi="Times New Roman"/>
          <w:sz w:val="24"/>
        </w:rPr>
        <w:t xml:space="preserve">” in respect of any Sale and Leaseback Transaction shall mean,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p>
    <w:p>
      <w:pPr>
        <w:pStyle w:val="TextBody"/>
        <w:bidi w:val="0"/>
        <w:spacing w:before="240" w:after="0"/>
        <w:jc w:val="both"/>
        <w:rPr/>
      </w:pPr>
      <w:r>
        <w:rPr/>
        <w:t>“</w:t>
      </w:r>
      <w:r>
        <w:rPr>
          <w:rFonts w:ascii="Times New Roman" w:hAnsi="Times New Roman"/>
          <w:sz w:val="24"/>
          <w:u w:val="single"/>
        </w:rPr>
        <w:t>Australian Dollars</w:t>
      </w:r>
      <w:r>
        <w:rPr>
          <w:rFonts w:ascii="Times New Roman" w:hAnsi="Times New Roman"/>
          <w:sz w:val="24"/>
        </w:rPr>
        <w:t>” or “</w:t>
      </w:r>
      <w:r>
        <w:rPr>
          <w:rFonts w:ascii="Times New Roman" w:hAnsi="Times New Roman"/>
          <w:sz w:val="24"/>
          <w:u w:val="single"/>
        </w:rPr>
        <w:t>AUD</w:t>
      </w:r>
      <w:r>
        <w:rPr>
          <w:rFonts w:ascii="Times New Roman" w:hAnsi="Times New Roman"/>
          <w:sz w:val="24"/>
        </w:rPr>
        <w:t xml:space="preserve">” shall mean the lawful currency of Australia. </w:t>
      </w:r>
    </w:p>
    <w:p>
      <w:pPr>
        <w:pStyle w:val="TextBody"/>
        <w:bidi w:val="0"/>
        <w:spacing w:before="240" w:after="0"/>
        <w:jc w:val="both"/>
        <w:rPr/>
      </w:pPr>
      <w:r>
        <w:rPr/>
        <w:t>“</w:t>
      </w:r>
      <w:r>
        <w:rPr>
          <w:rFonts w:ascii="Times New Roman" w:hAnsi="Times New Roman"/>
          <w:sz w:val="24"/>
          <w:u w:val="single"/>
        </w:rPr>
        <w:t>Authorized Signatory</w:t>
      </w:r>
      <w:r>
        <w:rPr>
          <w:rFonts w:ascii="Times New Roman" w:hAnsi="Times New Roman"/>
          <w:sz w:val="24"/>
        </w:rPr>
        <w:t xml:space="preserve">” shall mean such senior personnel of a Person as may be duly authorized and designated in writing by such Person to execute documents, agreements and instruments on behalf of such Person. </w:t>
      </w:r>
    </w:p>
    <w:p>
      <w:pPr>
        <w:pStyle w:val="TextBody"/>
        <w:bidi w:val="0"/>
        <w:spacing w:before="240" w:after="0"/>
        <w:jc w:val="both"/>
        <w:rPr/>
      </w:pPr>
      <w:r>
        <w:rPr/>
        <w:t>“</w:t>
      </w:r>
      <w:r>
        <w:rPr>
          <w:rFonts w:ascii="Times New Roman" w:hAnsi="Times New Roman"/>
          <w:sz w:val="24"/>
          <w:u w:val="single"/>
        </w:rPr>
        <w:t>Auto-Extension Letter of Credit</w:t>
      </w:r>
      <w:r>
        <w:rPr>
          <w:rFonts w:ascii="Times New Roman" w:hAnsi="Times New Roman"/>
          <w:sz w:val="24"/>
        </w:rPr>
        <w:t xml:space="preserve">” shall have the meaning ascribed thereto in Section 2.13(b)(iii) 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Available Amount</w:t>
      </w:r>
      <w:r>
        <w:rPr>
          <w:rFonts w:ascii="Times New Roman" w:hAnsi="Times New Roman"/>
          <w:sz w:val="24"/>
        </w:rPr>
        <w:t xml:space="preserve">” shall mean, at any time, the lesser of $6,000,000,000 and the aggregate amount of Revolving Loan Commitments at such time. </w:t>
      </w:r>
    </w:p>
    <w:p>
      <w:pPr>
        <w:pStyle w:val="TextBody"/>
        <w:bidi w:val="0"/>
        <w:spacing w:before="240" w:after="0"/>
        <w:jc w:val="both"/>
        <w:rPr/>
      </w:pPr>
      <w:r>
        <w:rPr/>
        <w:t>“</w:t>
      </w:r>
      <w:r>
        <w:rPr>
          <w:rFonts w:ascii="Times New Roman" w:hAnsi="Times New Roman"/>
          <w:sz w:val="24"/>
          <w:u w:val="single"/>
        </w:rPr>
        <w:t>Available Revolving Loan Commitment</w:t>
      </w:r>
      <w:r>
        <w:rPr>
          <w:rFonts w:ascii="Times New Roman" w:hAnsi="Times New Roman"/>
          <w:sz w:val="24"/>
        </w:rPr>
        <w:t xml:space="preserve">” shall mean, as of any date, the difference between (i) the Available Amount in effect on such date </w:t>
      </w:r>
      <w:r>
        <w:rPr>
          <w:rFonts w:ascii="Times New Roman" w:hAnsi="Times New Roman"/>
          <w:sz w:val="24"/>
          <w:u w:val="single"/>
        </w:rPr>
        <w:t>minus</w:t>
      </w:r>
      <w:r>
        <w:rPr>
          <w:rFonts w:ascii="Times New Roman" w:hAnsi="Times New Roman"/>
          <w:sz w:val="24"/>
        </w:rPr>
        <w:t xml:space="preserve"> (ii) the sum of (A) the Dollar Equivalent of the Revolving Loans then outstanding </w:t>
      </w:r>
      <w:r>
        <w:rPr>
          <w:rFonts w:ascii="Times New Roman" w:hAnsi="Times New Roman"/>
          <w:sz w:val="24"/>
          <w:u w:val="single"/>
        </w:rPr>
        <w:t>plus</w:t>
      </w:r>
      <w:r>
        <w:rPr>
          <w:rFonts w:ascii="Times New Roman" w:hAnsi="Times New Roman"/>
          <w:sz w:val="24"/>
        </w:rPr>
        <w:t xml:space="preserve"> (B) the Dollar Equivalent of the L/C Obligations then outstanding </w:t>
      </w:r>
      <w:r>
        <w:rPr>
          <w:rFonts w:ascii="Times New Roman" w:hAnsi="Times New Roman"/>
          <w:sz w:val="24"/>
          <w:u w:val="single"/>
        </w:rPr>
        <w:t>plus</w:t>
      </w:r>
      <w:r>
        <w:rPr>
          <w:rFonts w:ascii="Times New Roman" w:hAnsi="Times New Roman"/>
          <w:sz w:val="24"/>
        </w:rPr>
        <w:t xml:space="preserve"> (C) the Swingline Loans then outstanding. </w:t>
      </w:r>
    </w:p>
    <w:p>
      <w:pPr>
        <w:pStyle w:val="TextBody"/>
        <w:bidi w:val="0"/>
        <w:spacing w:before="240" w:after="0"/>
        <w:jc w:val="both"/>
        <w:rPr/>
      </w:pPr>
      <w:r>
        <w:rPr/>
        <w:t>“</w:t>
      </w:r>
      <w:r>
        <w:rPr>
          <w:rFonts w:ascii="Times New Roman" w:hAnsi="Times New Roman"/>
          <w:sz w:val="24"/>
          <w:u w:val="single"/>
        </w:rPr>
        <w:t>Available Tenor</w:t>
      </w:r>
      <w:r>
        <w:rPr>
          <w:rFonts w:ascii="Times New Roman" w:hAnsi="Times New Roman"/>
          <w:sz w:val="24"/>
        </w:rPr>
        <w:t xml:space="preserve">” shall mean, as of any date of determination and with respect to the then-current Benchmark for any Agreed Currency,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10.1(e). </w:t>
      </w:r>
    </w:p>
    <w:p>
      <w:pPr>
        <w:pStyle w:val="TextBody"/>
        <w:bidi w:val="0"/>
        <w:spacing w:before="240" w:after="0"/>
        <w:jc w:val="both"/>
        <w:rPr/>
      </w:pPr>
      <w:r>
        <w:rPr/>
        <w:t>“</w:t>
      </w:r>
      <w:r>
        <w:rPr>
          <w:rFonts w:ascii="Times New Roman" w:hAnsi="Times New Roman"/>
          <w:sz w:val="24"/>
          <w:u w:val="single"/>
        </w:rPr>
        <w:t>Bail-In Action</w:t>
      </w:r>
      <w:r>
        <w:rPr>
          <w:rFonts w:ascii="Times New Roman" w:hAnsi="Times New Roman"/>
          <w:sz w:val="24"/>
        </w:rPr>
        <w:t xml:space="preserve">” shall mean the exercise of any Write-Down and Conversion Powers by the applicable Resolution Authority in respect of any liability of an Affected Financial Institution. </w:t>
      </w:r>
    </w:p>
    <w:p>
      <w:pPr>
        <w:pStyle w:val="TextBody"/>
        <w:bidi w:val="0"/>
        <w:spacing w:before="240" w:after="0"/>
        <w:jc w:val="both"/>
        <w:rPr/>
      </w:pPr>
      <w:r>
        <w:rPr/>
        <w:t>“</w:t>
      </w:r>
      <w:r>
        <w:rPr>
          <w:rFonts w:ascii="Times New Roman" w:hAnsi="Times New Roman"/>
          <w:sz w:val="24"/>
          <w:u w:val="single"/>
        </w:rPr>
        <w:t>Bail-In Legislation</w:t>
      </w:r>
      <w:r>
        <w:rPr>
          <w:rFonts w:ascii="Times New Roman" w:hAnsi="Times New Roman"/>
          <w:sz w:val="24"/>
        </w:rPr>
        <w:t xml:space="preserve">” shall mean,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both"/>
        <w:rPr/>
      </w:pPr>
      <w:r>
        <w:rPr/>
        <w:t>“</w:t>
      </w:r>
      <w:r>
        <w:rPr>
          <w:rFonts w:ascii="Times New Roman" w:hAnsi="Times New Roman"/>
          <w:sz w:val="24"/>
          <w:u w:val="single"/>
        </w:rPr>
        <w:t>Base Rate</w:t>
      </w:r>
      <w:r>
        <w:rPr>
          <w:rFonts w:ascii="Times New Roman" w:hAnsi="Times New Roman"/>
          <w:sz w:val="24"/>
        </w:rPr>
        <w:t xml:space="preserve">” shall mean for any day, a rate per annum equal to the highest of (a) the Prime Rate in effect on such day, (b) the Federal Funds Rate in effect on such day </w:t>
      </w:r>
      <w:r>
        <w:rPr>
          <w:rFonts w:ascii="Times New Roman" w:hAnsi="Times New Roman"/>
          <w:sz w:val="24"/>
          <w:u w:val="single"/>
        </w:rPr>
        <w:t>plus</w:t>
      </w:r>
      <w:r>
        <w:rPr>
          <w:rFonts w:ascii="Times New Roman" w:hAnsi="Times New Roman"/>
          <w:sz w:val="24"/>
        </w:rPr>
        <w:t xml:space="preserve"> 0.50% and (c)</w:t>
      </w:r>
      <w:r>
        <w:rPr>
          <w:rFonts w:ascii="Times New Roman" w:hAnsi="Times New Roman"/>
          <w:strike/>
          <w:color w:val="FF0000"/>
          <w:sz w:val="24"/>
        </w:rPr>
        <w:t> Adjusted</w:t>
      </w:r>
      <w:r>
        <w:rPr>
          <w:rFonts w:ascii="Times New Roman" w:hAnsi="Times New Roman"/>
          <w:sz w:val="24"/>
        </w:rPr>
        <w:t xml:space="preserve"> Term SOFR for a one-month tenor in effect on such day </w:t>
      </w:r>
      <w:r>
        <w:rPr>
          <w:rFonts w:ascii="Times New Roman" w:hAnsi="Times New Roman"/>
          <w:sz w:val="24"/>
          <w:u w:val="single"/>
        </w:rPr>
        <w:t>plus</w:t>
      </w:r>
      <w:r>
        <w:rPr>
          <w:rFonts w:ascii="Times New Roman" w:hAnsi="Times New Roman"/>
          <w:sz w:val="24"/>
        </w:rPr>
        <w:t xml:space="preserve"> 1.00 %. Any change in the Base Rate due to a change in the Prime Rate, the Federal Funds Rate or </w:t>
      </w:r>
      <w:r>
        <w:rPr>
          <w:rFonts w:ascii="Times New Roman" w:hAnsi="Times New Roman"/>
          <w:strike/>
          <w:color w:val="FF0000"/>
          <w:sz w:val="24"/>
        </w:rPr>
        <w:t xml:space="preserve">Adjusted </w:t>
      </w:r>
      <w:r>
        <w:rPr>
          <w:rFonts w:ascii="Times New Roman" w:hAnsi="Times New Roman"/>
          <w:sz w:val="24"/>
        </w:rPr>
        <w:t xml:space="preserve">Term SOFR shall be effective from and including the effective date of such change in the Prime Rate, the Federal Funds Rate or </w:t>
      </w:r>
      <w:r>
        <w:rPr>
          <w:rFonts w:ascii="Times New Roman" w:hAnsi="Times New Roman"/>
          <w:strike/>
          <w:color w:val="FF0000"/>
          <w:sz w:val="24"/>
        </w:rPr>
        <w:t xml:space="preserve">Adjusted </w:t>
      </w:r>
      <w:r>
        <w:rPr>
          <w:rFonts w:ascii="Times New Roman" w:hAnsi="Times New Roman"/>
          <w:sz w:val="24"/>
        </w:rPr>
        <w:t>Term SOFR, respectively</w:t>
      </w:r>
      <w:r>
        <w:rPr>
          <w:rFonts w:ascii="Times New Roman" w:hAnsi="Times New Roman"/>
          <w:color w:val="0000FF"/>
          <w:sz w:val="24"/>
          <w:u w:val="single"/>
          <w:bdr w:val="double" w:sz="2" w:space="1" w:color="000000"/>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Base Rate Advance</w:t>
      </w:r>
      <w:r>
        <w:rPr>
          <w:rFonts w:ascii="Times New Roman" w:hAnsi="Times New Roman"/>
          <w:sz w:val="24"/>
        </w:rPr>
        <w:t xml:space="preserve">” shall mean an Advance denominated in Dollars which the Company or any Subsidiary Borrower requests to be made as a Base Rate Advance or is Converted to a Base Rate Advance, in accordance with the provisions of Section 2.2 hereof, and which shall be in a principal amount of at least $1,000,000.00 and in an integral multiple of $500,000.00. </w:t>
      </w:r>
    </w:p>
    <w:p>
      <w:pPr>
        <w:pStyle w:val="TextBody"/>
        <w:bidi w:val="0"/>
        <w:spacing w:before="240" w:after="0"/>
        <w:jc w:val="both"/>
        <w:rPr/>
      </w:pPr>
      <w:r>
        <w:rPr/>
        <w:t>“</w:t>
      </w:r>
      <w:r>
        <w:rPr>
          <w:rFonts w:ascii="Times New Roman" w:hAnsi="Times New Roman"/>
          <w:sz w:val="24"/>
          <w:u w:val="single"/>
        </w:rPr>
        <w:t>Base Rate Basis</w:t>
      </w:r>
      <w:r>
        <w:rPr>
          <w:rFonts w:ascii="Times New Roman" w:hAnsi="Times New Roman"/>
          <w:sz w:val="24"/>
        </w:rPr>
        <w:t xml:space="preserve">” shall mean a simple interest rate equal to the sum of (i) the Base Rate and (ii) the Applicable Margin applicable to Base Rate Advances for the applicable Loans. The Base Rate Basis shall be adjusted automatically as of the opening of business on the effective date of each change in the Base Rate to account for such change, and shall also be adjusted to reflect changes of the Applicable Margin applicable to Base Rate Advances. </w:t>
      </w:r>
    </w:p>
    <w:p>
      <w:pPr>
        <w:pStyle w:val="TextBody"/>
        <w:bidi w:val="0"/>
        <w:spacing w:before="240" w:after="0"/>
        <w:jc w:val="both"/>
        <w:rPr/>
      </w:pPr>
      <w:r>
        <w:rPr/>
        <w:t>“</w:t>
      </w:r>
      <w:r>
        <w:rPr>
          <w:rFonts w:ascii="Times New Roman" w:hAnsi="Times New Roman"/>
          <w:sz w:val="24"/>
          <w:u w:val="single"/>
        </w:rPr>
        <w:t>Base Rate Loan</w:t>
      </w:r>
      <w:r>
        <w:rPr>
          <w:rFonts w:ascii="Times New Roman" w:hAnsi="Times New Roman"/>
          <w:sz w:val="24"/>
        </w:rPr>
        <w:t xml:space="preserve">” shall mean a Loan that bears interest based on the Base Rate. All Base Rate Loans shall be denominated in Dollars.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Base Rate Term SOFR Determination Day</w:t>
      </w:r>
      <w:r>
        <w:rPr>
          <w:rFonts w:ascii="Times New Roman" w:hAnsi="Times New Roman"/>
          <w:sz w:val="24"/>
        </w:rPr>
        <w:t xml:space="preserve">” has the meaning specified in paragraph (b) of the definition of “Term SOFR”. </w:t>
      </w:r>
    </w:p>
    <w:p>
      <w:pPr>
        <w:pStyle w:val="TextBody"/>
        <w:bidi w:val="0"/>
        <w:spacing w:before="240" w:after="0"/>
        <w:jc w:val="both"/>
        <w:rPr/>
      </w:pPr>
      <w:r>
        <w:rPr/>
        <w:t>“</w:t>
      </w:r>
      <w:r>
        <w:rPr>
          <w:rFonts w:ascii="Times New Roman" w:hAnsi="Times New Roman"/>
          <w:sz w:val="24"/>
          <w:u w:val="single"/>
        </w:rPr>
        <w:t>Benchmark</w:t>
      </w:r>
      <w:r>
        <w:rPr>
          <w:rFonts w:ascii="Times New Roman" w:hAnsi="Times New Roman"/>
          <w:sz w:val="24"/>
        </w:rPr>
        <w:t xml:space="preserve">” shall mean, initially, the Relevant Rate; provided that if a Benchmark Transition Event has occurred with respect to the Term Rate or the then-current Benchmark, then “Benchmark” shall mean the applicable Benchmark Replacement to the extent that such Benchmark Replacement has replaced such prior benchmark rate pursuant to paragraph (b) of Section 10.1. </w:t>
      </w:r>
    </w:p>
    <w:p>
      <w:pPr>
        <w:pStyle w:val="TextBody"/>
        <w:bidi w:val="0"/>
        <w:spacing w:before="240" w:after="0"/>
        <w:jc w:val="both"/>
        <w:rPr/>
      </w:pPr>
      <w:r>
        <w:rPr/>
        <w:t>“</w:t>
      </w:r>
      <w:r>
        <w:rPr>
          <w:rFonts w:ascii="Times New Roman" w:hAnsi="Times New Roman"/>
          <w:sz w:val="24"/>
          <w:u w:val="single"/>
        </w:rPr>
        <w:t>Benchmark Replacement</w:t>
      </w:r>
      <w:r>
        <w:rPr>
          <w:rFonts w:ascii="Times New Roman" w:hAnsi="Times New Roman"/>
          <w:sz w:val="24"/>
        </w:rPr>
        <w:t xml:space="preserve">” shall mean, with respect to any Benchmark Transition Event for any then-current Benchmark, the first alternative set forth in the order below that can be determined by the Administrative Agent for the applicable Benchmark Replacement Date; provided, that with respect to a Benchmark with respect to any Obligations, interest, fees, commissions or other amounts denominated in any currency other than Dollars or calculated with respect thereto, the alternative set forth in clause (b) below: </w:t>
      </w:r>
    </w:p>
    <w:p>
      <w:pPr>
        <w:pStyle w:val="TextBody"/>
        <w:bidi w:val="0"/>
        <w:spacing w:before="240" w:after="0"/>
        <w:jc w:val="both"/>
        <w:rPr>
          <w:rFonts w:ascii="Times New Roman" w:hAnsi="Times New Roman"/>
          <w:sz w:val="24"/>
        </w:rPr>
      </w:pPr>
      <w:r>
        <w:rPr>
          <w:rFonts w:ascii="Times New Roman" w:hAnsi="Times New Roman"/>
          <w:sz w:val="24"/>
        </w:rPr>
        <w:t xml:space="preserve">(a) the sum of (i) Daily Simple SOFR and (ii) 0.10% (10 basis points); or </w:t>
      </w:r>
    </w:p>
    <w:p>
      <w:pPr>
        <w:pStyle w:val="TextBody"/>
        <w:bidi w:val="0"/>
        <w:spacing w:before="240" w:after="0"/>
        <w:jc w:val="both"/>
        <w:rPr>
          <w:rFonts w:ascii="Times New Roman" w:hAnsi="Times New Roman"/>
          <w:sz w:val="24"/>
        </w:rPr>
      </w:pPr>
      <w:r>
        <w:rPr>
          <w:rFonts w:ascii="Times New Roman" w:hAnsi="Times New Roman"/>
          <w:sz w:val="24"/>
        </w:rPr>
        <w:t xml:space="preserve">(b) the sum of: (i) the alternate benchmark rate that has been selected by the Administrative Agent and the Company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 the related Benchmark Replacement Adjustment. </w:t>
      </w:r>
    </w:p>
    <w:p>
      <w:pPr>
        <w:pStyle w:val="TextBody"/>
        <w:bidi w:val="0"/>
        <w:spacing w:before="240" w:after="0"/>
        <w:jc w:val="both"/>
        <w:rPr>
          <w:rFonts w:ascii="Times New Roman" w:hAnsi="Times New Roman"/>
          <w:sz w:val="24"/>
        </w:rPr>
      </w:pPr>
      <w:r>
        <w:rPr>
          <w:rFonts w:ascii="Times New Roman" w:hAnsi="Times New Roman"/>
          <w:sz w:val="24"/>
        </w:rPr>
        <w:t xml:space="preserve">If the Benchmark Replacement as determined pursuant to clause (a) or (b) above would be less than the Floor, the Benchmark Replacement will be deemed to be the Floor for the purposes of this Agreement and the other Loan Documents. </w:t>
      </w:r>
    </w:p>
    <w:p>
      <w:pPr>
        <w:pStyle w:val="TextBody"/>
        <w:bidi w:val="0"/>
        <w:spacing w:before="240" w:after="0"/>
        <w:jc w:val="both"/>
        <w:rPr/>
      </w:pPr>
      <w:r>
        <w:rPr/>
        <w:t>“</w:t>
      </w:r>
      <w:r>
        <w:rPr>
          <w:rFonts w:ascii="Times New Roman" w:hAnsi="Times New Roman"/>
          <w:sz w:val="24"/>
          <w:u w:val="single"/>
        </w:rPr>
        <w:t>Benchmark Replacement Adjustment</w:t>
      </w:r>
      <w:r>
        <w:rPr>
          <w:rFonts w:ascii="Times New Roman" w:hAnsi="Times New Roman"/>
          <w:sz w:val="24"/>
        </w:rPr>
        <w:t xml:space="preserve">” shall mean,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p>
    <w:p>
      <w:pPr>
        <w:pStyle w:val="TextBody"/>
        <w:bidi w:val="0"/>
        <w:spacing w:before="240" w:after="0"/>
        <w:jc w:val="both"/>
        <w:rPr/>
      </w:pPr>
      <w:r>
        <w:rPr/>
        <w:t>“</w:t>
      </w:r>
      <w:r>
        <w:rPr>
          <w:rFonts w:ascii="Times New Roman" w:hAnsi="Times New Roman"/>
          <w:sz w:val="24"/>
          <w:u w:val="single"/>
        </w:rPr>
        <w:t>Benchmark Replacement Date</w:t>
      </w:r>
      <w:r>
        <w:rPr>
          <w:rFonts w:ascii="Times New Roman" w:hAnsi="Times New Roman"/>
          <w:sz w:val="24"/>
        </w:rPr>
        <w:t xml:space="preserve">” shall mean a date and time determined by the Administrative Agent, which date shall be no later than the earliest to occur of the following events with respect to the then-current Benchmark for any Agreed Currency: </w:t>
      </w:r>
    </w:p>
    <w:p>
      <w:pPr>
        <w:pStyle w:val="TextBody"/>
        <w:bidi w:val="0"/>
        <w:spacing w:before="240" w:after="0"/>
        <w:jc w:val="both"/>
        <w:rPr>
          <w:rFonts w:ascii="Times New Roman" w:hAnsi="Times New Roman"/>
          <w:sz w:val="24"/>
        </w:rPr>
      </w:pPr>
      <w:r>
        <w:rPr>
          <w:rFonts w:ascii="Times New Roman" w:hAnsi="Times New Roman"/>
          <w:sz w:val="24"/>
        </w:rPr>
        <w:t xml:space="preserve">(a) in the case of clause (a) or (b) of the definition of “Benchmark Transition Event”, the later of (i) the date of the public statement or publication of information referenced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 </w:t>
      </w:r>
    </w:p>
    <w:p>
      <w:pPr>
        <w:pStyle w:val="TextBody"/>
        <w:bidi w:val="0"/>
        <w:spacing w:before="240" w:after="0"/>
        <w:jc w:val="both"/>
        <w:rPr>
          <w:rFonts w:ascii="Times New Roman" w:hAnsi="Times New Roman"/>
          <w:sz w:val="24"/>
        </w:rPr>
      </w:pPr>
      <w:r>
        <w:rPr>
          <w:rFonts w:ascii="Times New Roman" w:hAnsi="Times New Roman"/>
          <w:sz w:val="24"/>
        </w:rPr>
        <w:t xml:space="preserve">(b) in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 </w:t>
      </w:r>
    </w:p>
    <w:p>
      <w:pPr>
        <w:pStyle w:val="TextBody"/>
        <w:bidi w:val="0"/>
        <w:spacing w:before="240" w:after="0"/>
        <w:jc w:val="both"/>
        <w:rPr>
          <w:rFonts w:ascii="Times New Roman" w:hAnsi="Times New Roman"/>
          <w:sz w:val="24"/>
        </w:rPr>
      </w:pPr>
      <w:r>
        <w:rPr>
          <w:rFonts w:ascii="Times New Roman" w:hAnsi="Times New Roman"/>
          <w:sz w:val="24"/>
        </w:rPr>
        <w:t xml:space="preserve">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both"/>
        <w:rPr/>
      </w:pPr>
      <w:r>
        <w:rPr/>
        <w:t>“</w:t>
      </w:r>
      <w:r>
        <w:rPr>
          <w:rFonts w:ascii="Times New Roman" w:hAnsi="Times New Roman"/>
          <w:sz w:val="24"/>
          <w:u w:val="single"/>
        </w:rPr>
        <w:t>Benchmark Transition Event</w:t>
      </w:r>
      <w:r>
        <w:rPr>
          <w:rFonts w:ascii="Times New Roman" w:hAnsi="Times New Roman"/>
          <w:sz w:val="24"/>
        </w:rPr>
        <w:t xml:space="preserve">” shall mean, with respect to the then-current Benchmark for any Agreed Currency, the occurrence of one or more of the following events with respect to such Benchmark: </w:t>
      </w:r>
    </w:p>
    <w:p>
      <w:pPr>
        <w:pStyle w:val="TextBody"/>
        <w:bidi w:val="0"/>
        <w:spacing w:before="240" w:after="0"/>
        <w:jc w:val="both"/>
        <w:rPr>
          <w:rFonts w:ascii="Times New Roman" w:hAnsi="Times New Roman"/>
          <w:sz w:val="24"/>
        </w:rPr>
      </w:pPr>
      <w:r>
        <w:rPr>
          <w:rFonts w:ascii="Times New Roman" w:hAnsi="Times New Roman"/>
          <w:sz w:val="24"/>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TextBody"/>
        <w:bidi w:val="0"/>
        <w:spacing w:before="240" w:after="0"/>
        <w:jc w:val="both"/>
        <w:rPr>
          <w:rFonts w:ascii="Times New Roman" w:hAnsi="Times New Roman"/>
          <w:sz w:val="24"/>
        </w:rPr>
      </w:pPr>
      <w:r>
        <w:rPr>
          <w:rFonts w:ascii="Times New Roman" w:hAnsi="Times New Roman"/>
          <w:sz w:val="24"/>
        </w:rPr>
        <w:t xml:space="preserve">(b) a public statement or publication of information by the regulatory supervisor for the administrator of such Benchmark (or the published component used in the calculation thereof), the Board, the NYFRB, the central bank for the Agreed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in each case which states that the administrator of such Benchmark (or such component thereof)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component thereof) or, if such Benchmark is a term rate, any Available Tenor of such Benchmark (or such component thereof); or </w:t>
      </w:r>
    </w:p>
    <w:p>
      <w:pPr>
        <w:pStyle w:val="TextBody"/>
        <w:bidi w:val="0"/>
        <w:spacing w:before="240" w:after="0"/>
        <w:jc w:val="both"/>
        <w:rPr>
          <w:rFonts w:ascii="Times New Roman" w:hAnsi="Times New Roman"/>
          <w:sz w:val="24"/>
        </w:rPr>
      </w:pPr>
      <w:r>
        <w:rPr>
          <w:rFonts w:ascii="Times New Roman" w:hAnsi="Times New Roman"/>
          <w:sz w:val="24"/>
        </w:rPr>
        <w:t xml:space="preserve">(c) a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 </w:t>
      </w:r>
    </w:p>
    <w:p>
      <w:pPr>
        <w:pStyle w:val="TextBody"/>
        <w:bidi w:val="0"/>
        <w:spacing w:before="240" w:after="0"/>
        <w:jc w:val="both"/>
        <w:rPr>
          <w:rFonts w:ascii="Times New Roman" w:hAnsi="Times New Roman"/>
          <w:sz w:val="24"/>
        </w:rPr>
      </w:pPr>
      <w:r>
        <w:rPr>
          <w:rFonts w:ascii="Times New Roman" w:hAnsi="Times New Roman"/>
          <w:sz w:val="24"/>
        </w:rPr>
        <w:t xml:space="preserve">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both"/>
        <w:rPr/>
      </w:pPr>
      <w:r>
        <w:rPr/>
        <w:t>“</w:t>
      </w:r>
      <w:r>
        <w:rPr>
          <w:rFonts w:ascii="Times New Roman" w:hAnsi="Times New Roman"/>
          <w:sz w:val="24"/>
          <w:u w:val="single"/>
        </w:rPr>
        <w:t>Benchmark Unavailability Period</w:t>
      </w:r>
      <w:r>
        <w:rPr>
          <w:rFonts w:ascii="Times New Roman" w:hAnsi="Times New Roman"/>
          <w:sz w:val="24"/>
        </w:rPr>
        <w:t xml:space="preserve">” shall mean, with respect to any then-current Benchmark for any Agreed Currency, the period (if any) (a) beginning at the time that a Benchmark Replacement Date with respect to such Benchmark has occurred if, at such time, no Benchmark Replacement has replaced such Benchmark for all purposes hereunder and under any Loan Document in accordance with Section 10.1 and (b) ending at the time that a Benchmark Replacement has replaced such Benchmark for all purposes hereunder and under any Loan Document in accordance with Section 10.1. </w:t>
      </w:r>
    </w:p>
    <w:p>
      <w:pPr>
        <w:pStyle w:val="TextBody"/>
        <w:bidi w:val="0"/>
        <w:spacing w:before="240" w:after="0"/>
        <w:jc w:val="both"/>
        <w:rPr/>
      </w:pPr>
      <w:r>
        <w:rPr/>
        <w:t>“</w:t>
      </w:r>
      <w:r>
        <w:rPr>
          <w:rFonts w:ascii="Times New Roman" w:hAnsi="Times New Roman"/>
          <w:sz w:val="24"/>
          <w:u w:val="single"/>
        </w:rPr>
        <w:t>Beneficial Ownership Certification</w:t>
      </w:r>
      <w:r>
        <w:rPr>
          <w:rFonts w:ascii="Times New Roman" w:hAnsi="Times New Roman"/>
          <w:sz w:val="24"/>
        </w:rPr>
        <w:t xml:space="preserve">” shall mean a certification regarding beneficial ownership or control as required by the Beneficial Ownership Regulation. </w:t>
      </w:r>
    </w:p>
    <w:p>
      <w:pPr>
        <w:pStyle w:val="TextBody"/>
        <w:bidi w:val="0"/>
        <w:spacing w:before="240" w:after="0"/>
        <w:jc w:val="both"/>
        <w:rPr/>
      </w:pPr>
      <w:r>
        <w:rPr/>
        <w:t>“</w:t>
      </w:r>
      <w:r>
        <w:rPr>
          <w:rFonts w:ascii="Times New Roman" w:hAnsi="Times New Roman"/>
          <w:sz w:val="24"/>
          <w:u w:val="single"/>
        </w:rPr>
        <w:t>Beneficial Ownership Regulation</w:t>
      </w:r>
      <w:r>
        <w:rPr>
          <w:rFonts w:ascii="Times New Roman" w:hAnsi="Times New Roman"/>
          <w:sz w:val="24"/>
        </w:rPr>
        <w:t xml:space="preserve">” shall mean 31 C.F.R. § 1010.230. </w:t>
      </w:r>
    </w:p>
    <w:p>
      <w:pPr>
        <w:pStyle w:val="TextBody"/>
        <w:bidi w:val="0"/>
        <w:spacing w:before="240" w:after="0"/>
        <w:jc w:val="both"/>
        <w:rPr/>
      </w:pPr>
      <w:r>
        <w:rPr/>
        <w:t>“</w:t>
      </w:r>
      <w:r>
        <w:rPr>
          <w:rFonts w:ascii="Times New Roman" w:hAnsi="Times New Roman"/>
          <w:sz w:val="24"/>
          <w:u w:val="single"/>
        </w:rPr>
        <w:t>Board</w:t>
      </w:r>
      <w:r>
        <w:rPr>
          <w:rFonts w:ascii="Times New Roman" w:hAnsi="Times New Roman"/>
          <w:sz w:val="24"/>
        </w:rPr>
        <w:t xml:space="preserve">” shall mean the Board of Governors of the Federal Reserve System. </w:t>
      </w:r>
    </w:p>
    <w:p>
      <w:pPr>
        <w:pStyle w:val="TextBody"/>
        <w:bidi w:val="0"/>
        <w:spacing w:before="240" w:after="0"/>
        <w:jc w:val="both"/>
        <w:rPr/>
      </w:pPr>
      <w:r>
        <w:rPr/>
        <w:t>“</w:t>
      </w:r>
      <w:r>
        <w:rPr>
          <w:rFonts w:ascii="Times New Roman" w:hAnsi="Times New Roman"/>
          <w:sz w:val="24"/>
          <w:u w:val="single"/>
        </w:rPr>
        <w:t>Borrower</w:t>
      </w:r>
      <w:r>
        <w:rPr>
          <w:rFonts w:ascii="Times New Roman" w:hAnsi="Times New Roman"/>
          <w:sz w:val="24"/>
        </w:rPr>
        <w:t xml:space="preserve">” shall mean the Company or any Subsidiary Borrower designated from time to time by the Company until (in the case of any Subsidiary Borrower) such time as such Subsidiary Borrower is removed as a party hereto pursuant to Section 12.6(b) hereto. </w:t>
      </w:r>
    </w:p>
    <w:p>
      <w:pPr>
        <w:pStyle w:val="TextBody"/>
        <w:bidi w:val="0"/>
        <w:spacing w:before="240" w:after="0"/>
        <w:jc w:val="both"/>
        <w:rPr/>
      </w:pPr>
      <w:r>
        <w:rPr/>
        <w:t>“</w:t>
      </w:r>
      <w:r>
        <w:rPr>
          <w:rFonts w:ascii="Times New Roman" w:hAnsi="Times New Roman"/>
          <w:sz w:val="24"/>
          <w:u w:val="single"/>
        </w:rPr>
        <w:t>Borrower Materials</w:t>
      </w:r>
      <w:r>
        <w:rPr>
          <w:rFonts w:ascii="Times New Roman" w:hAnsi="Times New Roman"/>
          <w:sz w:val="24"/>
        </w:rPr>
        <w:t xml:space="preserve">” shall have the meaning ascribed thereto in Section 6.6 hereof. </w:t>
      </w:r>
    </w:p>
    <w:p>
      <w:pPr>
        <w:pStyle w:val="TextBody"/>
        <w:bidi w:val="0"/>
        <w:spacing w:before="240" w:after="0"/>
        <w:jc w:val="both"/>
        <w:rPr/>
      </w:pPr>
      <w:r>
        <w:rPr/>
        <w:t>“</w:t>
      </w:r>
      <w:r>
        <w:rPr>
          <w:rFonts w:ascii="Times New Roman" w:hAnsi="Times New Roman"/>
          <w:sz w:val="24"/>
          <w:u w:val="single"/>
        </w:rPr>
        <w:t>Business Day</w:t>
      </w:r>
      <w:r>
        <w:rPr>
          <w:rFonts w:ascii="Times New Roman" w:hAnsi="Times New Roman"/>
          <w:sz w:val="24"/>
        </w:rPr>
        <w:t xml:space="preserve">” shall mean any day other than a Saturday, Sunday or other day on which commercial banks are authorized to close under the laws of, or are in fact closed in, the state where the Administrative Agent’s Office with respect to Obligations denominated in Dollars is located and </w:t>
      </w:r>
    </w:p>
    <w:p>
      <w:pPr>
        <w:pStyle w:val="TextBody"/>
        <w:bidi w:val="0"/>
        <w:spacing w:before="240" w:after="0"/>
        <w:jc w:val="both"/>
        <w:rPr>
          <w:rFonts w:ascii="Times New Roman" w:hAnsi="Times New Roman"/>
          <w:sz w:val="24"/>
        </w:rPr>
      </w:pPr>
      <w:r>
        <w:rPr>
          <w:rFonts w:ascii="Times New Roman" w:hAnsi="Times New Roman"/>
          <w:sz w:val="24"/>
        </w:rPr>
        <w:t xml:space="preserve">(a) if such day relates to any Revolving Loan made as a Term Rate Advance and denominated in Euro, shall mean any such day that is also a TARGET Day; </w:t>
      </w:r>
    </w:p>
    <w:p>
      <w:pPr>
        <w:pStyle w:val="TextBody"/>
        <w:bidi w:val="0"/>
        <w:spacing w:before="240" w:after="0"/>
        <w:jc w:val="both"/>
        <w:rPr>
          <w:rFonts w:ascii="Times New Roman" w:hAnsi="Times New Roman"/>
          <w:sz w:val="24"/>
        </w:rPr>
      </w:pPr>
      <w:r>
        <w:rPr>
          <w:rFonts w:ascii="Times New Roman" w:hAnsi="Times New Roman"/>
          <w:sz w:val="24"/>
        </w:rPr>
        <w:t xml:space="preserve">(b) if such day relates to any Revolving Loan made as a Term Rate Advance and denominated in a currency other than Dollars, Yen or Euro, shall also mean any such day on which dealings in deposits in the relevant currency are conducted by and between banks in the London or other applicable offshore interbank market for such currency;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(c) if such day relates to any Revolving Loan made as an SONIA Rate Advance, any day (other than a Saturday or a Sunday) on which banks are open for business in London; and </w:t>
      </w:r>
    </w:p>
    <w:p>
      <w:pPr>
        <w:pStyle w:val="TextBody"/>
        <w:bidi w:val="0"/>
        <w:spacing w:before="240" w:after="0"/>
        <w:jc w:val="both"/>
        <w:rPr>
          <w:rFonts w:ascii="Times New Roman" w:hAnsi="Times New Roman"/>
          <w:sz w:val="24"/>
        </w:rPr>
      </w:pPr>
      <w:r>
        <w:rPr>
          <w:rFonts w:ascii="Times New Roman" w:hAnsi="Times New Roman"/>
          <w:sz w:val="24"/>
        </w:rPr>
        <w:t xml:space="preserve">(d) if such day relates to any Revolving Loan made as a Term Rate Advance and denominated in Yen, shall mean any such day on which banks are also open for business in Japan. </w:t>
      </w:r>
    </w:p>
    <w:p>
      <w:pPr>
        <w:pStyle w:val="TextBody"/>
        <w:bidi w:val="0"/>
        <w:spacing w:before="240" w:after="0"/>
        <w:jc w:val="both"/>
        <w:rPr/>
      </w:pPr>
      <w:r>
        <w:rPr/>
        <w:t>“</w:t>
      </w:r>
      <w:r>
        <w:rPr>
          <w:rFonts w:ascii="Times New Roman" w:hAnsi="Times New Roman"/>
          <w:sz w:val="24"/>
          <w:u w:val="single"/>
        </w:rPr>
        <w:t>Canadian Dollars</w:t>
      </w:r>
      <w:r>
        <w:rPr>
          <w:rFonts w:ascii="Times New Roman" w:hAnsi="Times New Roman"/>
          <w:sz w:val="24"/>
        </w:rPr>
        <w:t>”, “</w:t>
      </w:r>
      <w:r>
        <w:rPr>
          <w:rFonts w:ascii="Times New Roman" w:hAnsi="Times New Roman"/>
          <w:sz w:val="24"/>
          <w:u w:val="single"/>
        </w:rPr>
        <w:t>CAD</w:t>
      </w:r>
      <w:r>
        <w:rPr>
          <w:rFonts w:ascii="Times New Roman" w:hAnsi="Times New Roman"/>
          <w:sz w:val="24"/>
        </w:rPr>
        <w:t>” or “</w:t>
      </w:r>
      <w:r>
        <w:rPr>
          <w:rFonts w:ascii="Times New Roman" w:hAnsi="Times New Roman"/>
          <w:sz w:val="24"/>
          <w:u w:val="single"/>
        </w:rPr>
        <w:t>Cdn. $</w:t>
      </w:r>
      <w:r>
        <w:rPr>
          <w:rFonts w:ascii="Times New Roman" w:hAnsi="Times New Roman"/>
          <w:sz w:val="24"/>
        </w:rPr>
        <w:t xml:space="preserve">” shall mean the lawful currency of Canada. </w:t>
      </w:r>
    </w:p>
    <w:p>
      <w:pPr>
        <w:pStyle w:val="TextBody"/>
        <w:bidi w:val="0"/>
        <w:spacing w:before="240" w:after="0"/>
        <w:jc w:val="both"/>
        <w:rPr/>
      </w:pPr>
      <w:r>
        <w:rPr/>
        <w:t>“</w:t>
      </w:r>
      <w:r>
        <w:rPr>
          <w:rFonts w:ascii="Times New Roman" w:hAnsi="Times New Roman"/>
          <w:sz w:val="24"/>
          <w:u w:val="single"/>
        </w:rPr>
        <w:t>Capitalized Lease Obligation</w:t>
      </w:r>
      <w:r>
        <w:rPr>
          <w:rFonts w:ascii="Times New Roman" w:hAnsi="Times New Roman"/>
          <w:sz w:val="24"/>
        </w:rPr>
        <w:t xml:space="preserve">” shall mean that portion of any obligation of a Person as lessee under a lease which at the time would be required to be capitalized on the balance sheet of such lessee in accordance with GAAP. </w:t>
      </w:r>
    </w:p>
    <w:p>
      <w:pPr>
        <w:pStyle w:val="TextBody"/>
        <w:bidi w:val="0"/>
        <w:spacing w:before="240" w:after="0"/>
        <w:jc w:val="both"/>
        <w:rPr/>
      </w:pPr>
      <w:r>
        <w:rPr/>
        <w:t>“</w:t>
      </w:r>
      <w:r>
        <w:rPr>
          <w:rFonts w:ascii="Times New Roman" w:hAnsi="Times New Roman"/>
          <w:sz w:val="24"/>
          <w:u w:val="single"/>
        </w:rPr>
        <w:t>Cash Collateralize</w:t>
      </w:r>
      <w:r>
        <w:rPr>
          <w:rFonts w:ascii="Times New Roman" w:hAnsi="Times New Roman"/>
          <w:sz w:val="24"/>
        </w:rPr>
        <w:t xml:space="preserve">” shall mean to pledge and deposit with or deliver to the Administrative Agent, for the benefit of the Administrative Agent or Issuing Banks (as applicable) and the Lenders, as collateral for L/C Obligations, or obligations of Lenders to fund participations in respect thereof, cash or deposit account balances or, if the Issuing Bank benefiting from such collateral shall agree in its sole discretion, other credit support, in each case pursuant to documentation in form and substance satisfactory to (a) the Administrative Agent and (b) the applicable Issuing Bank. </w:t>
      </w:r>
    </w:p>
    <w:p>
      <w:pPr>
        <w:pStyle w:val="TextBody"/>
        <w:bidi w:val="0"/>
        <w:spacing w:before="240" w:after="0"/>
        <w:jc w:val="both"/>
        <w:rPr/>
      </w:pPr>
      <w:r>
        <w:rPr/>
        <w:t>“</w:t>
      </w:r>
      <w:r>
        <w:rPr>
          <w:rFonts w:ascii="Times New Roman" w:hAnsi="Times New Roman"/>
          <w:sz w:val="24"/>
          <w:u w:val="single"/>
        </w:rPr>
        <w:t>Cash Collateral</w:t>
      </w:r>
      <w:r>
        <w:rPr>
          <w:rFonts w:ascii="Times New Roman" w:hAnsi="Times New Roman"/>
          <w:sz w:val="24"/>
        </w:rPr>
        <w:t xml:space="preserve">” shall have a meaning correlative to the foregoing and shall include the proceeds of such cash collateral and other credit support. </w:t>
      </w:r>
    </w:p>
    <w:p>
      <w:pPr>
        <w:pStyle w:val="TextBody"/>
        <w:bidi w:val="0"/>
        <w:spacing w:before="240" w:after="0"/>
        <w:jc w:val="both"/>
        <w:rPr/>
      </w:pPr>
      <w:r>
        <w:rPr/>
        <w:t>“</w:t>
      </w:r>
      <w:r>
        <w:rPr>
          <w:rFonts w:ascii="Times New Roman" w:hAnsi="Times New Roman"/>
          <w:sz w:val="24"/>
          <w:u w:val="single"/>
        </w:rPr>
        <w:t>Cash Equivalents</w:t>
      </w:r>
      <w:r>
        <w:rPr>
          <w:rFonts w:ascii="Times New Roman" w:hAnsi="Times New Roman"/>
          <w:sz w:val="24"/>
        </w:rPr>
        <w:t xml:space="preserve">” shall mean ‘cash equivalents’ as defined under and determined in accordance with generally accepted accounting principles.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Certain Funds Acquisition” shall mean any Acquisition (as defined herein) by the Company or any of its Subsidiaries and designated in writing to the Administrative Agent as a Certain Funds Acquisition, that is to be funded, in whole or in part, with the proceeds of Certain Funds Advances; provided that (i) such Acquisition is not prohibited under the terms of this Agreement and (ii) the definitive agreement providing for the consummation of such Certain Funds Acquisition is not conditioned upon the availability of financing, as determined by the Company in good faith.</w:t>
      </w:r>
      <w:r>
        <w:rPr>
          <w:rFonts w:ascii="Times New Roman" w:hAnsi="Times New Roman"/>
          <w:sz w:val="24"/>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Certain Funds Advance” shall mean a Revolving Loan requested by the Company pursuant to Section 2.2(a) and designated by the Company as a Certain Funds Advance in the applicable Request for Advance, the proceeds of which are to be applied to the Certain Funds Purpose in connection with a Certain Funds Acquisition; provided that (i) no Certain Funds Advance shall exceed the Certain Funds Sublimit then in effect and (ii) each Certain Funds Advance shall be requested and funded during the applicable Certain Funds Period.</w:t>
      </w:r>
      <w:r>
        <w:rPr>
          <w:rFonts w:ascii="Times New Roman" w:hAnsi="Times New Roman"/>
          <w:sz w:val="24"/>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Certain Funds Commitment” shall mean, with respect to any Lender, its Commitment hereunder to make Certain Funds Advances hereunder in an amount equal to its pro rata share of the Certain Funds Sublimit.</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Certain Funds Period” shall mean, with respect to any Certain Funds Acquisition, the period from and including the date on which the Company or any of its Subsidiaries enters into a definitive agreement providing for the consummation of such Certain Funds Acquisition for which it has delivered written designation described in the definition of ‘Certain Funds Acquisition’ to the Administrative Agent, until the first to occur of (i) the consummation of such Certain Funds Acquisition, (ii) the date on which such definitive agreement is terminated in accordance with its terms without the consummation of such Certain Funds Acquisition and (iii) the date on which the Company publicly announces (or notifies the Administrative Agent in writing) that such definitive agreement has been terminated in accordance with its terms without the consummation of such Certain Funds Acquisition (or such later date as may be agreed in writing by the Administrative Agent in its sole discretion).</w:t>
      </w:r>
      <w:r>
        <w:rPr>
          <w:rFonts w:ascii="Times New Roman" w:hAnsi="Times New Roman"/>
          <w:sz w:val="24"/>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Certain Funds Purpose” shall mean one or more of the purposes set out in Section 5.8(b).</w:t>
      </w:r>
      <w:r>
        <w:rPr>
          <w:rFonts w:ascii="Times New Roman" w:hAnsi="Times New Roman"/>
          <w:sz w:val="24"/>
        </w:rPr>
        <w:t xml:space="preserve"> </w:t>
      </w:r>
    </w:p>
    <w:p>
      <w:pPr>
        <w:pStyle w:val="TextBody"/>
        <w:bidi w:val="0"/>
        <w:spacing w:before="240" w:after="0"/>
        <w:jc w:val="both"/>
        <w:rPr>
          <w:color w:val="0000FF"/>
        </w:rPr>
      </w:pPr>
      <w:r>
        <w:rPr>
          <w:color w:val="0000FF"/>
          <w:u w:val="single"/>
          <w:bdr w:val="double" w:sz="2" w:space="1" w:color="000000"/>
        </w:rPr>
        <w:t>“</w:t>
      </w:r>
      <w:r>
        <w:rPr>
          <w:rFonts w:ascii="Times New Roman" w:hAnsi="Times New Roman"/>
          <w:color w:val="0000FF"/>
          <w:sz w:val="24"/>
          <w:u w:val="single"/>
          <w:bdr w:val="double" w:sz="2" w:space="1" w:color="000000"/>
        </w:rPr>
        <w:t xml:space="preserve">Certain Funds Sublimit” shall mean $5,000,000,000. The Certain Funds Sublimit is part of, and not in addition to, the aggregate Revolving Loan Commitments of the Lenders hereunder, and shall expire at the end of the Certain Funds Period; </w:t>
      </w:r>
      <w:r>
        <w:rPr>
          <w:rFonts w:ascii="Times New Roman" w:hAnsi="Times New Roman"/>
          <w:i/>
          <w:color w:val="0000FF"/>
          <w:sz w:val="24"/>
          <w:u w:val="single"/>
          <w:bdr w:val="double" w:sz="2" w:space="1" w:color="000000"/>
        </w:rPr>
        <w:t>provided</w:t>
      </w:r>
      <w:r>
        <w:rPr>
          <w:rFonts w:ascii="Times New Roman" w:hAnsi="Times New Roman"/>
          <w:color w:val="0000FF"/>
          <w:sz w:val="24"/>
          <w:u w:val="single"/>
          <w:bdr w:val="double" w:sz="2" w:space="1" w:color="000000"/>
        </w:rPr>
        <w:t xml:space="preserve"> that, for the avoidance of doubt, the Borrower may make multiple Certain Funds Advances from time to time during the applicable Certain Funds Period, so long as the aggregate outstanding amount of all Certain Funds Advances does not exceed $5,000,000,000 at any one time.</w:t>
      </w:r>
      <w:r>
        <w:rPr>
          <w:rFonts w:ascii="Times New Roman" w:hAnsi="Times New Roman"/>
          <w:color w:val="0000FF"/>
          <w:sz w:val="24"/>
        </w:rPr>
        <w:t xml:space="preserve"> </w:t>
      </w:r>
    </w:p>
    <w:p>
      <w:pPr>
        <w:pStyle w:val="TextBody"/>
        <w:bidi w:val="0"/>
        <w:spacing w:before="240" w:after="0"/>
        <w:jc w:val="both"/>
        <w:rPr/>
      </w:pPr>
      <w:r>
        <w:rPr/>
        <w:t>“</w:t>
      </w:r>
      <w:r>
        <w:rPr>
          <w:rFonts w:ascii="Times New Roman" w:hAnsi="Times New Roman"/>
          <w:sz w:val="24"/>
          <w:u w:val="single"/>
        </w:rPr>
        <w:t>Change of Control</w:t>
      </w:r>
      <w:r>
        <w:rPr>
          <w:rFonts w:ascii="Times New Roman" w:hAnsi="Times New Roman"/>
          <w:sz w:val="24"/>
        </w:rPr>
        <w:t xml:space="preserve">” shall mean (a) the acquisition, directly or indirectly, by any Person or group (as such term is used in Section 13(d)(3) of the Exchange Act) of more than fifty percent (50%) of the voting power of the voting stock of either the Company (if the Company is not a Subsidiary of any Person) or of the ultimate parent entity of which the Company is a Subsidiary (if the Company is a Subsidiary of any Person), as the case may be, by way of merger or consolidation or otherwise, or (b) a change shall occur in a majority of the members of the Company’s board of directors (including the Chairman and President) within a year-long period such that such majority shall no longer consist of Continuing Directors.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Closing Date” means, with respect to any Certain Funds Acquisition, the date on which the Lenders make the Certain Funds Advance in connection with such Certain Funds Acquisition pursuant to Section 3.5</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Code</w:t>
      </w:r>
      <w:r>
        <w:rPr>
          <w:rFonts w:ascii="Times New Roman" w:hAnsi="Times New Roman"/>
          <w:sz w:val="24"/>
        </w:rPr>
        <w:t xml:space="preserve">” shall mean the Internal Revenue Code of 1986, as amended from time to time. </w:t>
      </w:r>
    </w:p>
    <w:p>
      <w:pPr>
        <w:pStyle w:val="TextBody"/>
        <w:bidi w:val="0"/>
        <w:spacing w:before="240" w:after="0"/>
        <w:jc w:val="both"/>
        <w:rPr/>
      </w:pPr>
      <w:r>
        <w:rPr/>
        <w:t>“</w:t>
      </w:r>
      <w:r>
        <w:rPr>
          <w:rFonts w:ascii="Times New Roman" w:hAnsi="Times New Roman"/>
          <w:sz w:val="24"/>
          <w:u w:val="single"/>
        </w:rPr>
        <w:t>Commercial Letter of Credit</w:t>
      </w:r>
      <w:r>
        <w:rPr>
          <w:rFonts w:ascii="Times New Roman" w:hAnsi="Times New Roman"/>
          <w:sz w:val="24"/>
        </w:rPr>
        <w:t xml:space="preserve">” shall mean a documentary letter of credit issued in respect of the purchase of goods or services by the Company or any of its Subsidiaries by an Issuing Bank in accordance with the terms of this Agreement. </w:t>
      </w:r>
    </w:p>
    <w:p>
      <w:pPr>
        <w:pStyle w:val="TextBody"/>
        <w:bidi w:val="0"/>
        <w:spacing w:before="240" w:after="0"/>
        <w:jc w:val="both"/>
        <w:rPr/>
      </w:pPr>
      <w:r>
        <w:rPr/>
        <w:t>“</w:t>
      </w:r>
      <w:r>
        <w:rPr>
          <w:rFonts w:ascii="Times New Roman" w:hAnsi="Times New Roman"/>
          <w:sz w:val="24"/>
          <w:u w:val="single"/>
        </w:rPr>
        <w:t>Commitment Ratio</w:t>
      </w:r>
      <w:r>
        <w:rPr>
          <w:rFonts w:ascii="Times New Roman" w:hAnsi="Times New Roman"/>
          <w:sz w:val="24"/>
        </w:rPr>
        <w:t xml:space="preserve">” shall mean the percentage in which a Lender is severally bound to fund its portion of Advances to the Company or any Subsidiary Borrower under the Revolving Loan Commitments, as set forth on </w:t>
      </w:r>
      <w:r>
        <w:rPr>
          <w:rFonts w:ascii="Times New Roman" w:hAnsi="Times New Roman"/>
          <w:sz w:val="24"/>
          <w:u w:val="single"/>
        </w:rPr>
        <w:t>Schedule 1</w:t>
      </w:r>
      <w:r>
        <w:rPr>
          <w:rFonts w:ascii="Times New Roman" w:hAnsi="Times New Roman"/>
          <w:sz w:val="24"/>
        </w:rPr>
        <w:t xml:space="preserve"> attached hereto (together with Dollar amounts) (and which may change from time to time in accordance with the terms hereof). </w:t>
      </w:r>
    </w:p>
    <w:p>
      <w:pPr>
        <w:pStyle w:val="TextBody"/>
        <w:bidi w:val="0"/>
        <w:spacing w:before="240" w:after="0"/>
        <w:jc w:val="both"/>
        <w:rPr/>
      </w:pPr>
      <w:r>
        <w:rPr/>
        <w:t>“</w:t>
      </w:r>
      <w:r>
        <w:rPr>
          <w:rFonts w:ascii="Times New Roman" w:hAnsi="Times New Roman"/>
          <w:sz w:val="24"/>
          <w:u w:val="single"/>
        </w:rPr>
        <w:t>Commitments</w:t>
      </w:r>
      <w:r>
        <w:rPr>
          <w:rFonts w:ascii="Times New Roman" w:hAnsi="Times New Roman"/>
          <w:sz w:val="24"/>
        </w:rPr>
        <w:t xml:space="preserve">” shall mean, collectively, the Revolving Loan Commitments and, if applicable, the L/C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Communications Act</w:t>
      </w:r>
      <w:r>
        <w:rPr>
          <w:rFonts w:ascii="Times New Roman" w:hAnsi="Times New Roman"/>
          <w:sz w:val="24"/>
        </w:rPr>
        <w:t xml:space="preserve">” shall mean the Communications Act of 1934, and any similar or successor Federal statute, and the rules and regulations of the FCC or other similar or successor agency thereunder, all as the same may be in effect from time to time. </w:t>
      </w:r>
    </w:p>
    <w:p>
      <w:pPr>
        <w:pStyle w:val="TextBody"/>
        <w:bidi w:val="0"/>
        <w:spacing w:before="240" w:after="0"/>
        <w:jc w:val="both"/>
        <w:rPr/>
      </w:pPr>
      <w:r>
        <w:rPr/>
        <w:t>“</w:t>
      </w:r>
      <w:r>
        <w:rPr>
          <w:rFonts w:ascii="Times New Roman" w:hAnsi="Times New Roman"/>
          <w:sz w:val="24"/>
          <w:u w:val="single"/>
        </w:rPr>
        <w:t>Company</w:t>
      </w:r>
      <w:r>
        <w:rPr>
          <w:rFonts w:ascii="Times New Roman" w:hAnsi="Times New Roman"/>
          <w:sz w:val="24"/>
        </w:rPr>
        <w:t xml:space="preserve">” shall have the meaning ascribed thereto in the preamble hereof. </w:t>
      </w:r>
    </w:p>
    <w:p>
      <w:pPr>
        <w:pStyle w:val="TextBody"/>
        <w:bidi w:val="0"/>
        <w:spacing w:before="240" w:after="0"/>
        <w:jc w:val="both"/>
        <w:rPr/>
      </w:pPr>
      <w:r>
        <w:rPr/>
        <w:t>“</w:t>
      </w:r>
      <w:r>
        <w:rPr>
          <w:rFonts w:ascii="Times New Roman" w:hAnsi="Times New Roman"/>
          <w:sz w:val="24"/>
          <w:u w:val="single"/>
        </w:rPr>
        <w:t>Conforming Changes</w:t>
      </w:r>
      <w:r>
        <w:rPr>
          <w:rFonts w:ascii="Times New Roman" w:hAnsi="Times New Roman"/>
          <w:sz w:val="24"/>
        </w:rPr>
        <w:t xml:space="preserve">” shall mean, with respect to either the use or administration of an initial Benchmark or the use, administration, adoption or implementation of any Benchmark Replacement, any technical, administrative or operational changes (including changes to the definition of “the Base Rate” (if applicable),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2.9 and other technical, administrative or operational matters) that the Administrative Agent decides (in consultation with the Company) may be appropriate to reflect the adoption and implementation of any such rate or to permit the use and administration thereof by the Administrative Agent in a manner substantially consistent with market practice (or, if the Administrative Agent decides (in consultation with the Company) that adoption of any portion of such market practice is not administratively feasible or if the Administrative Agent determines (in consultation with the Company) that no market practice for the administration of any such rate exists, in such other manner of administration as the Administrative Agent decides (in consultation with the Company) is reasonably necessary in connection with the administration of this Agreement and the other Loan Documents). </w:t>
      </w:r>
    </w:p>
    <w:p>
      <w:pPr>
        <w:pStyle w:val="TextBody"/>
        <w:bidi w:val="0"/>
        <w:spacing w:before="240" w:after="0"/>
        <w:jc w:val="both"/>
        <w:rPr/>
      </w:pPr>
      <w:r>
        <w:rPr/>
        <w:t>“</w:t>
      </w:r>
      <w:r>
        <w:rPr>
          <w:rFonts w:ascii="Times New Roman" w:hAnsi="Times New Roman"/>
          <w:sz w:val="24"/>
          <w:u w:val="single"/>
        </w:rPr>
        <w:t>Consolidated Total Assets</w:t>
      </w:r>
      <w:r>
        <w:rPr>
          <w:rFonts w:ascii="Times New Roman" w:hAnsi="Times New Roman"/>
          <w:sz w:val="24"/>
        </w:rPr>
        <w:t xml:space="preserve">” shall mean as of any date the total assets of the Company and its Subsidiaries on a consolidated basis shown on the consolidated balance sheet of the Company and its Subsidiaries as of such date and determined in accordance with GAAP. </w:t>
      </w:r>
    </w:p>
    <w:p>
      <w:pPr>
        <w:pStyle w:val="TextBody"/>
        <w:bidi w:val="0"/>
        <w:spacing w:before="240" w:after="0"/>
        <w:jc w:val="both"/>
        <w:rPr/>
      </w:pPr>
      <w:r>
        <w:rPr/>
        <w:t>“</w:t>
      </w:r>
      <w:r>
        <w:rPr>
          <w:rFonts w:ascii="Times New Roman" w:hAnsi="Times New Roman"/>
          <w:sz w:val="24"/>
          <w:u w:val="single"/>
        </w:rPr>
        <w:t>Continue</w:t>
      </w:r>
      <w:r>
        <w:rPr>
          <w:rFonts w:ascii="Times New Roman" w:hAnsi="Times New Roman"/>
          <w:sz w:val="24"/>
        </w:rPr>
        <w:t>”, “</w:t>
      </w:r>
      <w:r>
        <w:rPr>
          <w:rFonts w:ascii="Times New Roman" w:hAnsi="Times New Roman"/>
          <w:sz w:val="24"/>
          <w:u w:val="single"/>
        </w:rPr>
        <w:t>Continuation</w:t>
      </w:r>
      <w:r>
        <w:rPr>
          <w:rFonts w:ascii="Times New Roman" w:hAnsi="Times New Roman"/>
          <w:sz w:val="24"/>
        </w:rPr>
        <w:t>”, “</w:t>
      </w:r>
      <w:r>
        <w:rPr>
          <w:rFonts w:ascii="Times New Roman" w:hAnsi="Times New Roman"/>
          <w:sz w:val="24"/>
          <w:u w:val="single"/>
        </w:rPr>
        <w:t>Continuing</w:t>
      </w:r>
      <w:r>
        <w:rPr>
          <w:rFonts w:ascii="Times New Roman" w:hAnsi="Times New Roman"/>
          <w:sz w:val="24"/>
        </w:rPr>
        <w:t>” and “</w:t>
      </w:r>
      <w:r>
        <w:rPr>
          <w:rFonts w:ascii="Times New Roman" w:hAnsi="Times New Roman"/>
          <w:sz w:val="24"/>
          <w:u w:val="single"/>
        </w:rPr>
        <w:t>Continued</w:t>
      </w:r>
      <w:r>
        <w:rPr>
          <w:rFonts w:ascii="Times New Roman" w:hAnsi="Times New Roman"/>
          <w:sz w:val="24"/>
        </w:rPr>
        <w:t xml:space="preserve">” shall mean the continuation pursuant to Article 2 hereof of a Term Rate Advance as a Term Rate Advance from one Interest Period to a different Interest Period. </w:t>
      </w:r>
    </w:p>
    <w:p>
      <w:pPr>
        <w:pStyle w:val="TextBody"/>
        <w:bidi w:val="0"/>
        <w:spacing w:before="240" w:after="0"/>
        <w:jc w:val="both"/>
        <w:rPr/>
      </w:pPr>
      <w:r>
        <w:rPr/>
        <w:t>“</w:t>
      </w:r>
      <w:r>
        <w:rPr>
          <w:rFonts w:ascii="Times New Roman" w:hAnsi="Times New Roman"/>
          <w:sz w:val="24"/>
          <w:u w:val="single"/>
        </w:rPr>
        <w:t>Continuing Director</w:t>
      </w:r>
      <w:r>
        <w:rPr>
          <w:rFonts w:ascii="Times New Roman" w:hAnsi="Times New Roman"/>
          <w:sz w:val="24"/>
        </w:rPr>
        <w:t xml:space="preserve">” shall mean a director who either (a) was a member of the Company’s board of directors on the date of this Agreement, (b) becomes a member of the Company’s board of directors subsequent to the date of this Agreement and whose appointment, election or nomination for election by the Company’s stockholders is duly approved by a majority of the directors referred to in clause (a) above constituting at the time of such appointment, election or nomination at least a majority of that board, or (c) becomes a member of the Company’s board of directors subsequent to the date of this Agreement and whose appointment, election or nomination for election by the Company’s stockholders is duly approved by a majority of the directors referred to in clauses (a) and (b) above constituting at the time of such appointment, election or nomination at least a majority of that board. </w:t>
      </w:r>
    </w:p>
    <w:p>
      <w:pPr>
        <w:pStyle w:val="TextBody"/>
        <w:bidi w:val="0"/>
        <w:spacing w:before="240" w:after="0"/>
        <w:jc w:val="both"/>
        <w:rPr/>
      </w:pPr>
      <w:r>
        <w:rPr/>
        <w:t>“</w:t>
      </w:r>
      <w:r>
        <w:rPr>
          <w:rFonts w:ascii="Times New Roman" w:hAnsi="Times New Roman"/>
          <w:sz w:val="24"/>
          <w:u w:val="single"/>
        </w:rPr>
        <w:t>Convert</w:t>
      </w:r>
      <w:r>
        <w:rPr>
          <w:rFonts w:ascii="Times New Roman" w:hAnsi="Times New Roman"/>
          <w:sz w:val="24"/>
        </w:rPr>
        <w:t>”, “</w:t>
      </w:r>
      <w:r>
        <w:rPr>
          <w:rFonts w:ascii="Times New Roman" w:hAnsi="Times New Roman"/>
          <w:sz w:val="24"/>
          <w:u w:val="single"/>
        </w:rPr>
        <w:t>Conversion</w:t>
      </w:r>
      <w:r>
        <w:rPr>
          <w:rFonts w:ascii="Times New Roman" w:hAnsi="Times New Roman"/>
          <w:sz w:val="24"/>
        </w:rPr>
        <w:t>” and “</w:t>
      </w:r>
      <w:r>
        <w:rPr>
          <w:rFonts w:ascii="Times New Roman" w:hAnsi="Times New Roman"/>
          <w:sz w:val="24"/>
          <w:u w:val="single"/>
        </w:rPr>
        <w:t>Converted</w:t>
      </w:r>
      <w:r>
        <w:rPr>
          <w:rFonts w:ascii="Times New Roman" w:hAnsi="Times New Roman"/>
          <w:sz w:val="24"/>
        </w:rPr>
        <w:t xml:space="preserve">” shall mean a conversion pursuant to Article 2 hereof of a Term Rate Advance denominated in Dollars into a Base Rate Advance or of a Base Rate Advance into a Term Rate Advance,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CORRA</w:t>
      </w:r>
      <w:r>
        <w:rPr>
          <w:rFonts w:ascii="Times New Roman" w:hAnsi="Times New Roman"/>
          <w:sz w:val="24"/>
        </w:rPr>
        <w:t xml:space="preserve">” shall mean the Canadian Overnight Repo Rate Average administered and published by the Bank of Canada (or any successor administrator). </w:t>
      </w:r>
    </w:p>
    <w:p>
      <w:pPr>
        <w:pStyle w:val="TextBody"/>
        <w:bidi w:val="0"/>
        <w:spacing w:before="240" w:after="0"/>
        <w:jc w:val="both"/>
        <w:rPr/>
      </w:pPr>
      <w:r>
        <w:rPr/>
        <w:t>“</w:t>
      </w:r>
      <w:r>
        <w:rPr>
          <w:rFonts w:ascii="Times New Roman" w:hAnsi="Times New Roman"/>
          <w:sz w:val="24"/>
          <w:u w:val="single"/>
        </w:rPr>
        <w:t>Credit Extension</w:t>
      </w:r>
      <w:r>
        <w:rPr>
          <w:rFonts w:ascii="Times New Roman" w:hAnsi="Times New Roman"/>
          <w:sz w:val="24"/>
        </w:rPr>
        <w:t xml:space="preserve">” shall mean each of the following: (a) an Advance and (b) with respect to any Letter of Credit, the issuance thereof or extension of the expiry date thereof, or the increase of the amount thereof.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CRR” shall mean Regulation (EU) No 575/2013 of the European Parliament and of the Council of 26 June 2013 on prudential requirements for credit institutions and amending Regulation (EU) No 648/2012, as amended from time to time.</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Daily Simple SOFR</w:t>
      </w:r>
      <w:r>
        <w:rPr>
          <w:rFonts w:ascii="Times New Roman" w:hAnsi="Times New Roman"/>
          <w:sz w:val="24"/>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240" w:after="0"/>
        <w:jc w:val="both"/>
        <w:rPr/>
      </w:pPr>
      <w:r>
        <w:rPr/>
        <w:t>“</w:t>
      </w:r>
      <w:r>
        <w:rPr>
          <w:rFonts w:ascii="Times New Roman" w:hAnsi="Times New Roman"/>
          <w:sz w:val="24"/>
          <w:u w:val="single"/>
        </w:rPr>
        <w:t>Debt Rating</w:t>
      </w:r>
      <w:r>
        <w:rPr>
          <w:rFonts w:ascii="Times New Roman" w:hAnsi="Times New Roman"/>
          <w:sz w:val="24"/>
        </w:rPr>
        <w:t xml:space="preserve">” shall mean, as of any date, the senior unsecured debt rating of the Company that has been most recently announced by S&amp;P, Moody’s or Fitch, as the case may be. </w:t>
      </w:r>
    </w:p>
    <w:p>
      <w:pPr>
        <w:pStyle w:val="TextBody"/>
        <w:bidi w:val="0"/>
        <w:spacing w:before="240" w:after="0"/>
        <w:jc w:val="both"/>
        <w:rPr/>
      </w:pPr>
      <w:r>
        <w:rPr/>
        <w:t>“</w:t>
      </w:r>
      <w:r>
        <w:rPr>
          <w:rFonts w:ascii="Times New Roman" w:hAnsi="Times New Roman"/>
          <w:sz w:val="24"/>
          <w:u w:val="single"/>
        </w:rPr>
        <w:t>Default</w:t>
      </w:r>
      <w:r>
        <w:rPr>
          <w:rFonts w:ascii="Times New Roman" w:hAnsi="Times New Roman"/>
          <w:sz w:val="24"/>
        </w:rPr>
        <w:t xml:space="preserve">” shall mean any Event of Default, and any of the events specified in Section 8.1 hereof, regardless of whether there shall have occurred any passage of time or giving of notice, or both, that would be necessary in order to constitute such event an Event of Default. </w:t>
      </w:r>
    </w:p>
    <w:p>
      <w:pPr>
        <w:pStyle w:val="TextBody"/>
        <w:bidi w:val="0"/>
        <w:spacing w:before="240" w:after="0"/>
        <w:jc w:val="both"/>
        <w:rPr/>
      </w:pPr>
      <w:r>
        <w:rPr/>
        <w:t>“</w:t>
      </w:r>
      <w:r>
        <w:rPr>
          <w:rFonts w:ascii="Times New Roman" w:hAnsi="Times New Roman"/>
          <w:sz w:val="24"/>
          <w:u w:val="single"/>
        </w:rPr>
        <w:t>Default Rate</w:t>
      </w:r>
      <w:r>
        <w:rPr>
          <w:rFonts w:ascii="Times New Roman" w:hAnsi="Times New Roman"/>
          <w:sz w:val="24"/>
        </w:rPr>
        <w:t xml:space="preserve">” shall mean a simple per annum interest rate equal to the sum of (a) the then applicable Interest Rate Basis (including the Applicable Margin), and (b) two percent (2.0%). </w:t>
      </w:r>
    </w:p>
    <w:p>
      <w:pPr>
        <w:pStyle w:val="TextBody"/>
        <w:bidi w:val="0"/>
        <w:spacing w:before="240" w:after="0"/>
        <w:jc w:val="both"/>
        <w:rPr/>
      </w:pPr>
      <w:r>
        <w:rPr/>
        <w:t>“</w:t>
      </w:r>
      <w:r>
        <w:rPr>
          <w:rFonts w:ascii="Times New Roman" w:hAnsi="Times New Roman"/>
          <w:sz w:val="24"/>
          <w:u w:val="single"/>
        </w:rPr>
        <w:t>Defaulting Lender</w:t>
      </w:r>
      <w:r>
        <w:rPr>
          <w:rFonts w:ascii="Times New Roman" w:hAnsi="Times New Roman"/>
          <w:sz w:val="24"/>
        </w:rPr>
        <w:t xml:space="preserve">” shall mean, subject to Section 2.16(b), any Lender that, as determined by the Administrative Agent, (a) has failed to perform any of its funding obligations hereunder, including in respect of its Loans or participations in respect of Letters of Credit or Swingline Loans, within three (3) Business Days of the date required to be funded by it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Company, or the Administrative Agent, an Issuing Bank or the Swingline Lender that it does not intend to comply with its funding obligations hereunder or has made a public statement to that effect with respect to its funding obligations hereunder or under other agreements generally in which it commits to extend credit, (c) has failed, within three (3) Business Days after request by the Administrative Agent, to confirm in a manner reasonably satisfactory to the Administrative Agent that it will comply with its funding obligations under this Agreement, or (d) has, or has a direct or indirect parent company that has, other than via an Undisclosed Administration, (i) become the subject of a voluntary proceeding under any bankruptcy or other debtor relief law or has become the subject of a Bail-In Action, (ii) had a receiver, conservator, trustee, administrator, assignee for the benefit of creditors or similar Person charged with reorganization or liquidation of its business or a custodian appointed for it,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(iii) taken any action in furtherance of, or indicated its consent to, approval of or acquiescence in any voluntary or involuntary proceeding under any bankruptcy or other debtor relief law or any such appointment; </w:t>
      </w:r>
      <w:r>
        <w:rPr>
          <w:rFonts w:ascii="Times New Roman" w:hAnsi="Times New Roman"/>
          <w:sz w:val="24"/>
          <w:u w:val="single"/>
        </w:rPr>
        <w:t>provided</w:t>
      </w:r>
      <w:r>
        <w:rPr>
          <w:rFonts w:ascii="Times New Roman" w:hAnsi="Times New Roman"/>
          <w:sz w:val="24"/>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2.16(b)) upon delivery of written notice of such determination to the Company, each Issuing Bank, the Swingline Lender and each Lender. </w:t>
      </w:r>
    </w:p>
    <w:p>
      <w:pPr>
        <w:pStyle w:val="TextBody"/>
        <w:bidi w:val="0"/>
        <w:spacing w:before="240" w:after="0"/>
        <w:jc w:val="both"/>
        <w:rPr/>
      </w:pPr>
      <w:r>
        <w:rPr/>
        <w:t>“</w:t>
      </w:r>
      <w:r>
        <w:rPr>
          <w:rFonts w:ascii="Times New Roman" w:hAnsi="Times New Roman"/>
          <w:sz w:val="24"/>
          <w:u w:val="single"/>
        </w:rPr>
        <w:t>Designated Person</w:t>
      </w:r>
      <w:r>
        <w:rPr>
          <w:rFonts w:ascii="Times New Roman" w:hAnsi="Times New Roman"/>
          <w:sz w:val="24"/>
        </w:rPr>
        <w:t>” shall mean a person or entity subject of Sanctions Law and Regulations, including, (a) listed in the annex to, or otherwise subject to the provisions of, any Executive Order (as defined in the definition of “Sanctions Laws and Regulations”), (b) named as a “Specifically Designated National and Blocked Person” on the most current list published by the U.S. Department of the Treasury Office of Foreign Assets Control at its official website or any replacement website or other replacement official publication of such list (the “</w:t>
      </w:r>
      <w:r>
        <w:rPr>
          <w:rFonts w:ascii="Times New Roman" w:hAnsi="Times New Roman"/>
          <w:sz w:val="24"/>
          <w:u w:val="single"/>
        </w:rPr>
        <w:t>SDN List</w:t>
      </w:r>
      <w:r>
        <w:rPr>
          <w:rFonts w:ascii="Times New Roman" w:hAnsi="Times New Roman"/>
          <w:sz w:val="24"/>
        </w:rPr>
        <w:t xml:space="preserve">”), (c) any Person listed in any sanctions-related list of designated Persons maintained by the United Nations Security Council, the European Union, the United Kingdom or any EU member state, (d) any Person located, organized or resident in a Sanctioned Country or (e) in which an entity or person on the SDN List (or any combination of such entities or persons) has 50% or greater direct or indirect ownership interest or that is otherwise controlled, directly or indirectly, by an entity or person on the SDN List (or any combination of such entities or persons). </w:t>
      </w:r>
    </w:p>
    <w:p>
      <w:pPr>
        <w:pStyle w:val="TextBody"/>
        <w:bidi w:val="0"/>
        <w:spacing w:before="240" w:after="0"/>
        <w:jc w:val="both"/>
        <w:rPr/>
      </w:pPr>
      <w:r>
        <w:rPr/>
        <w:t>“</w:t>
      </w:r>
      <w:r>
        <w:rPr>
          <w:rFonts w:ascii="Times New Roman" w:hAnsi="Times New Roman"/>
          <w:sz w:val="24"/>
          <w:u w:val="single"/>
        </w:rPr>
        <w:t>Designation Agreement</w:t>
      </w:r>
      <w:r>
        <w:rPr>
          <w:rFonts w:ascii="Times New Roman" w:hAnsi="Times New Roman"/>
          <w:sz w:val="24"/>
        </w:rPr>
        <w:t xml:space="preserve">” shall mean, with respect to any Subsidiary Borrower, an agreement in the form of Exhibit H hereto signed by such Subsidiary Borrower and the Company. </w:t>
      </w:r>
    </w:p>
    <w:p>
      <w:pPr>
        <w:pStyle w:val="TextBody"/>
        <w:bidi w:val="0"/>
        <w:spacing w:before="240" w:after="0"/>
        <w:jc w:val="both"/>
        <w:rPr/>
      </w:pPr>
      <w:r>
        <w:rPr/>
        <w:t>“</w:t>
      </w:r>
      <w:r>
        <w:rPr>
          <w:rFonts w:ascii="Times New Roman" w:hAnsi="Times New Roman"/>
          <w:sz w:val="24"/>
          <w:u w:val="single"/>
        </w:rPr>
        <w:t>Dollar</w:t>
      </w:r>
      <w:r>
        <w:rPr>
          <w:rFonts w:ascii="Times New Roman" w:hAnsi="Times New Roman"/>
          <w:sz w:val="24"/>
        </w:rPr>
        <w:t>” and “</w:t>
      </w:r>
      <w:r>
        <w:rPr>
          <w:rFonts w:ascii="Times New Roman" w:hAnsi="Times New Roman"/>
          <w:sz w:val="24"/>
          <w:u w:val="single"/>
        </w:rPr>
        <w:t>$</w:t>
      </w:r>
      <w:r>
        <w:rPr>
          <w:rFonts w:ascii="Times New Roman" w:hAnsi="Times New Roman"/>
          <w:sz w:val="24"/>
        </w:rPr>
        <w:t xml:space="preserve">” shall mean lawful money of the United States. </w:t>
      </w:r>
    </w:p>
    <w:p>
      <w:pPr>
        <w:pStyle w:val="TextBody"/>
        <w:bidi w:val="0"/>
        <w:spacing w:before="240" w:after="0"/>
        <w:jc w:val="both"/>
        <w:rPr/>
      </w:pPr>
      <w:r>
        <w:rPr/>
        <w:t>“</w:t>
      </w:r>
      <w:r>
        <w:rPr>
          <w:rFonts w:ascii="Times New Roman" w:hAnsi="Times New Roman"/>
          <w:sz w:val="24"/>
          <w:u w:val="single"/>
        </w:rPr>
        <w:t>Dollar Equivalent</w:t>
      </w:r>
      <w:r>
        <w:rPr>
          <w:rFonts w:ascii="Times New Roman" w:hAnsi="Times New Roman"/>
          <w:sz w:val="24"/>
        </w:rPr>
        <w:t xml:space="preserve">” shall mean, at any time, (a) with respect to any amount denominated in Dollars, such amount, and (b) with respect to any amount denominated in any Alternative Currency, the equivalent amount thereof in Dollars as determined by the Administrative Agent or the relevant Issuing Bank, as the case may be, at such time on the basis of the Spot Rate (determined in respect of the most recent Revaluation Date) for the purchase of Dollars with such Alternative Currency. </w:t>
      </w:r>
    </w:p>
    <w:p>
      <w:pPr>
        <w:pStyle w:val="TextBody"/>
        <w:bidi w:val="0"/>
        <w:spacing w:before="240" w:after="0"/>
        <w:jc w:val="both"/>
        <w:rPr/>
      </w:pPr>
      <w:r>
        <w:rPr/>
        <w:t>“</w:t>
      </w:r>
      <w:r>
        <w:rPr>
          <w:rFonts w:ascii="Times New Roman" w:hAnsi="Times New Roman"/>
          <w:sz w:val="24"/>
          <w:u w:val="single"/>
        </w:rPr>
        <w:t>Domestic Subsidiary</w:t>
      </w:r>
      <w:r>
        <w:rPr>
          <w:rFonts w:ascii="Times New Roman" w:hAnsi="Times New Roman"/>
          <w:sz w:val="24"/>
        </w:rPr>
        <w:t xml:space="preserve">” shall mean, with respect to any Person, any Subsidiary of such Person that is not a Foreign Subsidiary. Unless otherwise qualified, all references to a “Domestic Subsidiary” or to “Domestic Subsidiaries” in this Agreement shall refer to a Domestic Subsidiary or Domestic Subsidiaries of the Company.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Dutch Borrower” shall have the meaning ascribed thereto in the preamble hereof.</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EEA Financial Institution</w:t>
      </w:r>
      <w:r>
        <w:rPr>
          <w:rFonts w:ascii="Times New Roman" w:hAnsi="Times New Roman"/>
          <w:sz w:val="24"/>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both"/>
        <w:rPr/>
      </w:pPr>
      <w:r>
        <w:rPr/>
        <w:t>“</w:t>
      </w:r>
      <w:r>
        <w:rPr>
          <w:rFonts w:ascii="Times New Roman" w:hAnsi="Times New Roman"/>
          <w:sz w:val="24"/>
          <w:u w:val="single"/>
        </w:rPr>
        <w:t>EEA Member Country</w:t>
      </w:r>
      <w:r>
        <w:rPr>
          <w:rFonts w:ascii="Times New Roman" w:hAnsi="Times New Roman"/>
          <w:sz w:val="24"/>
        </w:rPr>
        <w:t xml:space="preserve">” shall mean any of the member states of the European Union, Iceland, Liechtenstein and Norway. </w:t>
      </w:r>
    </w:p>
    <w:p>
      <w:pPr>
        <w:pStyle w:val="TextBody"/>
        <w:bidi w:val="0"/>
        <w:spacing w:before="240" w:after="0"/>
        <w:jc w:val="both"/>
        <w:rPr/>
      </w:pPr>
      <w:r>
        <w:rPr/>
        <w:t>“</w:t>
      </w:r>
      <w:r>
        <w:rPr>
          <w:rFonts w:ascii="Times New Roman" w:hAnsi="Times New Roman"/>
          <w:sz w:val="24"/>
          <w:u w:val="single"/>
        </w:rPr>
        <w:t>EEA Resolution Authority</w:t>
      </w:r>
      <w:r>
        <w:rPr>
          <w:rFonts w:ascii="Times New Roman" w:hAnsi="Times New Roman"/>
          <w:sz w:val="24"/>
        </w:rPr>
        <w:t xml:space="preserve">” shall mean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both"/>
        <w:rPr/>
      </w:pPr>
      <w:r>
        <w:rPr/>
        <w:t>“</w:t>
      </w:r>
      <w:r>
        <w:rPr>
          <w:rFonts w:ascii="Times New Roman" w:hAnsi="Times New Roman"/>
          <w:sz w:val="24"/>
          <w:u w:val="single"/>
        </w:rPr>
        <w:t>Effective Date</w:t>
      </w:r>
      <w:r>
        <w:rPr>
          <w:rFonts w:ascii="Times New Roman" w:hAnsi="Times New Roman"/>
          <w:sz w:val="24"/>
        </w:rPr>
        <w:t xml:space="preserve">” shall mean the date when all of the conditions set forth in Section 3.1 shall have been satisfied or waived. </w:t>
      </w:r>
    </w:p>
    <w:p>
      <w:pPr>
        <w:pStyle w:val="TextBody"/>
        <w:bidi w:val="0"/>
        <w:spacing w:before="240" w:after="0"/>
        <w:jc w:val="both"/>
        <w:rPr/>
      </w:pPr>
      <w:r>
        <w:rPr/>
        <w:t>“</w:t>
      </w:r>
      <w:r>
        <w:rPr>
          <w:rFonts w:ascii="Times New Roman" w:hAnsi="Times New Roman"/>
          <w:sz w:val="24"/>
          <w:u w:val="single"/>
        </w:rPr>
        <w:t>Effective Date Credit Agreements</w:t>
      </w:r>
      <w:r>
        <w:rPr>
          <w:rFonts w:ascii="Times New Roman" w:hAnsi="Times New Roman"/>
          <w:sz w:val="24"/>
        </w:rPr>
        <w:t>” shall mean (i) the Fourth Amended and Restated Revolving Credit Agreement dated as of the Effective Date, among the Borrower and certain agents and lenders from time to time party thereto, (ii) the 364-Day Term Loan Agreement, dated as of the Effective Date, among the Borrower, JPMorgan Chase Bank, N.A., as administrative agent, and certain agents and lenders from time to time party thereto (the “</w:t>
      </w:r>
      <w:r>
        <w:rPr>
          <w:rFonts w:ascii="Times New Roman" w:hAnsi="Times New Roman"/>
          <w:sz w:val="24"/>
          <w:u w:val="single"/>
        </w:rPr>
        <w:t>364-Day Term Loan</w:t>
      </w:r>
      <w:r>
        <w:rPr>
          <w:rFonts w:ascii="Times New Roman" w:hAnsi="Times New Roman"/>
          <w:sz w:val="24"/>
        </w:rPr>
        <w:t xml:space="preserve"> </w:t>
      </w:r>
      <w:r>
        <w:rPr>
          <w:rFonts w:ascii="Times New Roman" w:hAnsi="Times New Roman"/>
          <w:sz w:val="24"/>
          <w:u w:val="single"/>
        </w:rPr>
        <w:t>Agreement</w:t>
      </w:r>
      <w:r>
        <w:rPr>
          <w:rFonts w:ascii="Times New Roman" w:hAnsi="Times New Roman"/>
          <w:sz w:val="24"/>
        </w:rPr>
        <w:t>”) (iii) the 2-Year Term Loan Agreement, dated as of the Effective Date, among the Borrower, JPMorgan Chase Bank, N.A., as administrative agent, and certain agents and lenders from time to time party thereto (the “</w:t>
      </w:r>
      <w:r>
        <w:rPr>
          <w:rFonts w:ascii="Times New Roman" w:hAnsi="Times New Roman"/>
          <w:sz w:val="24"/>
          <w:u w:val="single"/>
        </w:rPr>
        <w:t>2-Year Term Loan Agreement</w:t>
      </w:r>
      <w:r>
        <w:rPr>
          <w:rFonts w:ascii="Times New Roman" w:hAnsi="Times New Roman"/>
          <w:sz w:val="24"/>
        </w:rPr>
        <w:t xml:space="preserve">”) and (iv) the Second Amended and Restated Term Loan Agreement, dated as of the Effective Date among the Borrower, Mizuho Bank, Ltd., as administrative agent, and certain agents and lenders from time to time party thereto. </w:t>
      </w:r>
    </w:p>
    <w:p>
      <w:pPr>
        <w:pStyle w:val="TextBody"/>
        <w:bidi w:val="0"/>
        <w:spacing w:before="240" w:after="0"/>
        <w:jc w:val="both"/>
        <w:rPr/>
      </w:pPr>
      <w:r>
        <w:rPr/>
        <w:t>“</w:t>
      </w:r>
      <w:r>
        <w:rPr>
          <w:rFonts w:ascii="Times New Roman" w:hAnsi="Times New Roman"/>
          <w:sz w:val="24"/>
          <w:u w:val="single"/>
        </w:rPr>
        <w:t>EMU</w:t>
      </w:r>
      <w:r>
        <w:rPr>
          <w:rFonts w:ascii="Times New Roman" w:hAnsi="Times New Roman"/>
          <w:sz w:val="24"/>
        </w:rPr>
        <w:t xml:space="preserve">” shall mean the economic and monetary union in accordance with the Treaty of Rome 1957, as amended by the Single European Act 1986, the Maastricht Treaty of 1992 and the Amsterdam Treaty of 1998. </w:t>
      </w:r>
    </w:p>
    <w:p>
      <w:pPr>
        <w:pStyle w:val="TextBody"/>
        <w:bidi w:val="0"/>
        <w:spacing w:before="240" w:after="0"/>
        <w:jc w:val="both"/>
        <w:rPr/>
      </w:pPr>
      <w:r>
        <w:rPr/>
        <w:t>“</w:t>
      </w:r>
      <w:r>
        <w:rPr>
          <w:rFonts w:ascii="Times New Roman" w:hAnsi="Times New Roman"/>
          <w:sz w:val="24"/>
          <w:u w:val="single"/>
        </w:rPr>
        <w:t>EMU Legislation</w:t>
      </w:r>
      <w:r>
        <w:rPr>
          <w:rFonts w:ascii="Times New Roman" w:hAnsi="Times New Roman"/>
          <w:sz w:val="24"/>
        </w:rPr>
        <w:t xml:space="preserve">” shall mean the legislative measures of the EMU for the introduction of, changeover to or operation of a single or unified European currency. </w:t>
      </w:r>
    </w:p>
    <w:p>
      <w:pPr>
        <w:pStyle w:val="TextBody"/>
        <w:bidi w:val="0"/>
        <w:spacing w:before="240" w:after="0"/>
        <w:jc w:val="both"/>
        <w:rPr/>
      </w:pPr>
      <w:r>
        <w:rPr/>
        <w:t>“</w:t>
      </w:r>
      <w:r>
        <w:rPr>
          <w:rFonts w:ascii="Times New Roman" w:hAnsi="Times New Roman"/>
          <w:sz w:val="24"/>
          <w:u w:val="single"/>
        </w:rPr>
        <w:t>ERISA</w:t>
      </w:r>
      <w:r>
        <w:rPr>
          <w:rFonts w:ascii="Times New Roman" w:hAnsi="Times New Roman"/>
          <w:sz w:val="24"/>
        </w:rPr>
        <w:t xml:space="preserve">” shall mean the Employee Retirement Income Security Act of 1974, as in effect from time to time. </w:t>
      </w:r>
    </w:p>
    <w:p>
      <w:pPr>
        <w:pStyle w:val="TextBody"/>
        <w:bidi w:val="0"/>
        <w:spacing w:before="240" w:after="0"/>
        <w:jc w:val="both"/>
        <w:rPr/>
      </w:pPr>
      <w:r>
        <w:rPr/>
        <w:t>“</w:t>
      </w:r>
      <w:r>
        <w:rPr>
          <w:rFonts w:ascii="Times New Roman" w:hAnsi="Times New Roman"/>
          <w:sz w:val="24"/>
          <w:u w:val="single"/>
        </w:rPr>
        <w:t>ERISA Affiliate</w:t>
      </w:r>
      <w:r>
        <w:rPr>
          <w:rFonts w:ascii="Times New Roman" w:hAnsi="Times New Roman"/>
          <w:sz w:val="24"/>
        </w:rPr>
        <w:t xml:space="preserve">” shall mean any Person, including a Subsidiary or an Affiliate of the Company, that is a member of any group of organizations of which the Company is a member and is treated as a single employer with the Company under Section 414 of the Code. </w:t>
      </w:r>
    </w:p>
    <w:p>
      <w:pPr>
        <w:pStyle w:val="TextBody"/>
        <w:bidi w:val="0"/>
        <w:spacing w:before="240" w:after="0"/>
        <w:jc w:val="both"/>
        <w:rPr/>
      </w:pPr>
      <w:r>
        <w:rPr/>
        <w:t>“</w:t>
      </w:r>
      <w:r>
        <w:rPr>
          <w:rFonts w:ascii="Times New Roman" w:hAnsi="Times New Roman"/>
          <w:sz w:val="24"/>
          <w:u w:val="single"/>
        </w:rPr>
        <w:t>EU Bail-In Legislation Schedule</w:t>
      </w:r>
      <w:r>
        <w:rPr>
          <w:rFonts w:ascii="Times New Roman" w:hAnsi="Times New Roman"/>
          <w:sz w:val="24"/>
        </w:rPr>
        <w:t xml:space="preserve">” shall mean the EU Bail-In Legislation Schedule published by the Loan Market Association (or any successor Person),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EURIBOR Rate</w:t>
      </w:r>
      <w:r>
        <w:rPr>
          <w:rFonts w:ascii="Times New Roman" w:hAnsi="Times New Roman"/>
          <w:sz w:val="24"/>
        </w:rPr>
        <w:t xml:space="preserve">” shall mean, for any Interest Period for each Advance denominated in Euro, an interest rate per annum equal to (a) the Euro interbank offered rate administered by the Banking Federation and of the European Union (or any other person which takes over administration of that rate) for the relevant period displayed on page EURIBOR01 of the Reuters screen at or about 11:00 A.M. (Central European time) two TARGET Days before the first day of such Interest Period or, if such page or such service shall cease to be available, such other page or such other service for the purpose of displaying an average rate of the Banking Federation of the EMU as the Administrative Agent, after consultation with the Lenders and the Company, shall reasonably select or (b) if no quotation for the Euro for the relevant period is displayed and the Administrative Agent has not selected an alternative service on which a quotation is displayed, the rate per annum at which deposits in Euro for delivery on the first day of such Interest Period in same day funds in the approximate amount of the Term Rate Advance being made, Continued and with a term equivalent to such Interest Period would be offered by Toronto Dominion’s London branch (or other branch or Affiliate) to leading banks in the European interbank market at or about 11:00 A.M. (Central European time) two TARGET Days before the first day of such Interest Period. </w:t>
      </w:r>
    </w:p>
    <w:p>
      <w:pPr>
        <w:pStyle w:val="TextBody"/>
        <w:bidi w:val="0"/>
        <w:spacing w:before="240" w:after="0"/>
        <w:jc w:val="both"/>
        <w:rPr/>
      </w:pPr>
      <w:r>
        <w:rPr/>
        <w:t>“</w:t>
      </w:r>
      <w:r>
        <w:rPr>
          <w:rFonts w:ascii="Times New Roman" w:hAnsi="Times New Roman"/>
          <w:sz w:val="24"/>
          <w:u w:val="single"/>
        </w:rPr>
        <w:t>Euro</w:t>
      </w:r>
      <w:r>
        <w:rPr>
          <w:rFonts w:ascii="Times New Roman" w:hAnsi="Times New Roman"/>
          <w:sz w:val="24"/>
        </w:rPr>
        <w:t>”, “</w:t>
      </w:r>
      <w:r>
        <w:rPr>
          <w:rFonts w:ascii="Times New Roman" w:hAnsi="Times New Roman"/>
          <w:sz w:val="24"/>
          <w:u w:val="single"/>
        </w:rPr>
        <w:t>EUR</w:t>
      </w:r>
      <w:r>
        <w:rPr>
          <w:rFonts w:ascii="Times New Roman" w:hAnsi="Times New Roman"/>
          <w:sz w:val="24"/>
        </w:rPr>
        <w:t>” and “</w:t>
      </w:r>
      <w:r>
        <w:rPr>
          <w:rFonts w:ascii="Times New Roman" w:hAnsi="Times New Roman"/>
          <w:sz w:val="24"/>
          <w:u w:val="single"/>
        </w:rPr>
        <w:t></w:t>
      </w:r>
      <w:r>
        <w:rPr>
          <w:rFonts w:ascii="Times New Roman" w:hAnsi="Times New Roman"/>
          <w:sz w:val="24"/>
        </w:rPr>
        <w:t xml:space="preserve">” shall mean the lawful currency of the Participating Member States introduced in accordance with the EMU Legislation. </w:t>
      </w:r>
    </w:p>
    <w:p>
      <w:pPr>
        <w:pStyle w:val="TextBody"/>
        <w:bidi w:val="0"/>
        <w:spacing w:before="240" w:after="0"/>
        <w:jc w:val="both"/>
        <w:rPr/>
      </w:pPr>
      <w:r>
        <w:rPr/>
        <w:t>“</w:t>
      </w:r>
      <w:r>
        <w:rPr>
          <w:rFonts w:ascii="Times New Roman" w:hAnsi="Times New Roman"/>
          <w:sz w:val="24"/>
          <w:u w:val="single"/>
        </w:rPr>
        <w:t>Event of Default</w:t>
      </w:r>
      <w:r>
        <w:rPr>
          <w:rFonts w:ascii="Times New Roman" w:hAnsi="Times New Roman"/>
          <w:sz w:val="24"/>
        </w:rPr>
        <w:t xml:space="preserve">” shall mean any of the events specified in Section 8.1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requirement stated therein for notice or lapse of time, or both, has been satisfied. </w:t>
      </w:r>
    </w:p>
    <w:p>
      <w:pPr>
        <w:pStyle w:val="TextBody"/>
        <w:bidi w:val="0"/>
        <w:spacing w:before="240" w:after="0"/>
        <w:jc w:val="both"/>
        <w:rPr/>
      </w:pPr>
      <w:r>
        <w:rPr/>
        <w:t>“</w:t>
      </w:r>
      <w:r>
        <w:rPr>
          <w:rFonts w:ascii="Times New Roman" w:hAnsi="Times New Roman"/>
          <w:sz w:val="24"/>
          <w:u w:val="single"/>
        </w:rPr>
        <w:t>Exchange Act</w:t>
      </w:r>
      <w:r>
        <w:rPr>
          <w:rFonts w:ascii="Times New Roman" w:hAnsi="Times New Roman"/>
          <w:sz w:val="24"/>
        </w:rPr>
        <w:t xml:space="preserve">” shall mean the Securities Exchange Act of 1934, as amended. </w:t>
      </w:r>
    </w:p>
    <w:p>
      <w:pPr>
        <w:pStyle w:val="TextBody"/>
        <w:bidi w:val="0"/>
        <w:spacing w:before="240" w:after="0"/>
        <w:jc w:val="both"/>
        <w:rPr/>
      </w:pPr>
      <w:r>
        <w:rPr/>
        <w:t>“</w:t>
      </w:r>
      <w:r>
        <w:rPr>
          <w:rFonts w:ascii="Times New Roman" w:hAnsi="Times New Roman"/>
          <w:sz w:val="24"/>
          <w:u w:val="single"/>
        </w:rPr>
        <w:t>Existing ABS Facility</w:t>
      </w:r>
      <w:r>
        <w:rPr>
          <w:rFonts w:ascii="Times New Roman" w:hAnsi="Times New Roman"/>
          <w:sz w:val="24"/>
        </w:rPr>
        <w:t xml:space="preserve">” shall mean each mortgage loan facility existing on the Effective Date and listed on Schedule 3. </w:t>
      </w:r>
    </w:p>
    <w:p>
      <w:pPr>
        <w:pStyle w:val="TextBody"/>
        <w:bidi w:val="0"/>
        <w:spacing w:before="240" w:after="0"/>
        <w:jc w:val="both"/>
        <w:rPr/>
      </w:pPr>
      <w:r>
        <w:rPr/>
        <w:t>“</w:t>
      </w:r>
      <w:r>
        <w:rPr>
          <w:rFonts w:ascii="Times New Roman" w:hAnsi="Times New Roman"/>
          <w:sz w:val="24"/>
          <w:u w:val="single"/>
        </w:rPr>
        <w:t>Existing Credit Agreements</w:t>
      </w:r>
      <w:r>
        <w:rPr>
          <w:rFonts w:ascii="Times New Roman" w:hAnsi="Times New Roman"/>
          <w:sz w:val="24"/>
        </w:rPr>
        <w:t>” shall mean (i) the Fourth Amended and Restated Revolving Credit Agreement dated as of the Effective Date and amended as of June 29, 2023</w:t>
      </w:r>
      <w:r>
        <w:rPr>
          <w:rFonts w:ascii="Times New Roman" w:hAnsi="Times New Roman"/>
          <w:strike/>
          <w:color w:val="FF0000"/>
          <w:sz w:val="24"/>
        </w:rPr>
        <w:t xml:space="preserve"> and</w:t>
      </w:r>
      <w:r>
        <w:rPr>
          <w:rFonts w:ascii="Times New Roman" w:hAnsi="Times New Roman"/>
          <w:color w:val="0000FF"/>
          <w:sz w:val="24"/>
          <w:u w:val="single"/>
          <w:bdr w:val="double" w:sz="2" w:space="1" w:color="000000"/>
        </w:rPr>
        <w:t>,</w:t>
      </w:r>
      <w:r>
        <w:rPr>
          <w:rFonts w:ascii="Times New Roman" w:hAnsi="Times New Roman"/>
          <w:sz w:val="24"/>
        </w:rPr>
        <w:t xml:space="preserve"> as of January 28, 2025 </w:t>
      </w:r>
      <w:r>
        <w:rPr>
          <w:rFonts w:ascii="Times New Roman" w:hAnsi="Times New Roman"/>
          <w:color w:val="0000FF"/>
          <w:sz w:val="24"/>
          <w:u w:val="single"/>
          <w:bdr w:val="double" w:sz="2" w:space="1" w:color="000000"/>
        </w:rPr>
        <w:t>and as of May 7, 2026</w:t>
      </w:r>
      <w:r>
        <w:rPr>
          <w:rFonts w:ascii="Times New Roman" w:hAnsi="Times New Roman"/>
          <w:sz w:val="24"/>
        </w:rPr>
        <w:t>, among the Borrower and certain agents and lenders from time to time party thereto, and (ii) the Second Amended and Restated Term Loan Agreement, dated as of the Effective Date and amended as of June 29, 2023</w:t>
      </w:r>
      <w:r>
        <w:rPr>
          <w:rFonts w:ascii="Times New Roman" w:hAnsi="Times New Roman"/>
          <w:strike/>
          <w:color w:val="FF0000"/>
          <w:sz w:val="24"/>
        </w:rPr>
        <w:t xml:space="preserve"> and</w:t>
      </w:r>
      <w:r>
        <w:rPr>
          <w:rFonts w:ascii="Times New Roman" w:hAnsi="Times New Roman"/>
          <w:color w:val="0000FF"/>
          <w:sz w:val="24"/>
          <w:u w:val="single"/>
          <w:bdr w:val="double" w:sz="2" w:space="1" w:color="000000"/>
        </w:rPr>
        <w:t>,</w:t>
      </w:r>
      <w:r>
        <w:rPr>
          <w:rFonts w:ascii="Times New Roman" w:hAnsi="Times New Roman"/>
          <w:sz w:val="24"/>
        </w:rPr>
        <w:t xml:space="preserve"> as of January 28, 2025 </w:t>
      </w:r>
      <w:r>
        <w:rPr>
          <w:rFonts w:ascii="Times New Roman" w:hAnsi="Times New Roman"/>
          <w:color w:val="0000FF"/>
          <w:sz w:val="24"/>
          <w:u w:val="single"/>
          <w:bdr w:val="double" w:sz="2" w:space="1" w:color="000000"/>
        </w:rPr>
        <w:t>and as of May 7, 2026</w:t>
      </w:r>
      <w:r>
        <w:rPr>
          <w:rFonts w:ascii="Times New Roman" w:hAnsi="Times New Roman"/>
          <w:sz w:val="24"/>
        </w:rPr>
        <w:t xml:space="preserve">, among the Borrower, Mizuho Bank, Ltd., as administrative agent, and certain agents and lenders from time to time party thereto. </w:t>
      </w:r>
    </w:p>
    <w:p>
      <w:pPr>
        <w:pStyle w:val="TextBody"/>
        <w:bidi w:val="0"/>
        <w:spacing w:before="240" w:after="0"/>
        <w:jc w:val="both"/>
        <w:rPr/>
      </w:pPr>
      <w:r>
        <w:rPr/>
        <w:t>“</w:t>
      </w:r>
      <w:r>
        <w:rPr>
          <w:rFonts w:ascii="Times New Roman" w:hAnsi="Times New Roman"/>
          <w:sz w:val="24"/>
          <w:u w:val="single"/>
        </w:rPr>
        <w:t>Existing Multicurrency Credit Agreement</w:t>
      </w:r>
      <w:r>
        <w:rPr>
          <w:rFonts w:ascii="Times New Roman" w:hAnsi="Times New Roman"/>
          <w:sz w:val="24"/>
        </w:rPr>
        <w:t xml:space="preserve">” shall mean the Second Amended and Restated Multicurrency Revolving Credit Agreement dated as of February 10, 2021 (as amended, amended and restated or otherwise supplemented from time to time immediately prior to the Effective Date). </w:t>
      </w:r>
    </w:p>
    <w:p>
      <w:pPr>
        <w:pStyle w:val="TextBody"/>
        <w:bidi w:val="0"/>
        <w:spacing w:before="240" w:after="0"/>
        <w:jc w:val="both"/>
        <w:rPr/>
      </w:pPr>
      <w:r>
        <w:rPr/>
        <w:t>“</w:t>
      </w:r>
      <w:r>
        <w:rPr>
          <w:rFonts w:ascii="Times New Roman" w:hAnsi="Times New Roman"/>
          <w:sz w:val="24"/>
          <w:u w:val="single"/>
        </w:rPr>
        <w:t>Extending Lender</w:t>
      </w:r>
      <w:r>
        <w:rPr>
          <w:rFonts w:ascii="Times New Roman" w:hAnsi="Times New Roman"/>
          <w:sz w:val="24"/>
        </w:rPr>
        <w:t xml:space="preserve">” shall have the meaning ascribed thereto in Section 2.18 hereof. </w:t>
      </w:r>
    </w:p>
    <w:p>
      <w:pPr>
        <w:pStyle w:val="TextBody"/>
        <w:bidi w:val="0"/>
        <w:spacing w:before="240" w:after="0"/>
        <w:jc w:val="both"/>
        <w:rPr/>
      </w:pPr>
      <w:r>
        <w:rPr/>
        <w:t>“</w:t>
      </w:r>
      <w:r>
        <w:rPr>
          <w:rFonts w:ascii="Times New Roman" w:hAnsi="Times New Roman"/>
          <w:sz w:val="24"/>
          <w:u w:val="single"/>
        </w:rPr>
        <w:t>Extension Date</w:t>
      </w:r>
      <w:r>
        <w:rPr>
          <w:rFonts w:ascii="Times New Roman" w:hAnsi="Times New Roman"/>
          <w:sz w:val="24"/>
        </w:rPr>
        <w:t xml:space="preserve">” shall have the meaning ascribed thereto in Section 2.18 hereof. </w:t>
      </w:r>
    </w:p>
    <w:p>
      <w:pPr>
        <w:pStyle w:val="TextBody"/>
        <w:bidi w:val="0"/>
        <w:spacing w:before="240" w:after="0"/>
        <w:jc w:val="both"/>
        <w:rPr/>
      </w:pPr>
      <w:r>
        <w:rPr/>
        <w:t>“</w:t>
      </w:r>
      <w:r>
        <w:rPr>
          <w:rFonts w:ascii="Times New Roman" w:hAnsi="Times New Roman"/>
          <w:sz w:val="24"/>
          <w:u w:val="single"/>
        </w:rPr>
        <w:t>FATCA</w:t>
      </w:r>
      <w:r>
        <w:rPr>
          <w:rFonts w:ascii="Times New Roman" w:hAnsi="Times New Roman"/>
          <w:sz w:val="24"/>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both"/>
        <w:rPr/>
      </w:pPr>
      <w:r>
        <w:rPr/>
        <w:t>“</w:t>
      </w:r>
      <w:r>
        <w:rPr>
          <w:rFonts w:ascii="Times New Roman" w:hAnsi="Times New Roman"/>
          <w:sz w:val="24"/>
          <w:u w:val="single"/>
        </w:rPr>
        <w:t>FCC</w:t>
      </w:r>
      <w:r>
        <w:rPr>
          <w:rFonts w:ascii="Times New Roman" w:hAnsi="Times New Roman"/>
          <w:sz w:val="24"/>
        </w:rPr>
        <w:t xml:space="preserve">” shall mean the Federal Communications Commission, or any other similar or successor agency of the Federal government administering the Communications Act. </w:t>
      </w:r>
    </w:p>
    <w:p>
      <w:pPr>
        <w:pStyle w:val="TextBody"/>
        <w:bidi w:val="0"/>
        <w:spacing w:before="240" w:after="0"/>
        <w:jc w:val="both"/>
        <w:rPr/>
      </w:pPr>
      <w:r>
        <w:rPr/>
        <w:t>“</w:t>
      </w:r>
      <w:r>
        <w:rPr>
          <w:rFonts w:ascii="Times New Roman" w:hAnsi="Times New Roman"/>
          <w:sz w:val="24"/>
          <w:u w:val="single"/>
        </w:rPr>
        <w:t>Federal Funds Rate</w:t>
      </w:r>
      <w:r>
        <w:rPr>
          <w:rFonts w:ascii="Times New Roman" w:hAnsi="Times New Roman"/>
          <w:sz w:val="24"/>
        </w:rPr>
        <w:t xml:space="preserve">” shall mean, for any day, the greater of (a)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and (b) 0%. </w:t>
      </w:r>
    </w:p>
    <w:p>
      <w:pPr>
        <w:pStyle w:val="TextBody"/>
        <w:bidi w:val="0"/>
        <w:spacing w:before="240" w:after="0"/>
        <w:jc w:val="both"/>
        <w:rPr/>
      </w:pPr>
      <w:r>
        <w:rPr/>
        <w:t>“</w:t>
      </w:r>
      <w:r>
        <w:rPr>
          <w:rFonts w:ascii="Times New Roman" w:hAnsi="Times New Roman"/>
          <w:sz w:val="24"/>
          <w:u w:val="single"/>
        </w:rPr>
        <w:t>Fitch</w:t>
      </w:r>
      <w:r>
        <w:rPr>
          <w:rFonts w:ascii="Times New Roman" w:hAnsi="Times New Roman"/>
          <w:sz w:val="24"/>
        </w:rPr>
        <w:t xml:space="preserve">” shall mean Fitch, Inc. (Fitch Ratings), and its successors. </w:t>
      </w:r>
    </w:p>
    <w:p>
      <w:pPr>
        <w:pStyle w:val="TextBody"/>
        <w:bidi w:val="0"/>
        <w:spacing w:before="240" w:after="0"/>
        <w:jc w:val="both"/>
        <w:rPr/>
      </w:pPr>
      <w:r>
        <w:rPr/>
        <w:t>“</w:t>
      </w:r>
      <w:r>
        <w:rPr>
          <w:rFonts w:ascii="Times New Roman" w:hAnsi="Times New Roman"/>
          <w:sz w:val="24"/>
          <w:u w:val="single"/>
        </w:rPr>
        <w:t>Floor</w:t>
      </w:r>
      <w:r>
        <w:rPr>
          <w:rFonts w:ascii="Times New Roman" w:hAnsi="Times New Roman"/>
          <w:sz w:val="24"/>
        </w:rPr>
        <w:t xml:space="preserve">” shall mean a rate of interest equal to 0.0%. </w:t>
      </w:r>
    </w:p>
    <w:p>
      <w:pPr>
        <w:pStyle w:val="TextBody"/>
        <w:bidi w:val="0"/>
        <w:spacing w:before="240" w:after="0"/>
        <w:jc w:val="both"/>
        <w:rPr/>
      </w:pPr>
      <w:r>
        <w:rPr/>
        <w:t>“</w:t>
      </w:r>
      <w:r>
        <w:rPr>
          <w:rFonts w:ascii="Times New Roman" w:hAnsi="Times New Roman"/>
          <w:sz w:val="24"/>
          <w:u w:val="single"/>
        </w:rPr>
        <w:t>Foreign Subsidiary</w:t>
      </w:r>
      <w:r>
        <w:rPr>
          <w:rFonts w:ascii="Times New Roman" w:hAnsi="Times New Roman"/>
          <w:sz w:val="24"/>
        </w:rPr>
        <w:t xml:space="preserve">” shall mean a Subsidiary whose place of registration, incorporation, organization or domicile is outside of the United States of America. Unless otherwise qualified, all references to a “Foreign Subsidiary” or to “Foreign Subsidiaries” in this Agreement shall refer to a Foreign Subsidiary or Foreign Subsidiaries of the Company. </w:t>
      </w:r>
    </w:p>
    <w:p>
      <w:pPr>
        <w:pStyle w:val="TextBody"/>
        <w:bidi w:val="0"/>
        <w:spacing w:before="240" w:after="0"/>
        <w:jc w:val="both"/>
        <w:rPr/>
      </w:pPr>
      <w:r>
        <w:rPr/>
        <w:t>“</w:t>
      </w:r>
      <w:r>
        <w:rPr>
          <w:rFonts w:ascii="Times New Roman" w:hAnsi="Times New Roman"/>
          <w:sz w:val="24"/>
          <w:u w:val="single"/>
        </w:rPr>
        <w:t>Foreign Subsidiary Borrower</w:t>
      </w:r>
      <w:r>
        <w:rPr>
          <w:rFonts w:ascii="Times New Roman" w:hAnsi="Times New Roman"/>
          <w:sz w:val="24"/>
        </w:rPr>
        <w:t xml:space="preserve">” shall mean any Subsidiary Borrower that is not a Domestic Subsidiary. </w:t>
      </w:r>
    </w:p>
    <w:p>
      <w:pPr>
        <w:pStyle w:val="TextBody"/>
        <w:bidi w:val="0"/>
        <w:spacing w:before="240" w:after="0"/>
        <w:jc w:val="both"/>
        <w:rPr/>
      </w:pPr>
      <w:r>
        <w:rPr/>
        <w:t>“</w:t>
      </w:r>
      <w:r>
        <w:rPr>
          <w:rFonts w:ascii="Times New Roman" w:hAnsi="Times New Roman"/>
          <w:sz w:val="24"/>
          <w:u w:val="single"/>
        </w:rPr>
        <w:t>Fronting Exposure</w:t>
      </w:r>
      <w:r>
        <w:rPr>
          <w:rFonts w:ascii="Times New Roman" w:hAnsi="Times New Roman"/>
          <w:sz w:val="24"/>
        </w:rPr>
        <w:t xml:space="preserve">” shall mean, at any time there is a Defaulting Lender, (a) with respect to any Issuing Bank, such Defaulting Lender’s Commitment Ratio of the outstanding L/C Obligations in respect of Letters of Credit issued by such Issuing Bank other than L/C Obligations as to which such Defaulting Lender’s participation obligation has been reallocated to other Lenders or Cash Collateralized in accordance with the terms hereof and (b) with respect to the Swingline Lender, such Defaulting Lender’s Commitment Ratio of Swingline Loans other than Swingline Loans as to which such Defaulting Lender’s participation obligation has been reallocated to other Lenders in accordance with the terms hereof. </w:t>
      </w:r>
    </w:p>
    <w:p>
      <w:pPr>
        <w:pStyle w:val="TextBody"/>
        <w:bidi w:val="0"/>
        <w:spacing w:before="240" w:after="0"/>
        <w:jc w:val="both"/>
        <w:rPr/>
      </w:pPr>
      <w:r>
        <w:rPr/>
        <w:t>“</w:t>
      </w:r>
      <w:r>
        <w:rPr>
          <w:rFonts w:ascii="Times New Roman" w:hAnsi="Times New Roman"/>
          <w:sz w:val="24"/>
          <w:u w:val="single"/>
        </w:rPr>
        <w:t>Funds From Operations</w:t>
      </w:r>
      <w:r>
        <w:rPr>
          <w:rFonts w:ascii="Times New Roman" w:hAnsi="Times New Roman"/>
          <w:sz w:val="24"/>
        </w:rPr>
        <w:t xml:space="preserve">” shall mean net income (computed in accordance with GAAP), excluding gains (or losses) from sales of property and extraordinary and unusual items, plus depreciation, amortization and dividends declared on preferred stock, and after adjustments for unconsolidated minority interests, on a consolidated basis for the Company and its Subsidiaries. </w:t>
      </w:r>
    </w:p>
    <w:p>
      <w:pPr>
        <w:pStyle w:val="TextBody"/>
        <w:bidi w:val="0"/>
        <w:spacing w:before="240" w:after="0"/>
        <w:jc w:val="both"/>
        <w:rPr/>
      </w:pPr>
      <w:r>
        <w:rPr/>
        <w:t>“</w:t>
      </w:r>
      <w:r>
        <w:rPr>
          <w:rFonts w:ascii="Times New Roman" w:hAnsi="Times New Roman"/>
          <w:sz w:val="24"/>
          <w:u w:val="single"/>
        </w:rPr>
        <w:t>GAAP</w:t>
      </w:r>
      <w:r>
        <w:rPr>
          <w:rFonts w:ascii="Times New Roman" w:hAnsi="Times New Roman"/>
          <w:sz w:val="24"/>
        </w:rPr>
        <w:t xml:space="preserve">” shall mean generally accepted accounting principles in the United States, consistently applied and as in effect on the date of this Agreement. </w:t>
      </w:r>
    </w:p>
    <w:p>
      <w:pPr>
        <w:pStyle w:val="TextBody"/>
        <w:bidi w:val="0"/>
        <w:spacing w:before="240" w:after="0"/>
        <w:jc w:val="both"/>
        <w:rPr/>
      </w:pPr>
      <w:r>
        <w:rPr/>
        <w:t>“</w:t>
      </w:r>
      <w:r>
        <w:rPr>
          <w:rFonts w:ascii="Times New Roman" w:hAnsi="Times New Roman"/>
          <w:sz w:val="24"/>
          <w:u w:val="single"/>
        </w:rPr>
        <w:t>Governmental Authority</w:t>
      </w:r>
      <w:r>
        <w:rPr>
          <w:rFonts w:ascii="Times New Roman" w:hAnsi="Times New Roman"/>
          <w:sz w:val="24"/>
        </w:rPr>
        <w:t xml:space="preserve">”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Granting Lender</w:t>
      </w:r>
      <w:r>
        <w:rPr>
          <w:rFonts w:ascii="Times New Roman" w:hAnsi="Times New Roman"/>
          <w:sz w:val="24"/>
        </w:rPr>
        <w:t xml:space="preserve">” shall have the meaning ascribed thereto in Section 12.4(f) hereof. </w:t>
      </w:r>
    </w:p>
    <w:p>
      <w:pPr>
        <w:pStyle w:val="TextBody"/>
        <w:bidi w:val="0"/>
        <w:spacing w:before="240" w:after="0"/>
        <w:jc w:val="both"/>
        <w:rPr/>
      </w:pPr>
      <w:r>
        <w:rPr/>
        <w:t>“</w:t>
      </w:r>
      <w:r>
        <w:rPr>
          <w:rFonts w:ascii="Times New Roman" w:hAnsi="Times New Roman"/>
          <w:sz w:val="24"/>
          <w:u w:val="single"/>
        </w:rPr>
        <w:t>Guaranteed Obligations</w:t>
      </w:r>
      <w:r>
        <w:rPr>
          <w:rFonts w:ascii="Times New Roman" w:hAnsi="Times New Roman"/>
          <w:sz w:val="24"/>
        </w:rPr>
        <w:t xml:space="preserve">” shall have the meaning ascribed thereto in Section 11.1 hereof. </w:t>
      </w:r>
    </w:p>
    <w:p>
      <w:pPr>
        <w:pStyle w:val="TextBody"/>
        <w:bidi w:val="0"/>
        <w:spacing w:before="240" w:after="0"/>
        <w:jc w:val="both"/>
        <w:rPr/>
      </w:pPr>
      <w:r>
        <w:rPr/>
        <w:t>“</w:t>
      </w:r>
      <w:r>
        <w:rPr>
          <w:rFonts w:ascii="Times New Roman" w:hAnsi="Times New Roman"/>
          <w:sz w:val="24"/>
          <w:u w:val="single"/>
        </w:rPr>
        <w:t>Guaranty</w:t>
      </w:r>
      <w:r>
        <w:rPr>
          <w:rFonts w:ascii="Times New Roman" w:hAnsi="Times New Roman"/>
          <w:sz w:val="24"/>
        </w:rPr>
        <w:t xml:space="preserve">”, as applied to an obligation, shall mean and include (a) a guaranty, direct or indirect, in any manner, of all or any part of such obligation, and (b) any agreement, direct or indirect, contingent or otherwise, the practical effect of which is to assure in any way the payment or performance (or payment of damages in the event of non-performance) of all or any part of such obligation, including, without limiting the foregoing, any reimbursement obligations as to amounts drawn down by beneficiaries of outstanding letters of credit or capital call requirements;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the term “</w:t>
      </w:r>
      <w:r>
        <w:rPr>
          <w:rFonts w:ascii="Times New Roman" w:hAnsi="Times New Roman"/>
          <w:sz w:val="24"/>
          <w:u w:val="single"/>
        </w:rPr>
        <w:t>Guaranty</w:t>
      </w:r>
      <w:r>
        <w:rPr>
          <w:rFonts w:ascii="Times New Roman" w:hAnsi="Times New Roman"/>
          <w:sz w:val="24"/>
        </w:rPr>
        <w:t xml:space="preserve">” shall only include guarantees of Indebtedness. </w:t>
      </w:r>
    </w:p>
    <w:p>
      <w:pPr>
        <w:pStyle w:val="TextBody"/>
        <w:bidi w:val="0"/>
        <w:spacing w:before="240" w:after="0"/>
        <w:jc w:val="both"/>
        <w:rPr/>
      </w:pPr>
      <w:r>
        <w:rPr/>
        <w:t>“</w:t>
      </w:r>
      <w:r>
        <w:rPr>
          <w:rFonts w:ascii="Times New Roman" w:hAnsi="Times New Roman"/>
          <w:sz w:val="24"/>
          <w:u w:val="single"/>
        </w:rPr>
        <w:t>Hedge Agreements</w:t>
      </w:r>
      <w:r>
        <w:rPr>
          <w:rFonts w:ascii="Times New Roman" w:hAnsi="Times New Roman"/>
          <w:sz w:val="24"/>
        </w:rPr>
        <w:t xml:space="preserve">” shall mean, with respect to any Person, any agreements or other arrangements to which such Person is a party relating to any rate swap transaction, basis swap, forward rate transaction, interest rate cap transaction, interest rate floor transaction, interest rate collar transaction, currency swap transaction, cross-currency rate swap transaction, or any other similar transaction, including an option to enter into any of the foregoing or any combination of the foregoing. </w:t>
      </w:r>
    </w:p>
    <w:p>
      <w:pPr>
        <w:pStyle w:val="TextBody"/>
        <w:bidi w:val="0"/>
        <w:spacing w:before="240" w:after="0"/>
        <w:jc w:val="both"/>
        <w:rPr/>
      </w:pPr>
      <w:r>
        <w:rPr/>
        <w:t>“</w:t>
      </w:r>
      <w:r>
        <w:rPr>
          <w:rFonts w:ascii="Times New Roman" w:hAnsi="Times New Roman"/>
          <w:sz w:val="24"/>
          <w:u w:val="single"/>
        </w:rPr>
        <w:t>Honor Date</w:t>
      </w:r>
      <w:r>
        <w:rPr>
          <w:rFonts w:ascii="Times New Roman" w:hAnsi="Times New Roman"/>
          <w:sz w:val="24"/>
        </w:rPr>
        <w:t xml:space="preserve">” shall have the meaning ascribed thereto in Section 2.13(c)(i) hereof. </w:t>
      </w:r>
    </w:p>
    <w:p>
      <w:pPr>
        <w:pStyle w:val="TextBody"/>
        <w:bidi w:val="0"/>
        <w:spacing w:before="240" w:after="0"/>
        <w:jc w:val="both"/>
        <w:rPr/>
      </w:pPr>
      <w:r>
        <w:rPr/>
        <w:t>“</w:t>
      </w:r>
      <w:r>
        <w:rPr>
          <w:rFonts w:ascii="Times New Roman" w:hAnsi="Times New Roman"/>
          <w:sz w:val="24"/>
          <w:u w:val="single"/>
        </w:rPr>
        <w:t>Illegality Notice</w:t>
      </w:r>
      <w:r>
        <w:rPr>
          <w:rFonts w:ascii="Times New Roman" w:hAnsi="Times New Roman"/>
          <w:sz w:val="24"/>
        </w:rPr>
        <w:t xml:space="preserve">” has the meaning specified in Section 10.2. </w:t>
      </w:r>
    </w:p>
    <w:p>
      <w:pPr>
        <w:pStyle w:val="TextBody"/>
        <w:bidi w:val="0"/>
        <w:spacing w:before="240" w:after="0"/>
        <w:jc w:val="both"/>
        <w:rPr/>
      </w:pPr>
      <w:r>
        <w:rPr/>
        <w:t>“</w:t>
      </w:r>
      <w:r>
        <w:rPr>
          <w:rFonts w:ascii="Times New Roman" w:hAnsi="Times New Roman"/>
          <w:sz w:val="24"/>
          <w:u w:val="single"/>
        </w:rPr>
        <w:t>Incremental Commitment</w:t>
      </w:r>
      <w:r>
        <w:rPr>
          <w:rFonts w:ascii="Times New Roman" w:hAnsi="Times New Roman"/>
          <w:sz w:val="24"/>
        </w:rPr>
        <w:t xml:space="preserve">” shall have the meaning ascribed thereto in Section 2.14 hereof. </w:t>
      </w:r>
    </w:p>
    <w:p>
      <w:pPr>
        <w:pStyle w:val="TextBody"/>
        <w:bidi w:val="0"/>
        <w:spacing w:before="240" w:after="0"/>
        <w:jc w:val="both"/>
        <w:rPr/>
      </w:pPr>
      <w:r>
        <w:rPr/>
        <w:t>“</w:t>
      </w:r>
      <w:r>
        <w:rPr>
          <w:rFonts w:ascii="Times New Roman" w:hAnsi="Times New Roman"/>
          <w:sz w:val="24"/>
          <w:u w:val="single"/>
        </w:rPr>
        <w:t>Indebtedness</w:t>
      </w:r>
      <w:r>
        <w:rPr>
          <w:rFonts w:ascii="Times New Roman" w:hAnsi="Times New Roman"/>
          <w:sz w:val="24"/>
        </w:rPr>
        <w:t xml:space="preserve">” shall mean, with respect to any Person and without duplication: </w:t>
      </w:r>
    </w:p>
    <w:p>
      <w:pPr>
        <w:pStyle w:val="TextBody"/>
        <w:bidi w:val="0"/>
        <w:spacing w:before="240" w:after="0"/>
        <w:jc w:val="both"/>
        <w:rPr>
          <w:rFonts w:ascii="Times New Roman" w:hAnsi="Times New Roman"/>
          <w:sz w:val="24"/>
        </w:rPr>
      </w:pPr>
      <w:r>
        <w:rPr>
          <w:rFonts w:ascii="Times New Roman" w:hAnsi="Times New Roman"/>
          <w:sz w:val="24"/>
        </w:rPr>
        <w:t xml:space="preserve">(a) indebtedness for money borrowed of such Person and indebtedness of such Person evidenced by notes payable, bonds, debentures or other similar instruments or drafts accepted representing extensions of credit; </w:t>
      </w:r>
    </w:p>
    <w:p>
      <w:pPr>
        <w:pStyle w:val="TextBody"/>
        <w:bidi w:val="0"/>
        <w:spacing w:before="240" w:after="0"/>
        <w:jc w:val="both"/>
        <w:rPr>
          <w:rFonts w:ascii="Times New Roman" w:hAnsi="Times New Roman"/>
          <w:sz w:val="24"/>
        </w:rPr>
      </w:pPr>
      <w:r>
        <w:rPr>
          <w:rFonts w:ascii="Times New Roman" w:hAnsi="Times New Roman"/>
          <w:sz w:val="24"/>
        </w:rPr>
        <w:t xml:space="preserve">(b) all indebtedness of such Person upon which interest charges are customarily paid (other than trade payables arising in the ordinary course of business, but only if and so long as such accounts are payable on customary trade terms); </w:t>
      </w:r>
    </w:p>
    <w:p>
      <w:pPr>
        <w:pStyle w:val="TextBody"/>
        <w:bidi w:val="0"/>
        <w:spacing w:before="240" w:after="0"/>
        <w:jc w:val="both"/>
        <w:rPr>
          <w:rFonts w:ascii="Times New Roman" w:hAnsi="Times New Roman"/>
          <w:sz w:val="24"/>
        </w:rPr>
      </w:pPr>
      <w:r>
        <w:rPr>
          <w:rFonts w:ascii="Times New Roman" w:hAnsi="Times New Roman"/>
          <w:sz w:val="24"/>
        </w:rPr>
        <w:t xml:space="preserve">(c) all Capitalized Lease Obligations of such Person; </w:t>
      </w:r>
    </w:p>
    <w:p>
      <w:pPr>
        <w:pStyle w:val="TextBody"/>
        <w:bidi w:val="0"/>
        <w:spacing w:before="240" w:after="0"/>
        <w:jc w:val="both"/>
        <w:rPr>
          <w:rFonts w:ascii="Times New Roman" w:hAnsi="Times New Roman"/>
          <w:sz w:val="24"/>
        </w:rPr>
      </w:pPr>
      <w:r>
        <w:rPr>
          <w:rFonts w:ascii="Times New Roman" w:hAnsi="Times New Roman"/>
          <w:sz w:val="24"/>
        </w:rPr>
        <w:t xml:space="preserve">(d) all reimbursement obligations of such Person with respect to outstanding letters of credit; </w:t>
      </w:r>
    </w:p>
    <w:p>
      <w:pPr>
        <w:pStyle w:val="TextBody"/>
        <w:bidi w:val="0"/>
        <w:spacing w:before="240" w:after="0"/>
        <w:jc w:val="both"/>
        <w:rPr>
          <w:rFonts w:ascii="Times New Roman" w:hAnsi="Times New Roman"/>
          <w:sz w:val="24"/>
        </w:rPr>
      </w:pPr>
      <w:r>
        <w:rPr>
          <w:rFonts w:ascii="Times New Roman" w:hAnsi="Times New Roman"/>
          <w:sz w:val="24"/>
        </w:rPr>
        <w:t xml:space="preserve">(e) all indebtedness of such Person issued or assumed as full or partial payment for property or services (other than trade payables arising in the ordinary course of business, but only if and so long as such accounts are payable on customary trade terms); </w:t>
      </w:r>
    </w:p>
    <w:p>
      <w:pPr>
        <w:pStyle w:val="TextBody"/>
        <w:bidi w:val="0"/>
        <w:spacing w:before="240" w:after="0"/>
        <w:jc w:val="both"/>
        <w:rPr>
          <w:rFonts w:ascii="Times New Roman" w:hAnsi="Times New Roman"/>
          <w:sz w:val="24"/>
        </w:rPr>
      </w:pPr>
      <w:r>
        <w:rPr>
          <w:rFonts w:ascii="Times New Roman" w:hAnsi="Times New Roman"/>
          <w:sz w:val="24"/>
        </w:rPr>
        <w:t xml:space="preserve">(f) all net obligations of such Person under Hedge Agreements valued on a marked to market basis on the date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(g) all direct or indirect obligations of any other Person secured by any Lien to which any property or asset owned by such Person is subject, but only to the extent of the </w:t>
      </w:r>
      <w:r>
        <w:rPr>
          <w:rFonts w:ascii="Times New Roman" w:hAnsi="Times New Roman"/>
          <w:strike/>
          <w:color w:val="FF0000"/>
          <w:sz w:val="24"/>
        </w:rPr>
        <w:t xml:space="preserve">higher of the </w:t>
      </w:r>
      <w:r>
        <w:rPr>
          <w:rFonts w:ascii="Times New Roman" w:hAnsi="Times New Roman"/>
          <w:sz w:val="24"/>
        </w:rPr>
        <w:t xml:space="preserve">fair market value </w:t>
      </w:r>
      <w:r>
        <w:rPr>
          <w:rFonts w:ascii="Times New Roman" w:hAnsi="Times New Roman"/>
          <w:strike/>
          <w:color w:val="FF0000"/>
          <w:sz w:val="24"/>
        </w:rPr>
        <w:t xml:space="preserve">or the book value </w:t>
      </w:r>
      <w:r>
        <w:rPr>
          <w:rFonts w:ascii="Times New Roman" w:hAnsi="Times New Roman"/>
          <w:sz w:val="24"/>
        </w:rPr>
        <w:t xml:space="preserve">of the property or asset subject to such Lien (if less than the amount of such obligation), if the obligation secured thereby shall not have been assumed; and </w:t>
      </w:r>
    </w:p>
    <w:p>
      <w:pPr>
        <w:pStyle w:val="TextBody"/>
        <w:bidi w:val="0"/>
        <w:spacing w:before="240" w:after="0"/>
        <w:jc w:val="both"/>
        <w:rPr>
          <w:rFonts w:ascii="Times New Roman" w:hAnsi="Times New Roman"/>
          <w:sz w:val="24"/>
        </w:rPr>
      </w:pPr>
      <w:r>
        <w:rPr>
          <w:rFonts w:ascii="Times New Roman" w:hAnsi="Times New Roman"/>
          <w:sz w:val="24"/>
        </w:rPr>
        <w:t xml:space="preserve">(h) Guaranties by such Person of any of the foregoing of any other Person. </w:t>
      </w:r>
    </w:p>
    <w:p>
      <w:pPr>
        <w:pStyle w:val="TextBody"/>
        <w:bidi w:val="0"/>
        <w:spacing w:before="240" w:after="0"/>
        <w:jc w:val="both"/>
        <w:rPr/>
      </w:pPr>
      <w:r>
        <w:rPr/>
        <w:t>“</w:t>
      </w:r>
      <w:r>
        <w:rPr>
          <w:rFonts w:ascii="Times New Roman" w:hAnsi="Times New Roman"/>
          <w:sz w:val="24"/>
          <w:u w:val="single"/>
        </w:rPr>
        <w:t>Indemnitee</w:t>
      </w:r>
      <w:r>
        <w:rPr>
          <w:rFonts w:ascii="Times New Roman" w:hAnsi="Times New Roman"/>
          <w:sz w:val="24"/>
        </w:rPr>
        <w:t xml:space="preserve">” shall have the meaning ascribed thereto in Section 12.5 hereof. </w:t>
      </w:r>
    </w:p>
    <w:p>
      <w:pPr>
        <w:pStyle w:val="TextBody"/>
        <w:bidi w:val="0"/>
        <w:spacing w:before="240" w:after="0"/>
        <w:jc w:val="both"/>
        <w:rPr/>
      </w:pPr>
      <w:r>
        <w:rPr/>
        <w:t>“</w:t>
      </w:r>
      <w:r>
        <w:rPr>
          <w:rFonts w:ascii="Times New Roman" w:hAnsi="Times New Roman"/>
          <w:sz w:val="24"/>
          <w:u w:val="single"/>
        </w:rPr>
        <w:t>Initial Issuing Banks</w:t>
      </w:r>
      <w:r>
        <w:rPr>
          <w:rFonts w:ascii="Times New Roman" w:hAnsi="Times New Roman"/>
          <w:sz w:val="24"/>
        </w:rPr>
        <w:t xml:space="preserve">” shall mean the banks listed on the signature pages hereof as the Initial Issuing Banks. </w:t>
      </w:r>
    </w:p>
    <w:p>
      <w:pPr>
        <w:pStyle w:val="TextBody"/>
        <w:bidi w:val="0"/>
        <w:spacing w:before="240" w:after="0"/>
        <w:jc w:val="both"/>
        <w:rPr/>
      </w:pPr>
      <w:r>
        <w:rPr/>
        <w:t>“</w:t>
      </w:r>
      <w:r>
        <w:rPr>
          <w:rFonts w:ascii="Times New Roman" w:hAnsi="Times New Roman"/>
          <w:sz w:val="24"/>
          <w:u w:val="single"/>
        </w:rPr>
        <w:t>Interest Expense</w:t>
      </w:r>
      <w:r>
        <w:rPr>
          <w:rFonts w:ascii="Times New Roman" w:hAnsi="Times New Roman"/>
          <w:sz w:val="24"/>
        </w:rPr>
        <w:t xml:space="preserve">” shall mean, for any Person and for any period, all cash interest expense (including imputed interest with respect to Capitalized Lease Obligations and commitment fees) with respect to any Indebtedness (including, without limitation, the Obligations) and Attributable Debt of such Person during such period pursuant to the terms of such Indebtedness. </w:t>
      </w:r>
    </w:p>
    <w:p>
      <w:pPr>
        <w:pStyle w:val="TextBody"/>
        <w:bidi w:val="0"/>
        <w:spacing w:before="240" w:after="0"/>
        <w:jc w:val="both"/>
        <w:rPr/>
      </w:pPr>
      <w:r>
        <w:rPr/>
        <w:t>“</w:t>
      </w:r>
      <w:r>
        <w:rPr>
          <w:rFonts w:ascii="Times New Roman" w:hAnsi="Times New Roman"/>
          <w:sz w:val="24"/>
          <w:u w:val="single"/>
        </w:rPr>
        <w:t>Interest Period</w:t>
      </w:r>
      <w:r>
        <w:rPr>
          <w:rFonts w:ascii="Times New Roman" w:hAnsi="Times New Roman"/>
          <w:sz w:val="24"/>
        </w:rPr>
        <w:t xml:space="preserve">” shall mean (a) in connection with any Base Rate Advance, the period beginning on the date such Advance is made as or Converted to a Base Rate Advance and ending on the last day of the fiscal quarter in which such Advance is made as or Converted to a Base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 Base Rate Advance is made or Converted on the last day of any fiscal quarter, it shall have an Interest Period ending on, and its Payment Date shall be, the last day of the following fiscal quarter, (b) in connection with any SONIA Rate Advance, the period beginning on the date such Advance is made and ending on the date that is on the numerically corresponding day of the following calendar month (or, if there is no such numerically corresponding day in such month, then the last day of such month) and (c) in connection with any Term Rate Advance, the term of such Term Rate Advance selected by the Company or the relevant Subsidiary Borrower or otherwise determined in accordance with this Agreement. Notwithstanding the foregoing, however, (i) any applicable Interest Period which would otherwise end on a day which is not a Business Day shall be extended to the next Business Day unless, with respect to Term Rate Advances only, such Business Day falls in another calendar month, in which case such Interest Period shall end on the next preceding Business Day, (ii) any applicable Interest Period, with respect to Term Rate Advances only, which begins on a day for which there is no numerically corresponding day in the calendar month during which such Interest Period is to end shall (subject to clause (i) above) end on the last day of such calendar month, and (iii) neither the Company nor any Subsidiary Borrower shall select an Interest Period which extends beyond the Maturity Date or such earlier date as would interfere with any Borrower’s repayment obligations under Section 2.6 hereof. Interest shall be due and payable with respect to any Advance as provided in Section 2.3 hereof. </w:t>
      </w:r>
    </w:p>
    <w:p>
      <w:pPr>
        <w:pStyle w:val="TextBody"/>
        <w:bidi w:val="0"/>
        <w:spacing w:before="240" w:after="0"/>
        <w:jc w:val="both"/>
        <w:rPr/>
      </w:pPr>
      <w:r>
        <w:rPr/>
        <w:t>“</w:t>
      </w:r>
      <w:r>
        <w:rPr>
          <w:rFonts w:ascii="Times New Roman" w:hAnsi="Times New Roman"/>
          <w:sz w:val="24"/>
          <w:u w:val="single"/>
        </w:rPr>
        <w:t>Interest Rate Basis</w:t>
      </w:r>
      <w:r>
        <w:rPr>
          <w:rFonts w:ascii="Times New Roman" w:hAnsi="Times New Roman"/>
          <w:sz w:val="24"/>
        </w:rPr>
        <w:t xml:space="preserve">” shall mean the Base Rate Basis, the SONIA Rate Basis or the Term Rate Basis, as appropriate. </w:t>
      </w:r>
    </w:p>
    <w:p>
      <w:pPr>
        <w:pStyle w:val="TextBody"/>
        <w:bidi w:val="0"/>
        <w:spacing w:before="240" w:after="0"/>
        <w:jc w:val="both"/>
        <w:rPr/>
      </w:pPr>
      <w:r>
        <w:rPr/>
        <w:t>“</w:t>
      </w:r>
      <w:r>
        <w:rPr>
          <w:rFonts w:ascii="Times New Roman" w:hAnsi="Times New Roman"/>
          <w:sz w:val="24"/>
          <w:u w:val="single"/>
        </w:rPr>
        <w:t>Investment</w:t>
      </w:r>
      <w:r>
        <w:rPr>
          <w:rFonts w:ascii="Times New Roman" w:hAnsi="Times New Roman"/>
          <w:sz w:val="24"/>
        </w:rPr>
        <w:t xml:space="preserve">” shall mean any investment or loan by the Company or any of its Subsidiaries in or to any Person which Person, after giving effect to such investment or loan, is not consolidated with the Company and its Subsidiaries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ISP</w:t>
      </w:r>
      <w:r>
        <w:rPr>
          <w:rFonts w:ascii="Times New Roman" w:hAnsi="Times New Roman"/>
          <w:sz w:val="24"/>
        </w:rPr>
        <w:t xml:space="preserve">” shall mean, with respect to any Letter of Credit, the “International Standby Practices 1998” published by the Institute of International Banking Law &amp; Practice, Inc. (or such later version thereof as may be in effect at the time of issuance). </w:t>
      </w:r>
    </w:p>
    <w:p>
      <w:pPr>
        <w:pStyle w:val="TextBody"/>
        <w:bidi w:val="0"/>
        <w:spacing w:before="240" w:after="0"/>
        <w:jc w:val="both"/>
        <w:rPr/>
      </w:pPr>
      <w:r>
        <w:rPr/>
        <w:t>“</w:t>
      </w:r>
      <w:r>
        <w:rPr>
          <w:rFonts w:ascii="Times New Roman" w:hAnsi="Times New Roman"/>
          <w:sz w:val="24"/>
          <w:u w:val="single"/>
        </w:rPr>
        <w:t>Issuer Documents</w:t>
      </w:r>
      <w:r>
        <w:rPr>
          <w:rFonts w:ascii="Times New Roman" w:hAnsi="Times New Roman"/>
          <w:sz w:val="24"/>
        </w:rPr>
        <w:t xml:space="preserve">” shall mean with respect to any Letter of Credit, the Letter of Credit Application, and any other document, agreement and instrument entered into by the applicable Issuing Bank and the Company (or any Subsidiary) or in favor of the applicable Issuing Bank and relating to such Letter of Credit. </w:t>
      </w:r>
    </w:p>
    <w:p>
      <w:pPr>
        <w:pStyle w:val="TextBody"/>
        <w:bidi w:val="0"/>
        <w:spacing w:before="240" w:after="0"/>
        <w:jc w:val="both"/>
        <w:rPr/>
      </w:pPr>
      <w:r>
        <w:rPr/>
        <w:t>“</w:t>
      </w:r>
      <w:r>
        <w:rPr>
          <w:rFonts w:ascii="Times New Roman" w:hAnsi="Times New Roman"/>
          <w:sz w:val="24"/>
          <w:u w:val="single"/>
        </w:rPr>
        <w:t>Issuing Banks</w:t>
      </w:r>
      <w:r>
        <w:rPr>
          <w:rFonts w:ascii="Times New Roman" w:hAnsi="Times New Roman"/>
          <w:sz w:val="24"/>
        </w:rPr>
        <w:t xml:space="preserve">” shall mean each Initial Issuing Bank, each Lender with an outstanding Letter of Credit listed on Schedule 2, and any other Lender approved as a Issuing Bank by the Administrative Agent and the Company and any assignee to which a L/C Commitment hereunder has been assigned pursuant to Section 12.4 so long as each such Lender or such assignee expressly agrees to perform in accordance with their terms all of the obligations that by the terms of this Agreement are required to be performed by it as an Issuing Bank and notifies the Administrative Agent of its applicable lending office and the amount of its L/C Commitment (which information shall be recorded by the Administrative Agent in the Register), for so long as such Initial Issuing Bank, Lender or assignee, as the case may be, shall have a L/C Commitment. </w:t>
      </w:r>
    </w:p>
    <w:p>
      <w:pPr>
        <w:pStyle w:val="TextBody"/>
        <w:bidi w:val="0"/>
        <w:spacing w:before="240" w:after="0"/>
        <w:jc w:val="both"/>
        <w:rPr/>
      </w:pPr>
      <w:r>
        <w:rPr/>
        <w:t>“</w:t>
      </w:r>
      <w:r>
        <w:rPr>
          <w:rFonts w:ascii="Times New Roman" w:hAnsi="Times New Roman"/>
          <w:sz w:val="24"/>
          <w:u w:val="single"/>
        </w:rPr>
        <w:t>Joint Lead Arrangers</w:t>
      </w:r>
      <w:r>
        <w:rPr>
          <w:rFonts w:ascii="Times New Roman" w:hAnsi="Times New Roman"/>
          <w:sz w:val="24"/>
        </w:rPr>
        <w:t xml:space="preserve">” shall mean TD Securities (USA) LLC, JPMorgan Chase Bank, N.A. and each other financial institution identified as a joint lead arranger on the cover of this Agreement. </w:t>
      </w:r>
    </w:p>
    <w:p>
      <w:pPr>
        <w:pStyle w:val="TextBody"/>
        <w:bidi w:val="0"/>
        <w:spacing w:before="240" w:after="0"/>
        <w:jc w:val="both"/>
        <w:rPr/>
      </w:pPr>
      <w:r>
        <w:rPr/>
        <w:t>“</w:t>
      </w:r>
      <w:r>
        <w:rPr>
          <w:rFonts w:ascii="Times New Roman" w:hAnsi="Times New Roman"/>
          <w:sz w:val="24"/>
          <w:u w:val="single"/>
        </w:rPr>
        <w:t>known to the Company</w:t>
      </w:r>
      <w:r>
        <w:rPr>
          <w:rFonts w:ascii="Times New Roman" w:hAnsi="Times New Roman"/>
          <w:sz w:val="24"/>
        </w:rPr>
        <w:t>”, “</w:t>
      </w:r>
      <w:r>
        <w:rPr>
          <w:rFonts w:ascii="Times New Roman" w:hAnsi="Times New Roman"/>
          <w:sz w:val="24"/>
          <w:u w:val="single"/>
        </w:rPr>
        <w:t>to the knowledge of the Company</w:t>
      </w:r>
      <w:r>
        <w:rPr>
          <w:rFonts w:ascii="Times New Roman" w:hAnsi="Times New Roman"/>
          <w:sz w:val="24"/>
        </w:rPr>
        <w:t xml:space="preserve">” or any similar phrase, shall mean known by, or reasonably should have been known by, the executive officers of the Company (which shall include, without limitation, the chief executive officer, the chief operating officer, if any, the chief financial officer and the general counsel of the Company). </w:t>
      </w:r>
    </w:p>
    <w:p>
      <w:pPr>
        <w:pStyle w:val="TextBody"/>
        <w:bidi w:val="0"/>
        <w:spacing w:before="240" w:after="0"/>
        <w:jc w:val="both"/>
        <w:rPr/>
      </w:pPr>
      <w:r>
        <w:rPr/>
        <w:t>“</w:t>
      </w:r>
      <w:r>
        <w:rPr>
          <w:rFonts w:ascii="Times New Roman" w:hAnsi="Times New Roman"/>
          <w:sz w:val="24"/>
          <w:u w:val="single"/>
        </w:rPr>
        <w:t>L/C Advance</w:t>
      </w:r>
      <w:r>
        <w:rPr>
          <w:rFonts w:ascii="Times New Roman" w:hAnsi="Times New Roman"/>
          <w:sz w:val="24"/>
        </w:rPr>
        <w:t xml:space="preserve">” shall mean an extension of credit resulting from a drawing under any Letter of Credit which has not been reimbursed on the date when made or refinanced as Revolving Loans. </w:t>
      </w:r>
    </w:p>
    <w:p>
      <w:pPr>
        <w:pStyle w:val="TextBody"/>
        <w:bidi w:val="0"/>
        <w:spacing w:before="240" w:after="0"/>
        <w:jc w:val="both"/>
        <w:rPr/>
      </w:pPr>
      <w:r>
        <w:rPr/>
        <w:t>“</w:t>
      </w:r>
      <w:r>
        <w:rPr>
          <w:rFonts w:ascii="Times New Roman" w:hAnsi="Times New Roman"/>
          <w:sz w:val="24"/>
          <w:u w:val="single"/>
        </w:rPr>
        <w:t>L/C Commitment</w:t>
      </w:r>
      <w:r>
        <w:rPr>
          <w:rFonts w:ascii="Times New Roman" w:hAnsi="Times New Roman"/>
          <w:sz w:val="24"/>
        </w:rPr>
        <w:t xml:space="preserve">” shall mean, with respect to any Issuing Bank at any time, the amount set forth opposite such Issuing Bank’s name on Schedule 1 hereto under the caption “L/C Commitment” or set forth for such Issuing Bank in the Register maintained by the Administrative Agent pursuant to Section 12.4(c) as such Issuing Bank’s “L/C Commitment,” as such amount may be reduced at or prior to such time pursuant to Section 2.5, or such other amount as may be approved by the Administrative Agent and the Company. </w:t>
      </w:r>
    </w:p>
    <w:p>
      <w:pPr>
        <w:pStyle w:val="TextBody"/>
        <w:bidi w:val="0"/>
        <w:spacing w:before="240" w:after="0"/>
        <w:jc w:val="both"/>
        <w:rPr/>
      </w:pPr>
      <w:r>
        <w:rPr/>
        <w:t>“</w:t>
      </w:r>
      <w:r>
        <w:rPr>
          <w:rFonts w:ascii="Times New Roman" w:hAnsi="Times New Roman"/>
          <w:sz w:val="24"/>
          <w:u w:val="single"/>
        </w:rPr>
        <w:t>L/C Credit Extension</w:t>
      </w:r>
      <w:r>
        <w:rPr>
          <w:rFonts w:ascii="Times New Roman" w:hAnsi="Times New Roman"/>
          <w:sz w:val="24"/>
        </w:rPr>
        <w:t xml:space="preserve">” shall mean, with respect to any Letter of Credit, the issuance thereof or extension of the expiry date thereof, or the increase of the amount thereof. </w:t>
      </w:r>
    </w:p>
    <w:p>
      <w:pPr>
        <w:pStyle w:val="TextBody"/>
        <w:bidi w:val="0"/>
        <w:spacing w:before="240" w:after="0"/>
        <w:jc w:val="both"/>
        <w:rPr/>
      </w:pPr>
      <w:r>
        <w:rPr/>
        <w:t>“</w:t>
      </w:r>
      <w:r>
        <w:rPr>
          <w:rFonts w:ascii="Times New Roman" w:hAnsi="Times New Roman"/>
          <w:sz w:val="24"/>
          <w:u w:val="single"/>
        </w:rPr>
        <w:t>L/C Loan</w:t>
      </w:r>
      <w:r>
        <w:rPr>
          <w:rFonts w:ascii="Times New Roman" w:hAnsi="Times New Roman"/>
          <w:sz w:val="24"/>
        </w:rPr>
        <w:t xml:space="preserve">” shall mean, with respect to each Lender, such Lender’s funding of its participation in any L/C Advance in accordance with its Commitment Ratio. </w:t>
      </w:r>
    </w:p>
    <w:p>
      <w:pPr>
        <w:pStyle w:val="TextBody"/>
        <w:bidi w:val="0"/>
        <w:spacing w:before="240" w:after="0"/>
        <w:jc w:val="both"/>
        <w:rPr/>
      </w:pPr>
      <w:r>
        <w:rPr/>
        <w:t>“</w:t>
      </w:r>
      <w:r>
        <w:rPr>
          <w:rFonts w:ascii="Times New Roman" w:hAnsi="Times New Roman"/>
          <w:sz w:val="24"/>
          <w:u w:val="single"/>
        </w:rPr>
        <w:t>L/C Obligations</w:t>
      </w:r>
      <w:r>
        <w:rPr>
          <w:rFonts w:ascii="Times New Roman" w:hAnsi="Times New Roman"/>
          <w:sz w:val="24"/>
        </w:rPr>
        <w:t xml:space="preserve">” shall mean, as at any date of determination, the aggregate amount available to be drawn under all outstanding Letters of Credit </w:t>
      </w:r>
      <w:r>
        <w:rPr>
          <w:rFonts w:ascii="Times New Roman" w:hAnsi="Times New Roman"/>
          <w:sz w:val="24"/>
          <w:u w:val="single"/>
        </w:rPr>
        <w:t>plus</w:t>
      </w:r>
      <w:r>
        <w:rPr>
          <w:rFonts w:ascii="Times New Roman" w:hAnsi="Times New Roman"/>
          <w:sz w:val="24"/>
        </w:rPr>
        <w:t xml:space="preserve"> the aggregate of all Unreimbursed Amounts, including all L/C Advances. For purposes of computing the amount available to be drawn under any Letter of Credit, the amount of such Letter of Credit shall be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determined in accordance with </w:t>
      </w:r>
      <w:r>
        <w:rPr>
          <w:rFonts w:ascii="Times New Roman" w:hAnsi="Times New Roman"/>
          <w:sz w:val="24"/>
          <w:u w:val="single"/>
        </w:rPr>
        <w:t>Section 1.5</w:t>
      </w:r>
      <w:r>
        <w:rPr>
          <w:rFonts w:ascii="Times New Roman" w:hAnsi="Times New Roman"/>
          <w:sz w:val="24"/>
        </w:rPr>
        <w:t xml:space="preserv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w:t>
      </w:r>
    </w:p>
    <w:p>
      <w:pPr>
        <w:pStyle w:val="TextBody"/>
        <w:bidi w:val="0"/>
        <w:spacing w:before="240" w:after="0"/>
        <w:jc w:val="both"/>
        <w:rPr/>
      </w:pPr>
      <w:r>
        <w:rPr/>
        <w:t>“</w:t>
      </w:r>
      <w:r>
        <w:rPr>
          <w:rFonts w:ascii="Times New Roman" w:hAnsi="Times New Roman"/>
          <w:sz w:val="24"/>
          <w:u w:val="single"/>
        </w:rPr>
        <w:t>Lenders</w:t>
      </w:r>
      <w:r>
        <w:rPr>
          <w:rFonts w:ascii="Times New Roman" w:hAnsi="Times New Roman"/>
          <w:sz w:val="24"/>
        </w:rPr>
        <w:t xml:space="preserve">” shall mean the Persons whose names appear as “Lenders” on Schedule 1, any other Person which becomes a “Lender” hereunder after the Effective Date by executing an Assignment and Assumption substantially in the form of </w:t>
      </w:r>
      <w:r>
        <w:rPr>
          <w:rFonts w:ascii="Times New Roman" w:hAnsi="Times New Roman"/>
          <w:sz w:val="24"/>
          <w:u w:val="single"/>
        </w:rPr>
        <w:t>Exhibit F</w:t>
      </w:r>
      <w:r>
        <w:rPr>
          <w:rFonts w:ascii="Times New Roman" w:hAnsi="Times New Roman"/>
          <w:sz w:val="24"/>
        </w:rPr>
        <w:t xml:space="preserve"> attached hereto in accordance with the provisions hereof, any New Lender and, unless the context requires otherwise, the Swingline Lender; and “</w:t>
      </w:r>
      <w:r>
        <w:rPr>
          <w:rFonts w:ascii="Times New Roman" w:hAnsi="Times New Roman"/>
          <w:sz w:val="24"/>
          <w:u w:val="single"/>
        </w:rPr>
        <w:t>Lender</w:t>
      </w:r>
      <w:r>
        <w:rPr>
          <w:rFonts w:ascii="Times New Roman" w:hAnsi="Times New Roman"/>
          <w:sz w:val="24"/>
        </w:rPr>
        <w:t xml:space="preserve">” shall mean any one of the foregoing Lenders. </w:t>
      </w:r>
    </w:p>
    <w:p>
      <w:pPr>
        <w:pStyle w:val="TextBody"/>
        <w:bidi w:val="0"/>
        <w:spacing w:before="240" w:after="0"/>
        <w:jc w:val="both"/>
        <w:rPr/>
      </w:pPr>
      <w:r>
        <w:rPr/>
        <w:t>“</w:t>
      </w:r>
      <w:r>
        <w:rPr>
          <w:rFonts w:ascii="Times New Roman" w:hAnsi="Times New Roman"/>
          <w:sz w:val="24"/>
          <w:u w:val="single"/>
        </w:rPr>
        <w:t>Letter of Credit Application</w:t>
      </w:r>
      <w:r>
        <w:rPr>
          <w:rFonts w:ascii="Times New Roman" w:hAnsi="Times New Roman"/>
          <w:sz w:val="24"/>
        </w:rPr>
        <w:t xml:space="preserve">” shall mean an application and agreement for the issuance or amendment of a Letter of Credit in the form from time to time in use by the applicable Issuing Bank. </w:t>
      </w:r>
    </w:p>
    <w:p>
      <w:pPr>
        <w:pStyle w:val="TextBody"/>
        <w:bidi w:val="0"/>
        <w:spacing w:before="240" w:after="0"/>
        <w:jc w:val="both"/>
        <w:rPr/>
      </w:pPr>
      <w:r>
        <w:rPr/>
        <w:t>“</w:t>
      </w:r>
      <w:r>
        <w:rPr>
          <w:rFonts w:ascii="Times New Roman" w:hAnsi="Times New Roman"/>
          <w:sz w:val="24"/>
          <w:u w:val="single"/>
        </w:rPr>
        <w:t>Letter of Credit Expiration Date</w:t>
      </w:r>
      <w:r>
        <w:rPr>
          <w:rFonts w:ascii="Times New Roman" w:hAnsi="Times New Roman"/>
          <w:sz w:val="24"/>
        </w:rPr>
        <w:t xml:space="preserve">” shall mean the day that is seven (7) days prior to the scheduled Maturity Date (or, if such day is not a Business Day, the next preceding Business Day). </w:t>
      </w:r>
    </w:p>
    <w:p>
      <w:pPr>
        <w:pStyle w:val="TextBody"/>
        <w:bidi w:val="0"/>
        <w:spacing w:before="240" w:after="0"/>
        <w:jc w:val="both"/>
        <w:rPr/>
      </w:pPr>
      <w:r>
        <w:rPr/>
        <w:t>“</w:t>
      </w:r>
      <w:r>
        <w:rPr>
          <w:rFonts w:ascii="Times New Roman" w:hAnsi="Times New Roman"/>
          <w:sz w:val="24"/>
          <w:u w:val="single"/>
        </w:rPr>
        <w:t>Letter of Credit Fee</w:t>
      </w:r>
      <w:r>
        <w:rPr>
          <w:rFonts w:ascii="Times New Roman" w:hAnsi="Times New Roman"/>
          <w:sz w:val="24"/>
        </w:rPr>
        <w:t xml:space="preserve">” shall have the meaning specified in </w:t>
      </w:r>
      <w:r>
        <w:rPr>
          <w:rFonts w:ascii="Times New Roman" w:hAnsi="Times New Roman"/>
          <w:sz w:val="24"/>
          <w:u w:val="single"/>
        </w:rPr>
        <w:t>Section 2.4(b)(ii)</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Letter of Credit Sublimit</w:t>
      </w:r>
      <w:r>
        <w:rPr>
          <w:rFonts w:ascii="Times New Roman" w:hAnsi="Times New Roman"/>
          <w:sz w:val="24"/>
        </w:rPr>
        <w:t xml:space="preserve">” shall mean, at any time, an amount equal to the lesser of (a) $200,000,000 and (b) the Available Amount. The Letter of Credit Sublimit is part of, and not in addition to, the Revolving Loan Commitments. </w:t>
      </w:r>
    </w:p>
    <w:p>
      <w:pPr>
        <w:pStyle w:val="TextBody"/>
        <w:bidi w:val="0"/>
        <w:spacing w:before="240" w:after="0"/>
        <w:jc w:val="both"/>
        <w:rPr/>
      </w:pPr>
      <w:r>
        <w:rPr/>
        <w:t>“</w:t>
      </w:r>
      <w:r>
        <w:rPr>
          <w:rFonts w:ascii="Times New Roman" w:hAnsi="Times New Roman"/>
          <w:sz w:val="24"/>
          <w:u w:val="single"/>
        </w:rPr>
        <w:t>Letters of Credit</w:t>
      </w:r>
      <w:r>
        <w:rPr>
          <w:rFonts w:ascii="Times New Roman" w:hAnsi="Times New Roman"/>
          <w:sz w:val="24"/>
        </w:rPr>
        <w:t xml:space="preserve">” shall mean, collectively, each Standby Letter of Credit or Commercial Letter of Credit issued by the Issuing Banks on behalf of the Company or any of its Subsidiaries in accordance with the terms hereof; </w:t>
      </w:r>
      <w:r>
        <w:rPr>
          <w:rFonts w:ascii="Times New Roman" w:hAnsi="Times New Roman"/>
          <w:sz w:val="24"/>
          <w:u w:val="single"/>
        </w:rPr>
        <w:t>provided</w:t>
      </w:r>
      <w:r>
        <w:rPr>
          <w:rFonts w:ascii="Times New Roman" w:hAnsi="Times New Roman"/>
          <w:sz w:val="24"/>
        </w:rPr>
        <w:t xml:space="preserve"> that any Commercial Letter of Credit issued hereunder shall provide solely for cash payment upon presentation of a sight draft. </w:t>
      </w:r>
    </w:p>
    <w:p>
      <w:pPr>
        <w:pStyle w:val="TextBody"/>
        <w:bidi w:val="0"/>
        <w:spacing w:before="240" w:after="0"/>
        <w:jc w:val="both"/>
        <w:rPr/>
      </w:pPr>
      <w:r>
        <w:rPr/>
        <w:t>“</w:t>
      </w:r>
      <w:r>
        <w:rPr>
          <w:rFonts w:ascii="Times New Roman" w:hAnsi="Times New Roman"/>
          <w:sz w:val="24"/>
          <w:u w:val="single"/>
        </w:rPr>
        <w:t>Licenses</w:t>
      </w:r>
      <w:r>
        <w:rPr>
          <w:rFonts w:ascii="Times New Roman" w:hAnsi="Times New Roman"/>
          <w:sz w:val="24"/>
        </w:rPr>
        <w:t xml:space="preserve">” shall mean, collectively, any telephone, microwave, radio transmissions, personal communications or other license, authorization, certificate of compliance, franchise, approval or permit, whether for the construction, the ownership or the operation of any communications tower facilities, granted or issued by the FCC and held by the Company or any of its Subsidiaries. </w:t>
      </w:r>
    </w:p>
    <w:p>
      <w:pPr>
        <w:pStyle w:val="TextBody"/>
        <w:bidi w:val="0"/>
        <w:spacing w:before="240" w:after="0"/>
        <w:jc w:val="both"/>
        <w:rPr/>
      </w:pPr>
      <w:r>
        <w:rPr/>
        <w:t>“</w:t>
      </w:r>
      <w:r>
        <w:rPr>
          <w:rFonts w:ascii="Times New Roman" w:hAnsi="Times New Roman"/>
          <w:sz w:val="24"/>
          <w:u w:val="single"/>
        </w:rPr>
        <w:t>Lien</w:t>
      </w:r>
      <w:r>
        <w:rPr>
          <w:rFonts w:ascii="Times New Roman" w:hAnsi="Times New Roman"/>
          <w:sz w:val="24"/>
        </w:rPr>
        <w:t xml:space="preserve">” shall mean, with respect to any property, any mortgage, lien, pledge, charge, security interest, title retention agreement or other encumbrance of any kind in respect of such property. </w:t>
      </w:r>
    </w:p>
    <w:p>
      <w:pPr>
        <w:pStyle w:val="TextBody"/>
        <w:bidi w:val="0"/>
        <w:spacing w:before="240" w:after="0"/>
        <w:jc w:val="both"/>
        <w:rPr/>
      </w:pPr>
      <w:r>
        <w:rPr/>
        <w:t>“</w:t>
      </w:r>
      <w:r>
        <w:rPr>
          <w:rFonts w:ascii="Times New Roman" w:hAnsi="Times New Roman"/>
          <w:sz w:val="24"/>
          <w:u w:val="single"/>
        </w:rPr>
        <w:t>Loan Documents</w:t>
      </w:r>
      <w:r>
        <w:rPr>
          <w:rFonts w:ascii="Times New Roman" w:hAnsi="Times New Roman"/>
          <w:sz w:val="24"/>
        </w:rPr>
        <w:t xml:space="preserve">” shall mean, collectively, this Agreement, the Notes, all fee letters, all Designation Agreements, Requests for Advance, all Requests for Issuance of Letters of Credit, all Letters of Credit and all other certificates, documents, instruments and agreements executed or delivered by the Company or any Subsidiary Borrower in connection with or contemplated by this Agreement. </w:t>
      </w:r>
    </w:p>
    <w:p>
      <w:pPr>
        <w:pStyle w:val="TextBody"/>
        <w:bidi w:val="0"/>
        <w:spacing w:before="240" w:after="0"/>
        <w:jc w:val="both"/>
        <w:rPr/>
      </w:pPr>
      <w:r>
        <w:rPr/>
        <w:t>“</w:t>
      </w:r>
      <w:r>
        <w:rPr>
          <w:rFonts w:ascii="Times New Roman" w:hAnsi="Times New Roman"/>
          <w:sz w:val="24"/>
          <w:u w:val="single"/>
        </w:rPr>
        <w:t>Loans</w:t>
      </w:r>
      <w:r>
        <w:rPr>
          <w:rFonts w:ascii="Times New Roman" w:hAnsi="Times New Roman"/>
          <w:sz w:val="24"/>
        </w:rPr>
        <w:t xml:space="preserve">” shall mean, collectively, the Revolving Loans, the L/C Loans and the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Majority Lenders</w:t>
      </w:r>
      <w:r>
        <w:rPr>
          <w:rFonts w:ascii="Times New Roman" w:hAnsi="Times New Roman"/>
          <w:sz w:val="24"/>
        </w:rPr>
        <w:t xml:space="preserve">” shall mean Lenders the total of whose Revolving Loan Commitments at such time (or, after the termination thereof, the Dollar Equivalent of the Revolving Loans of such Lenders then outstanding and such Lenders’ Commitment Ratios of the Swingline Loans then outstanding and the Dollar Equivalent of the L/C Obligations then outstanding) exceeds fifty percent (50%) of the Revolving Loan Commitments of all Lenders in effect at such time (or, after the termination thereof, the Dollar Equivalent of the Revolving Loans of all Lenders then outstanding, the Swingline Loans then outstanding and the L/C Obligations then outstanding), in each case, held by all Lenders entitled to vote hereunder; </w:t>
      </w:r>
      <w:r>
        <w:rPr>
          <w:rFonts w:ascii="Times New Roman" w:hAnsi="Times New Roman"/>
          <w:sz w:val="24"/>
          <w:u w:val="single"/>
        </w:rPr>
        <w:t>provided</w:t>
      </w:r>
      <w:r>
        <w:rPr>
          <w:rFonts w:ascii="Times New Roman" w:hAnsi="Times New Roman"/>
          <w:sz w:val="24"/>
        </w:rPr>
        <w:t xml:space="preserve"> that the Revolving Loan Commitment of, and the portion of the Dollar Equivalent of the Revolving Loans then outstanding held or deemed held by any Defaulting Lender, and any Defaulting Lender’s Commitment Ratio of the Swingline Loans then outstanding and the Dollar Equivalent of the L/C Obligations then outstanding shall be excluded for purposes of making a determination of Majority Lenders. </w:t>
      </w:r>
    </w:p>
    <w:p>
      <w:pPr>
        <w:pStyle w:val="TextBody"/>
        <w:bidi w:val="0"/>
        <w:spacing w:before="240" w:after="0"/>
        <w:jc w:val="both"/>
        <w:rPr/>
      </w:pPr>
      <w:r>
        <w:rPr/>
        <w:t>“</w:t>
      </w:r>
      <w:r>
        <w:rPr>
          <w:rFonts w:ascii="Times New Roman" w:hAnsi="Times New Roman"/>
          <w:sz w:val="24"/>
          <w:u w:val="single"/>
        </w:rPr>
        <w:t>margin stock</w:t>
      </w:r>
      <w:r>
        <w:rPr>
          <w:rFonts w:ascii="Times New Roman" w:hAnsi="Times New Roman"/>
          <w:sz w:val="24"/>
        </w:rPr>
        <w:t xml:space="preserve">” shall have the meaning ascribed thereto in Section 4.1(k) hereof. </w:t>
      </w:r>
    </w:p>
    <w:p>
      <w:pPr>
        <w:pStyle w:val="TextBody"/>
        <w:bidi w:val="0"/>
        <w:spacing w:before="240" w:after="0"/>
        <w:jc w:val="both"/>
        <w:rPr/>
      </w:pPr>
      <w:r>
        <w:rPr/>
        <w:t>“</w:t>
      </w:r>
      <w:r>
        <w:rPr>
          <w:rFonts w:ascii="Times New Roman" w:hAnsi="Times New Roman"/>
          <w:sz w:val="24"/>
          <w:u w:val="single"/>
        </w:rPr>
        <w:t>Material Subsidiary</w:t>
      </w:r>
      <w:r>
        <w:rPr>
          <w:rFonts w:ascii="Times New Roman" w:hAnsi="Times New Roman"/>
          <w:sz w:val="24"/>
        </w:rPr>
        <w:t xml:space="preserve">” shall mean any Subsidiary of the Company whose Adjusted EBITDA, as of the last day of any fiscal year, is greater than ten percent (10%) of the Adjusted EBITDA of the Company and its subsidiaries on a consolidated basis as of such date. </w:t>
      </w:r>
    </w:p>
    <w:p>
      <w:pPr>
        <w:pStyle w:val="TextBody"/>
        <w:bidi w:val="0"/>
        <w:spacing w:before="240" w:after="0"/>
        <w:jc w:val="both"/>
        <w:rPr/>
      </w:pPr>
      <w:r>
        <w:rPr/>
        <w:t>“</w:t>
      </w:r>
      <w:r>
        <w:rPr>
          <w:rFonts w:ascii="Times New Roman" w:hAnsi="Times New Roman"/>
          <w:sz w:val="24"/>
          <w:u w:val="single"/>
        </w:rPr>
        <w:t>Material Subsidiary Group</w:t>
      </w:r>
      <w:r>
        <w:rPr>
          <w:rFonts w:ascii="Times New Roman" w:hAnsi="Times New Roman"/>
          <w:sz w:val="24"/>
        </w:rPr>
        <w:t xml:space="preserve">” shall mean one or more Subsidiaries of the Company when taken as a whole whose Adjusted EBITDA, as of the last day of any fiscal year, is greater than ten percent (10%) of the Adjusted EBITDA of the Company and its subsidiaries on a consolidated basis as of such date. </w:t>
      </w:r>
    </w:p>
    <w:p>
      <w:pPr>
        <w:pStyle w:val="TextBody"/>
        <w:bidi w:val="0"/>
        <w:spacing w:before="240" w:after="0"/>
        <w:jc w:val="both"/>
        <w:rPr/>
      </w:pPr>
      <w:r>
        <w:rPr/>
        <w:t>“</w:t>
      </w:r>
      <w:r>
        <w:rPr>
          <w:rFonts w:ascii="Times New Roman" w:hAnsi="Times New Roman"/>
          <w:sz w:val="24"/>
          <w:u w:val="single"/>
        </w:rPr>
        <w:t>Materially Adverse Effect</w:t>
      </w:r>
      <w:r>
        <w:rPr>
          <w:rFonts w:ascii="Times New Roman" w:hAnsi="Times New Roman"/>
          <w:sz w:val="24"/>
        </w:rPr>
        <w:t xml:space="preserve">” shall mean (a) any material adverse effect upon the business, assets, liabilities, financial condition or results of operations of the Company and its Subsidiaries, taken as a whole, or (b) a material adverse effect upon any material rights or benefits of the Lenders, the Issuing Banks or the Administrative Agent under the Loan Documents. </w:t>
      </w:r>
    </w:p>
    <w:p>
      <w:pPr>
        <w:pStyle w:val="TextBody"/>
        <w:bidi w:val="0"/>
        <w:spacing w:before="240" w:after="0"/>
        <w:jc w:val="both"/>
        <w:rPr/>
      </w:pPr>
      <w:r>
        <w:rPr/>
        <w:t>“</w:t>
      </w:r>
      <w:r>
        <w:rPr>
          <w:rFonts w:ascii="Times New Roman" w:hAnsi="Times New Roman"/>
          <w:sz w:val="24"/>
          <w:u w:val="single"/>
        </w:rPr>
        <w:t>Maturity Date</w:t>
      </w:r>
      <w:r>
        <w:rPr>
          <w:rFonts w:ascii="Times New Roman" w:hAnsi="Times New Roman"/>
          <w:sz w:val="24"/>
        </w:rPr>
        <w:t xml:space="preserve">” shall mean </w:t>
      </w:r>
      <w:r>
        <w:rPr>
          <w:rFonts w:ascii="Times New Roman" w:hAnsi="Times New Roman"/>
          <w:strike/>
          <w:color w:val="FF0000"/>
          <w:sz w:val="24"/>
        </w:rPr>
        <w:t>January 28</w:t>
      </w:r>
      <w:r>
        <w:rPr>
          <w:rFonts w:ascii="Times New Roman" w:hAnsi="Times New Roman"/>
          <w:color w:val="0000FF"/>
          <w:sz w:val="24"/>
          <w:u w:val="single"/>
          <w:bdr w:val="double" w:sz="2" w:space="1" w:color="000000"/>
        </w:rPr>
        <w:t>May 1</w:t>
      </w:r>
      <w:r>
        <w:rPr>
          <w:rFonts w:ascii="Times New Roman" w:hAnsi="Times New Roman"/>
          <w:sz w:val="24"/>
        </w:rPr>
        <w:t xml:space="preserve">, </w:t>
      </w:r>
      <w:r>
        <w:rPr>
          <w:rFonts w:ascii="Times New Roman" w:hAnsi="Times New Roman"/>
          <w:strike/>
          <w:color w:val="FF0000"/>
          <w:sz w:val="24"/>
        </w:rPr>
        <w:t>2028</w:t>
      </w:r>
      <w:r>
        <w:rPr>
          <w:rFonts w:ascii="Times New Roman" w:hAnsi="Times New Roman"/>
          <w:color w:val="0000FF"/>
          <w:sz w:val="24"/>
          <w:u w:val="single"/>
          <w:bdr w:val="double" w:sz="2" w:space="1" w:color="000000"/>
        </w:rPr>
        <w:t>2029</w:t>
      </w:r>
      <w:r>
        <w:rPr>
          <w:rFonts w:ascii="Times New Roman" w:hAnsi="Times New Roman"/>
          <w:sz w:val="24"/>
        </w:rPr>
        <w:t xml:space="preserve">, or such earlier date as payment of the Loans shall be due (whether by acceleration, reduction of the Commitments to zero or otherwise). </w:t>
      </w:r>
    </w:p>
    <w:p>
      <w:pPr>
        <w:pStyle w:val="TextBody"/>
        <w:bidi w:val="0"/>
        <w:spacing w:before="240" w:after="0"/>
        <w:jc w:val="both"/>
        <w:rPr/>
      </w:pPr>
      <w:r>
        <w:rPr/>
        <w:t>“</w:t>
      </w:r>
      <w:r>
        <w:rPr>
          <w:rFonts w:ascii="Times New Roman" w:hAnsi="Times New Roman"/>
          <w:sz w:val="24"/>
          <w:u w:val="single"/>
        </w:rPr>
        <w:t>Moody’s</w:t>
      </w:r>
      <w:r>
        <w:rPr>
          <w:rFonts w:ascii="Times New Roman" w:hAnsi="Times New Roman"/>
          <w:sz w:val="24"/>
        </w:rPr>
        <w:t xml:space="preserve">” shall mean Moody’s Investor’s Service, Inc., and its successors. </w:t>
      </w:r>
    </w:p>
    <w:p>
      <w:pPr>
        <w:pStyle w:val="TextBody"/>
        <w:bidi w:val="0"/>
        <w:spacing w:before="240" w:after="0"/>
        <w:jc w:val="both"/>
        <w:rPr/>
      </w:pPr>
      <w:r>
        <w:rPr/>
        <w:t>“</w:t>
      </w:r>
      <w:r>
        <w:rPr>
          <w:rFonts w:ascii="Times New Roman" w:hAnsi="Times New Roman"/>
          <w:sz w:val="24"/>
          <w:u w:val="single"/>
        </w:rPr>
        <w:t>Necessary Authorizations</w:t>
      </w:r>
      <w:r>
        <w:rPr>
          <w:rFonts w:ascii="Times New Roman" w:hAnsi="Times New Roman"/>
          <w:sz w:val="24"/>
        </w:rPr>
        <w:t xml:space="preserve">” shall mean all approvals and licenses from, and all filings and registrations with, any governmental or other regulatory authority, including, without limiting the foregoing, the Licenses and all approvals, licenses, filings and registrations under the Communications Act, necessary in order to enable the Company and its Subsidiaries to own, construct, maintain, and operate communications tower facilities and to invest in other Persons who own, construct, maintain, manage and operate communications tower facilities. </w:t>
      </w:r>
    </w:p>
    <w:p>
      <w:pPr>
        <w:pStyle w:val="TextBody"/>
        <w:bidi w:val="0"/>
        <w:spacing w:before="240" w:after="0"/>
        <w:jc w:val="both"/>
        <w:rPr/>
      </w:pPr>
      <w:r>
        <w:rPr/>
        <w:t>“</w:t>
      </w:r>
      <w:r>
        <w:rPr>
          <w:rFonts w:ascii="Times New Roman" w:hAnsi="Times New Roman"/>
          <w:sz w:val="24"/>
          <w:u w:val="single"/>
        </w:rPr>
        <w:t>Net Income</w:t>
      </w:r>
      <w:r>
        <w:rPr>
          <w:rFonts w:ascii="Times New Roman" w:hAnsi="Times New Roman"/>
          <w:sz w:val="24"/>
        </w:rPr>
        <w:t xml:space="preserve">” shall mean, for any Person and for any period of determination, net income of such Person determined in accordance with GAAP. </w:t>
      </w:r>
    </w:p>
    <w:p>
      <w:pPr>
        <w:pStyle w:val="TextBody"/>
        <w:bidi w:val="0"/>
        <w:spacing w:before="240" w:after="0"/>
        <w:jc w:val="both"/>
        <w:rPr/>
      </w:pPr>
      <w:r>
        <w:rPr/>
        <w:t>“</w:t>
      </w:r>
      <w:r>
        <w:rPr>
          <w:rFonts w:ascii="Times New Roman" w:hAnsi="Times New Roman"/>
          <w:sz w:val="24"/>
          <w:u w:val="single"/>
        </w:rPr>
        <w:t>New Lender</w:t>
      </w:r>
      <w:r>
        <w:rPr>
          <w:rFonts w:ascii="Times New Roman" w:hAnsi="Times New Roman"/>
          <w:sz w:val="24"/>
        </w:rPr>
        <w:t xml:space="preserve">” shall have the meaning ascribed thereto in Section 2.14 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Non-Consenting Lender</w:t>
      </w:r>
      <w:r>
        <w:rPr>
          <w:rFonts w:ascii="Times New Roman" w:hAnsi="Times New Roman"/>
          <w:sz w:val="24"/>
        </w:rPr>
        <w:t xml:space="preserve">” shall have the meaning ascribed thereto in Section 12.12(c) hereof. </w:t>
      </w:r>
    </w:p>
    <w:p>
      <w:pPr>
        <w:pStyle w:val="TextBody"/>
        <w:bidi w:val="0"/>
        <w:spacing w:before="240" w:after="0"/>
        <w:jc w:val="both"/>
        <w:rPr/>
      </w:pPr>
      <w:r>
        <w:rPr/>
        <w:t>“</w:t>
      </w:r>
      <w:r>
        <w:rPr>
          <w:rFonts w:ascii="Times New Roman" w:hAnsi="Times New Roman"/>
          <w:sz w:val="24"/>
          <w:u w:val="single"/>
        </w:rPr>
        <w:t>Non-Extending Lender</w:t>
      </w:r>
      <w:r>
        <w:rPr>
          <w:rFonts w:ascii="Times New Roman" w:hAnsi="Times New Roman"/>
          <w:sz w:val="24"/>
        </w:rPr>
        <w:t xml:space="preserve">” shall have the meaning ascribed thereto in Section 2.18 hereof.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Non-Public Lender” shall have the meaning (a) until the publication of an interpretation of “public” as referred to in the CRR by the competent authority or authorities, an entity that (i) assumes rights and/or obligations vis-à-vis the Dutch Borrower, the value of which is at least EUR 100,000 (or its equivalent in another currency), (ii) provides repayable funds for an initial amount of at least EUR 100,000 (or its equivalent in another currency), or (iii) otherwise qualifies as not forming part of the public; and (b) as soon as the interpretation of the term “public” as referred to in the CRR has been published by the competent authority or authorities, an entity which is not considered to form part of the public on the basis of such interpretation.</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Non-Extension Notice Date</w:t>
      </w:r>
      <w:r>
        <w:rPr>
          <w:rFonts w:ascii="Times New Roman" w:hAnsi="Times New Roman"/>
          <w:sz w:val="24"/>
        </w:rPr>
        <w:t xml:space="preserve">” shall have the meaning ascribed thereto in Section 2.13(b)(iii) hereof. </w:t>
      </w:r>
    </w:p>
    <w:p>
      <w:pPr>
        <w:pStyle w:val="TextBody"/>
        <w:bidi w:val="0"/>
        <w:spacing w:before="240" w:after="0"/>
        <w:jc w:val="both"/>
        <w:rPr/>
      </w:pPr>
      <w:r>
        <w:rPr/>
        <w:t>“</w:t>
      </w:r>
      <w:r>
        <w:rPr>
          <w:rFonts w:ascii="Times New Roman" w:hAnsi="Times New Roman"/>
          <w:sz w:val="24"/>
          <w:u w:val="single"/>
        </w:rPr>
        <w:t>Non-U.S. Person</w:t>
      </w:r>
      <w:r>
        <w:rPr>
          <w:rFonts w:ascii="Times New Roman" w:hAnsi="Times New Roman"/>
          <w:sz w:val="24"/>
        </w:rPr>
        <w:t xml:space="preserve">” shall mean a Person who is not a U.S. Person. </w:t>
      </w:r>
    </w:p>
    <w:p>
      <w:pPr>
        <w:pStyle w:val="TextBody"/>
        <w:bidi w:val="0"/>
        <w:spacing w:before="240" w:after="0"/>
        <w:jc w:val="both"/>
        <w:rPr/>
      </w:pPr>
      <w:r>
        <w:rPr/>
        <w:t>“</w:t>
      </w:r>
      <w:r>
        <w:rPr>
          <w:rFonts w:ascii="Times New Roman" w:hAnsi="Times New Roman"/>
          <w:sz w:val="24"/>
          <w:u w:val="single"/>
        </w:rPr>
        <w:t>Notes</w:t>
      </w:r>
      <w:r>
        <w:rPr>
          <w:rFonts w:ascii="Times New Roman" w:hAnsi="Times New Roman"/>
          <w:sz w:val="24"/>
        </w:rPr>
        <w:t xml:space="preserve">” shall mean, collectively, the Revolving Loan Notes. </w:t>
      </w:r>
    </w:p>
    <w:p>
      <w:pPr>
        <w:pStyle w:val="TextBody"/>
        <w:bidi w:val="0"/>
        <w:spacing w:before="240" w:after="0"/>
        <w:jc w:val="both"/>
        <w:rPr/>
      </w:pPr>
      <w:r>
        <w:rPr/>
        <w:t>“</w:t>
      </w:r>
      <w:r>
        <w:rPr>
          <w:rFonts w:ascii="Times New Roman" w:hAnsi="Times New Roman"/>
          <w:sz w:val="24"/>
          <w:u w:val="single"/>
        </w:rPr>
        <w:t>NYFRB</w:t>
      </w:r>
      <w:r>
        <w:rPr>
          <w:rFonts w:ascii="Times New Roman" w:hAnsi="Times New Roman"/>
          <w:sz w:val="24"/>
        </w:rPr>
        <w:t xml:space="preserve">” shall mean the Federal Reserve Bank of New York. </w:t>
      </w:r>
    </w:p>
    <w:p>
      <w:pPr>
        <w:pStyle w:val="TextBody"/>
        <w:bidi w:val="0"/>
        <w:spacing w:before="240" w:after="0"/>
        <w:jc w:val="both"/>
        <w:rPr/>
      </w:pPr>
      <w:r>
        <w:rPr/>
        <w:t>“</w:t>
      </w:r>
      <w:r>
        <w:rPr>
          <w:rFonts w:ascii="Times New Roman" w:hAnsi="Times New Roman"/>
          <w:sz w:val="24"/>
          <w:u w:val="single"/>
        </w:rPr>
        <w:t>Obligations</w:t>
      </w:r>
      <w:r>
        <w:rPr>
          <w:rFonts w:ascii="Times New Roman" w:hAnsi="Times New Roman"/>
          <w:sz w:val="24"/>
        </w:rPr>
        <w:t xml:space="preserve">” shall mean all payment and performance obligations of every kind, nature and description of the Company or any Subsidiary Borrower to the Lenders, the Issuing Banks or the Administrative Agent, or any of them, under this Agreement and the other Loan Documents (including, without limitation, any interest, fees and other charges on the Loans or otherwise under the Loan Documents that would accrue but for the filing of a bankruptcy action with respect to any Borrower, whether or not such claim is allowed in such bankruptcy action and the L/C Obligations), as they may be amended from time to time, or as a result of making the Loans or issuing Letters of Credit, whether such obligations are direct or indirect, absolute or contingent, due or not due, contractual or based in tort, liquidated or unliquidated, arising by operation of law or otherwise, now existing or hereafter arising. </w:t>
      </w:r>
    </w:p>
    <w:p>
      <w:pPr>
        <w:pStyle w:val="TextBody"/>
        <w:bidi w:val="0"/>
        <w:spacing w:before="240" w:after="0"/>
        <w:jc w:val="both"/>
        <w:rPr/>
      </w:pPr>
      <w:r>
        <w:rPr/>
        <w:t>“</w:t>
      </w:r>
      <w:r>
        <w:rPr>
          <w:rFonts w:ascii="Times New Roman" w:hAnsi="Times New Roman"/>
          <w:sz w:val="24"/>
          <w:u w:val="single"/>
        </w:rPr>
        <w:t>OFAC</w:t>
      </w:r>
      <w:r>
        <w:rPr>
          <w:rFonts w:ascii="Times New Roman" w:hAnsi="Times New Roman"/>
          <w:sz w:val="24"/>
        </w:rPr>
        <w:t xml:space="preserve">” shall mean the U.S. Department of the Treasury’s Office of Foreign Assets Control. </w:t>
      </w:r>
    </w:p>
    <w:p>
      <w:pPr>
        <w:pStyle w:val="TextBody"/>
        <w:bidi w:val="0"/>
        <w:spacing w:before="240" w:after="0"/>
        <w:jc w:val="both"/>
        <w:rPr/>
      </w:pPr>
      <w:r>
        <w:rPr/>
        <w:t>“</w:t>
      </w:r>
      <w:r>
        <w:rPr>
          <w:rFonts w:ascii="Times New Roman" w:hAnsi="Times New Roman"/>
          <w:sz w:val="24"/>
          <w:u w:val="single"/>
        </w:rPr>
        <w:t>Outstanding Amount</w:t>
      </w:r>
      <w:r>
        <w:rPr>
          <w:rFonts w:ascii="Times New Roman" w:hAnsi="Times New Roman"/>
          <w:sz w:val="24"/>
        </w:rPr>
        <w:t xml:space="preserve">” shall mean (i) with respect to Revolving Loans and Swingline Loans on any date, the Dollar Equivalent of the aggregate outstanding principal amount thereof after giving effect to any borrowings and prepayments or repayments of Revolving Loans and Swingline Loans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w:t>
      </w:r>
    </w:p>
    <w:p>
      <w:pPr>
        <w:pStyle w:val="TextBody"/>
        <w:bidi w:val="0"/>
        <w:spacing w:before="240" w:after="0"/>
        <w:jc w:val="both"/>
        <w:rPr/>
      </w:pPr>
      <w:r>
        <w:rPr/>
        <w:t>“</w:t>
      </w:r>
      <w:r>
        <w:rPr>
          <w:rFonts w:ascii="Times New Roman" w:hAnsi="Times New Roman"/>
          <w:sz w:val="24"/>
          <w:u w:val="single"/>
        </w:rPr>
        <w:t>Ownership Interests</w:t>
      </w:r>
      <w:r>
        <w:rPr>
          <w:rFonts w:ascii="Times New Roman" w:hAnsi="Times New Roman"/>
          <w:sz w:val="24"/>
        </w:rPr>
        <w:t xml:space="preserve">” shall mean, as applied to any Person, corporate stock and any and all securities, shares, partnership interests (whether general, limited, special or other), limited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liability company interests, membership interests, equity interests, participations, rights or other equivalents (however designated and of any character) of corporate stock of such Person or any of the foregoing issued by such Person (whether a corporation, a partnership, a limited liability company or another type of entity) and includes, without limitation, securities convertible into Ownership Interests and rights, warrants or options to acquire Ownership Interests. </w:t>
      </w:r>
    </w:p>
    <w:p>
      <w:pPr>
        <w:pStyle w:val="TextBody"/>
        <w:bidi w:val="0"/>
        <w:spacing w:before="240" w:after="0"/>
        <w:jc w:val="both"/>
        <w:rPr/>
      </w:pPr>
      <w:r>
        <w:rPr/>
        <w:t>“</w:t>
      </w:r>
      <w:r>
        <w:rPr>
          <w:rFonts w:ascii="Times New Roman" w:hAnsi="Times New Roman"/>
          <w:sz w:val="24"/>
          <w:u w:val="single"/>
        </w:rPr>
        <w:t>Participant</w:t>
      </w:r>
      <w:r>
        <w:rPr>
          <w:rFonts w:ascii="Times New Roman" w:hAnsi="Times New Roman"/>
          <w:sz w:val="24"/>
        </w:rPr>
        <w:t xml:space="preserve">” shall have the meaning specified in </w:t>
      </w:r>
      <w:r>
        <w:rPr>
          <w:rFonts w:ascii="Times New Roman" w:hAnsi="Times New Roman"/>
          <w:sz w:val="24"/>
          <w:u w:val="single"/>
        </w:rPr>
        <w:t>Section 12.4(d)</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Participating Member State</w:t>
      </w:r>
      <w:r>
        <w:rPr>
          <w:rFonts w:ascii="Times New Roman" w:hAnsi="Times New Roman"/>
          <w:sz w:val="24"/>
        </w:rPr>
        <w:t xml:space="preserve">” shall mean each state so described in any EMU Legislation. </w:t>
      </w:r>
    </w:p>
    <w:p>
      <w:pPr>
        <w:pStyle w:val="TextBody"/>
        <w:bidi w:val="0"/>
        <w:spacing w:before="240" w:after="0"/>
        <w:jc w:val="both"/>
        <w:rPr/>
      </w:pPr>
      <w:r>
        <w:rPr/>
        <w:t>“</w:t>
      </w:r>
      <w:r>
        <w:rPr>
          <w:rFonts w:ascii="Times New Roman" w:hAnsi="Times New Roman"/>
          <w:sz w:val="24"/>
          <w:u w:val="single"/>
        </w:rPr>
        <w:t>Payment</w:t>
      </w:r>
      <w:r>
        <w:rPr>
          <w:rFonts w:ascii="Times New Roman" w:hAnsi="Times New Roman"/>
          <w:sz w:val="24"/>
        </w:rPr>
        <w:t xml:space="preserve">” shall have the meaning ascribed thereto in Section 9.10(a) hereof. </w:t>
      </w:r>
    </w:p>
    <w:p>
      <w:pPr>
        <w:pStyle w:val="TextBody"/>
        <w:bidi w:val="0"/>
        <w:spacing w:before="240" w:after="0"/>
        <w:jc w:val="both"/>
        <w:rPr/>
      </w:pPr>
      <w:r>
        <w:rPr/>
        <w:t>“</w:t>
      </w:r>
      <w:r>
        <w:rPr>
          <w:rFonts w:ascii="Times New Roman" w:hAnsi="Times New Roman"/>
          <w:sz w:val="24"/>
          <w:u w:val="single"/>
        </w:rPr>
        <w:t>Payment Date</w:t>
      </w:r>
      <w:r>
        <w:rPr>
          <w:rFonts w:ascii="Times New Roman" w:hAnsi="Times New Roman"/>
          <w:sz w:val="24"/>
        </w:rPr>
        <w:t xml:space="preserve">” shall mean the last day of any Interest Period (provided that the Payment Date for any Interest Period of more than three months’ in duration, shall be each Business Day prior to the last day of such Interest Period that occurs at intervals of three months’ duration after the first day of such Interest Period). </w:t>
      </w:r>
    </w:p>
    <w:p>
      <w:pPr>
        <w:pStyle w:val="TextBody"/>
        <w:bidi w:val="0"/>
        <w:spacing w:before="240" w:after="0"/>
        <w:jc w:val="both"/>
        <w:rPr/>
      </w:pPr>
      <w:r>
        <w:rPr/>
        <w:t>“</w:t>
      </w:r>
      <w:r>
        <w:rPr>
          <w:rFonts w:ascii="Times New Roman" w:hAnsi="Times New Roman"/>
          <w:sz w:val="24"/>
          <w:u w:val="single"/>
        </w:rPr>
        <w:t>PBGC</w:t>
      </w:r>
      <w:r>
        <w:rPr>
          <w:rFonts w:ascii="Times New Roman" w:hAnsi="Times New Roman"/>
          <w:sz w:val="24"/>
        </w:rPr>
        <w:t xml:space="preserve">” shall mean the Pension Benefit Guaranty Corporation, or any successor thereto. </w:t>
      </w:r>
    </w:p>
    <w:p>
      <w:pPr>
        <w:pStyle w:val="TextBody"/>
        <w:bidi w:val="0"/>
        <w:spacing w:before="240" w:after="0"/>
        <w:jc w:val="both"/>
        <w:rPr/>
      </w:pPr>
      <w:r>
        <w:rPr/>
        <w:t>“</w:t>
      </w:r>
      <w:r>
        <w:rPr>
          <w:rFonts w:ascii="Times New Roman" w:hAnsi="Times New Roman"/>
          <w:sz w:val="24"/>
          <w:u w:val="single"/>
        </w:rPr>
        <w:t>Permitted Liens</w:t>
      </w:r>
      <w:r>
        <w:rPr>
          <w:rFonts w:ascii="Times New Roman" w:hAnsi="Times New Roman"/>
          <w:sz w:val="24"/>
        </w:rPr>
        <w:t xml:space="preserve">” shall mean, collectively, as applied to any Person: </w:t>
      </w:r>
    </w:p>
    <w:p>
      <w:pPr>
        <w:pStyle w:val="TextBody"/>
        <w:bidi w:val="0"/>
        <w:spacing w:before="240" w:after="0"/>
        <w:jc w:val="both"/>
        <w:rPr>
          <w:rFonts w:ascii="Times New Roman" w:hAnsi="Times New Roman"/>
          <w:sz w:val="24"/>
        </w:rPr>
      </w:pPr>
      <w:r>
        <w:rPr>
          <w:rFonts w:ascii="Times New Roman" w:hAnsi="Times New Roman"/>
          <w:sz w:val="24"/>
        </w:rPr>
        <w:t xml:space="preserve">(a) (i) Liens on real estate or other property for taxes, assessments, governmental charges or levies not yet delinquent and (ii) Liens for taxes, assessments, judgments, governmental charges or levies or claims the non-payment of which is being diligently contested in good faith by appropriate proceedings and for which adequate reserves have been set aside on such Person’s books in accordance with GAAP; </w:t>
      </w:r>
    </w:p>
    <w:p>
      <w:pPr>
        <w:pStyle w:val="TextBody"/>
        <w:bidi w:val="0"/>
        <w:spacing w:before="240" w:after="0"/>
        <w:jc w:val="both"/>
        <w:rPr>
          <w:rFonts w:ascii="Times New Roman" w:hAnsi="Times New Roman"/>
          <w:sz w:val="24"/>
        </w:rPr>
      </w:pPr>
      <w:r>
        <w:rPr>
          <w:rFonts w:ascii="Times New Roman" w:hAnsi="Times New Roman"/>
          <w:sz w:val="24"/>
        </w:rPr>
        <w:t xml:space="preserve">(b) Liens incurred in the ordinary course of the Company’s business (i) for sums not yet due or being diligently contested in good faith, or (ii) incidental to the ownership of its assets that, in each case, were not incurred in connection with the borrowing of money, such as Liens of carriers, warehousemen, mechanics, vendors (solely to the extent arising by operation of law), laborers and materialmen, in each case, if reserves in accordance with GAAP or appropriate provisions shall have been made therefor; </w:t>
      </w:r>
    </w:p>
    <w:p>
      <w:pPr>
        <w:pStyle w:val="TextBody"/>
        <w:bidi w:val="0"/>
        <w:spacing w:before="240" w:after="0"/>
        <w:jc w:val="both"/>
        <w:rPr>
          <w:rFonts w:ascii="Times New Roman" w:hAnsi="Times New Roman"/>
          <w:sz w:val="24"/>
        </w:rPr>
      </w:pPr>
      <w:r>
        <w:rPr>
          <w:rFonts w:ascii="Times New Roman" w:hAnsi="Times New Roman"/>
          <w:sz w:val="24"/>
        </w:rPr>
        <w:t xml:space="preserve">(c) Liens incurred in the ordinary course of business in connection with worker’s compensation and unemployment insurance, social security obligations, assessments or government charges which are not overdue for more than sixty (60) days; </w:t>
      </w:r>
    </w:p>
    <w:p>
      <w:pPr>
        <w:pStyle w:val="TextBody"/>
        <w:bidi w:val="0"/>
        <w:spacing w:before="240" w:after="0"/>
        <w:jc w:val="both"/>
        <w:rPr>
          <w:rFonts w:ascii="Times New Roman" w:hAnsi="Times New Roman"/>
          <w:sz w:val="24"/>
        </w:rPr>
      </w:pPr>
      <w:r>
        <w:rPr>
          <w:rFonts w:ascii="Times New Roman" w:hAnsi="Times New Roman"/>
          <w:sz w:val="24"/>
        </w:rPr>
        <w:t xml:space="preserve">(d) restrictions on the transfer of the Licenses or assets of the Company or any of its Subsidiaries imposed by any of the Licenses by the Communications Act and any regulations thereunder; </w:t>
      </w:r>
    </w:p>
    <w:p>
      <w:pPr>
        <w:pStyle w:val="TextBody"/>
        <w:bidi w:val="0"/>
        <w:spacing w:before="240" w:after="0"/>
        <w:jc w:val="both"/>
        <w:rPr>
          <w:rFonts w:ascii="Times New Roman" w:hAnsi="Times New Roman"/>
          <w:sz w:val="24"/>
        </w:rPr>
      </w:pPr>
      <w:r>
        <w:rPr>
          <w:rFonts w:ascii="Times New Roman" w:hAnsi="Times New Roman"/>
          <w:sz w:val="24"/>
        </w:rPr>
        <w:t xml:space="preserve">(e) easements, rights-of-way, zoning restrictions, licenses, reservations or restrictions on use and other similar encumbrances on the use of real property which do not materially interfere with the ordinary conduct of the business of such Person or the use of such property in the operation of the business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(f) Liens arising by operation of law in favor of purchasers in connection with any asset sale</w:t>
      </w:r>
      <w:r>
        <w:rPr>
          <w:rFonts w:ascii="Times New Roman" w:hAnsi="Times New Roman"/>
          <w:strike/>
          <w:color w:val="FF0000"/>
          <w:sz w:val="24"/>
        </w:rPr>
        <w:t xml:space="preserve"> permitted hereunder</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Lien only encumbers the property being sold; </w:t>
      </w:r>
    </w:p>
    <w:p>
      <w:pPr>
        <w:pStyle w:val="TextBody"/>
        <w:bidi w:val="0"/>
        <w:spacing w:before="240" w:after="0"/>
        <w:jc w:val="both"/>
        <w:rPr>
          <w:rFonts w:ascii="Times New Roman" w:hAnsi="Times New Roman"/>
          <w:sz w:val="24"/>
        </w:rPr>
      </w:pPr>
      <w:r>
        <w:rPr>
          <w:rFonts w:ascii="Times New Roman" w:hAnsi="Times New Roman"/>
          <w:sz w:val="24"/>
        </w:rPr>
        <w:t xml:space="preserve">(g) Liens in respect of Capitalized Lease Obligations, so long as such Liens only attach to the assets leased thereunder, and Liens reflected by Uniform Commercial Code financing statements filed in respect of true leases or subleases of the Company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(h) Liens to secure performance of statutory obligations, surety or appeal bonds, performance bonds, bids or tenders; </w:t>
      </w:r>
    </w:p>
    <w:p>
      <w:pPr>
        <w:pStyle w:val="TextBody"/>
        <w:bidi w:val="0"/>
        <w:spacing w:before="240" w:after="0"/>
        <w:jc w:val="both"/>
        <w:rPr>
          <w:rFonts w:ascii="Times New Roman" w:hAnsi="Times New Roman"/>
          <w:sz w:val="24"/>
        </w:rPr>
      </w:pPr>
      <w:r>
        <w:rPr>
          <w:rFonts w:ascii="Times New Roman" w:hAnsi="Times New Roman"/>
          <w:sz w:val="24"/>
        </w:rPr>
        <w:t xml:space="preserve">(i) judgment Liens which do not result in an Event of Default under Section 8.1(h) hereof; </w:t>
      </w:r>
    </w:p>
    <w:p>
      <w:pPr>
        <w:pStyle w:val="TextBody"/>
        <w:bidi w:val="0"/>
        <w:spacing w:before="240" w:after="0"/>
        <w:jc w:val="both"/>
        <w:rPr>
          <w:rFonts w:ascii="Times New Roman" w:hAnsi="Times New Roman"/>
          <w:sz w:val="24"/>
        </w:rPr>
      </w:pPr>
      <w:r>
        <w:rPr>
          <w:rFonts w:ascii="Times New Roman" w:hAnsi="Times New Roman"/>
          <w:sz w:val="24"/>
        </w:rPr>
        <w:t xml:space="preserve">(j) Liens in connection with escrow or security deposits made in connection with Acquisitions permitted hereunder; </w:t>
      </w:r>
    </w:p>
    <w:p>
      <w:pPr>
        <w:pStyle w:val="TextBody"/>
        <w:bidi w:val="0"/>
        <w:spacing w:before="240" w:after="0"/>
        <w:jc w:val="both"/>
        <w:rPr>
          <w:rFonts w:ascii="Times New Roman" w:hAnsi="Times New Roman"/>
          <w:sz w:val="24"/>
        </w:rPr>
      </w:pPr>
      <w:r>
        <w:rPr>
          <w:rFonts w:ascii="Times New Roman" w:hAnsi="Times New Roman"/>
          <w:sz w:val="24"/>
        </w:rPr>
        <w:t xml:space="preserve">(k) Liens created on any Ownership Interests of Subsidiaries of the Company that are not Material Subsidiaries held by the Company or any of its Subsidiaries; provided, however, that such Lien is not securing Indebtedness of the Company or any of its Domestic Subsidiaries; </w:t>
      </w:r>
    </w:p>
    <w:p>
      <w:pPr>
        <w:pStyle w:val="TextBody"/>
        <w:bidi w:val="0"/>
        <w:spacing w:before="240" w:after="0"/>
        <w:jc w:val="both"/>
        <w:rPr>
          <w:rFonts w:ascii="Times New Roman" w:hAnsi="Times New Roman"/>
          <w:sz w:val="24"/>
        </w:rPr>
      </w:pPr>
      <w:r>
        <w:rPr>
          <w:rFonts w:ascii="Times New Roman" w:hAnsi="Times New Roman"/>
          <w:sz w:val="24"/>
        </w:rPr>
        <w:t xml:space="preserve">(l) Liens in favor of the Company or any of its Subsidiaries; </w:t>
      </w:r>
    </w:p>
    <w:p>
      <w:pPr>
        <w:pStyle w:val="TextBody"/>
        <w:bidi w:val="0"/>
        <w:spacing w:before="240" w:after="0"/>
        <w:jc w:val="both"/>
        <w:rPr>
          <w:rFonts w:ascii="Times New Roman" w:hAnsi="Times New Roman"/>
          <w:sz w:val="24"/>
        </w:rPr>
      </w:pPr>
      <w:r>
        <w:rPr>
          <w:rFonts w:ascii="Times New Roman" w:hAnsi="Times New Roman"/>
          <w:sz w:val="24"/>
        </w:rPr>
        <w:t>(m) banker’s Liens, rights of set-off or similar rights and remedies as to deposit accounts or other funds maintained with a depositary institution</w:t>
      </w:r>
      <w:r>
        <w:rPr>
          <w:rFonts w:ascii="Times New Roman" w:hAnsi="Times New Roman"/>
          <w:color w:val="0000FF"/>
          <w:sz w:val="24"/>
          <w:u w:val="single"/>
          <w:bdr w:val="double" w:sz="2" w:space="1" w:color="000000"/>
        </w:rPr>
        <w:t xml:space="preserve"> (including any Liens arising under the general terms and conditions </w:t>
      </w:r>
      <w:r>
        <w:rPr>
          <w:rFonts w:ascii="Times New Roman" w:hAnsi="Times New Roman"/>
          <w:i/>
          <w:color w:val="0000FF"/>
          <w:sz w:val="24"/>
          <w:u w:val="single"/>
          <w:bdr w:val="double" w:sz="2" w:space="1" w:color="000000"/>
        </w:rPr>
        <w:t xml:space="preserve">(algemene voorwaarden) </w:t>
      </w:r>
      <w:r>
        <w:rPr>
          <w:rFonts w:ascii="Times New Roman" w:hAnsi="Times New Roman"/>
          <w:color w:val="0000FF"/>
          <w:sz w:val="24"/>
          <w:u w:val="single"/>
          <w:bdr w:val="double" w:sz="2" w:space="1" w:color="000000"/>
        </w:rPr>
        <w:t xml:space="preserve">of any member of the Dutch Bankers’ Association </w:t>
      </w:r>
      <w:r>
        <w:rPr>
          <w:rFonts w:ascii="Times New Roman" w:hAnsi="Times New Roman"/>
          <w:i/>
          <w:color w:val="0000FF"/>
          <w:sz w:val="24"/>
          <w:u w:val="single"/>
          <w:bdr w:val="double" w:sz="2" w:space="1" w:color="000000"/>
        </w:rPr>
        <w:t>(Nederlandse Vereniging van Banken))</w:t>
      </w:r>
      <w:r>
        <w:rPr>
          <w:rFonts w:ascii="Times New Roman" w:hAnsi="Times New Roman"/>
          <w:sz w:val="24"/>
        </w:rPr>
        <w:t xml:space="preserve">; provided that such deposit account is not (i) a dedicated cash collateral account and is not subject to restrictions against access in excess of those set forth by regulations promulgated by the Board or other Applicable Law; and (ii) intended to provide collateral to the depositary institution; </w:t>
      </w:r>
    </w:p>
    <w:p>
      <w:pPr>
        <w:pStyle w:val="TextBody"/>
        <w:bidi w:val="0"/>
        <w:spacing w:before="240" w:after="0"/>
        <w:jc w:val="both"/>
        <w:rPr>
          <w:rFonts w:ascii="Times New Roman" w:hAnsi="Times New Roman"/>
          <w:sz w:val="24"/>
        </w:rPr>
      </w:pPr>
      <w:r>
        <w:rPr>
          <w:rFonts w:ascii="Times New Roman" w:hAnsi="Times New Roman"/>
          <w:sz w:val="24"/>
        </w:rPr>
        <w:t xml:space="preserve">(n) licenses, sublicenses, leases or subleases granted by the Company or any of its Subsidiaries to any other Person </w:t>
      </w:r>
      <w:r>
        <w:rPr>
          <w:rFonts w:ascii="Times New Roman" w:hAnsi="Times New Roman"/>
          <w:strike/>
          <w:color w:val="FF0000"/>
          <w:sz w:val="24"/>
        </w:rPr>
        <w:t>in</w:t>
      </w:r>
      <w:r>
        <w:rPr>
          <w:rFonts w:ascii="Times New Roman" w:hAnsi="Times New Roman"/>
          <w:color w:val="0000FF"/>
          <w:sz w:val="24"/>
          <w:u w:val="single"/>
          <w:bdr w:val="double" w:sz="2" w:space="1" w:color="000000"/>
        </w:rPr>
        <w:t>which do not materially interfere with</w:t>
      </w:r>
      <w:r>
        <w:rPr>
          <w:rFonts w:ascii="Times New Roman" w:hAnsi="Times New Roman"/>
          <w:sz w:val="24"/>
        </w:rPr>
        <w:t xml:space="preserve">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(o) Liens in the nature of trustees’ Liens granted pursuant to any indenture governing any Indebtedness permitted hereunder, in each case in favor of the trustee under such indenture and securing only obligations to pay compensation to such trustee, to reimburse its expenses and to indemnify it under the terms thereof; </w:t>
      </w:r>
    </w:p>
    <w:p>
      <w:pPr>
        <w:pStyle w:val="TextBody"/>
        <w:bidi w:val="0"/>
        <w:spacing w:before="240" w:after="0"/>
        <w:jc w:val="both"/>
        <w:rPr>
          <w:rFonts w:ascii="Times New Roman" w:hAnsi="Times New Roman"/>
          <w:sz w:val="24"/>
        </w:rPr>
      </w:pPr>
      <w:r>
        <w:rPr>
          <w:rFonts w:ascii="Times New Roman" w:hAnsi="Times New Roman"/>
          <w:sz w:val="24"/>
        </w:rPr>
        <w:t>(p) Liens on property of the Company or any of its Subsidiaries at the time the Company or such Subsidiary acquired the property, including acquisition by means of a merger or consolidation with or into the Company or such Subsidiary, or an acquisition of assets</w:t>
      </w:r>
      <w:r>
        <w:rPr>
          <w:rFonts w:ascii="Times New Roman" w:hAnsi="Times New Roman"/>
          <w:color w:val="0000FF"/>
          <w:sz w:val="24"/>
          <w:u w:val="single"/>
          <w:bdr w:val="double" w:sz="2" w:space="1" w:color="000000"/>
        </w:rPr>
        <w:t>, and any replacement thereof</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that such Liens (i) are not created, incurred or assumed in connection with or in contemplation of such acquisition and (ii) may not extend to any other property owned by the Company or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(q) Liens on property or assets of any Foreign Subsidiary securing the Indebtedness of such Foreign Subsidiary; </w:t>
      </w:r>
      <w:r>
        <w:rPr>
          <w:rFonts w:ascii="Times New Roman" w:hAnsi="Times New Roman"/>
          <w:strike/>
          <w:color w:val="FF0000"/>
          <w:sz w:val="24"/>
        </w:rPr>
        <w:t>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(r) Liens securing obligations under Hedge Agreements in an aggregate amount of such obligations not to exceed $</w:t>
      </w:r>
      <w:r>
        <w:rPr>
          <w:rFonts w:ascii="Times New Roman" w:hAnsi="Times New Roman"/>
          <w:strike/>
          <w:color w:val="FF0000"/>
          <w:sz w:val="24"/>
        </w:rPr>
        <w:t>100,000,000</w:t>
      </w:r>
      <w:r>
        <w:rPr>
          <w:rFonts w:ascii="Times New Roman" w:hAnsi="Times New Roman"/>
          <w:color w:val="0000FF"/>
          <w:sz w:val="24"/>
          <w:u w:val="single"/>
          <w:bdr w:val="double" w:sz="2" w:space="1" w:color="000000"/>
        </w:rPr>
        <w:t>1,000,000,000</w:t>
      </w:r>
      <w:r>
        <w:rPr>
          <w:rFonts w:ascii="Times New Roman" w:hAnsi="Times New Roman"/>
          <w:color w:val="0000FF"/>
          <w:sz w:val="24"/>
        </w:rPr>
        <w:t xml:space="preserve"> </w:t>
      </w:r>
      <w:r>
        <w:rPr>
          <w:rFonts w:ascii="Times New Roman" w:hAnsi="Times New Roman"/>
          <w:sz w:val="24"/>
        </w:rPr>
        <w:t>at any time outstanding</w:t>
      </w:r>
      <w:r>
        <w:rPr>
          <w:rFonts w:ascii="Times New Roman" w:hAnsi="Times New Roman"/>
          <w:strike/>
          <w:color w:val="FF0000"/>
          <w:sz w:val="24"/>
        </w:rPr>
        <w:t>.</w:t>
      </w:r>
      <w:r>
        <w:rPr>
          <w:rFonts w:ascii="Times New Roman" w:hAnsi="Times New Roman"/>
          <w:color w:val="0000FF"/>
          <w:sz w:val="24"/>
          <w:u w:val="single"/>
          <w:bdr w:val="double" w:sz="2" w:space="1" w:color="000000"/>
        </w:rPr>
        <w: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(s) </w:t>
      </w:r>
      <w:r>
        <w:rPr>
          <w:rFonts w:ascii="Times New Roman" w:hAnsi="Times New Roman"/>
          <w:color w:val="0000FF"/>
          <w:sz w:val="24"/>
          <w:u w:val="single"/>
          <w:bdr w:val="double" w:sz="2" w:space="1" w:color="000000"/>
        </w:rPr>
        <w:t>Liens existing on March 31, 2026 and renewals and replacements thereof; 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(t) </w:t>
      </w:r>
      <w:r>
        <w:rPr>
          <w:rFonts w:ascii="Times New Roman" w:hAnsi="Times New Roman"/>
          <w:color w:val="0000FF"/>
          <w:sz w:val="24"/>
          <w:u w:val="single"/>
          <w:bdr w:val="double" w:sz="2" w:space="1" w:color="000000"/>
        </w:rPr>
        <w:t>Liens, including any netting or set-off, as a result of a fiscal unity (</w:t>
      </w:r>
      <w:r>
        <w:rPr>
          <w:rFonts w:ascii="Times New Roman" w:hAnsi="Times New Roman"/>
          <w:i/>
          <w:color w:val="0000FF"/>
          <w:sz w:val="24"/>
          <w:u w:val="single"/>
          <w:bdr w:val="double" w:sz="2" w:space="1" w:color="000000"/>
        </w:rPr>
        <w:t>fiscale eenheid</w:t>
      </w:r>
      <w:r>
        <w:rPr>
          <w:rFonts w:ascii="Times New Roman" w:hAnsi="Times New Roman"/>
          <w:color w:val="0000FF"/>
          <w:sz w:val="24"/>
          <w:u w:val="single"/>
          <w:bdr w:val="double" w:sz="2" w:space="1" w:color="000000"/>
        </w:rPr>
        <w:t>) between the Dutch Borrower and/or its Subsidiaries only for Dutch tax purposes.</w:t>
      </w:r>
      <w:r>
        <w:rPr>
          <w:rFonts w:ascii="Times New Roman" w:hAnsi="Times New Roman"/>
          <w:color w:val="0000FF"/>
          <w:sz w:val="24"/>
        </w:rPr>
        <w:t xml:space="preserve"> </w:t>
      </w:r>
    </w:p>
    <w:p>
      <w:pPr>
        <w:pStyle w:val="TextBody"/>
        <w:bidi w:val="0"/>
        <w:spacing w:before="240" w:after="0"/>
        <w:jc w:val="both"/>
        <w:rPr/>
      </w:pPr>
      <w:r>
        <w:rPr/>
        <w:t>“</w:t>
      </w:r>
      <w:r>
        <w:rPr>
          <w:rFonts w:ascii="Times New Roman" w:hAnsi="Times New Roman"/>
          <w:sz w:val="24"/>
          <w:u w:val="single"/>
        </w:rPr>
        <w:t>Person</w:t>
      </w:r>
      <w:r>
        <w:rPr>
          <w:rFonts w:ascii="Times New Roman" w:hAnsi="Times New Roman"/>
          <w:sz w:val="24"/>
        </w:rPr>
        <w:t xml:space="preserve">” shall mean an individual, corporation, limited liability company, association, partnership, joint venture, trust or estate, an unincorporated organization, a government or any agency or political subdivision thereof, or any other entity. </w:t>
      </w:r>
    </w:p>
    <w:p>
      <w:pPr>
        <w:pStyle w:val="TextBody"/>
        <w:bidi w:val="0"/>
        <w:spacing w:before="240" w:after="0"/>
        <w:jc w:val="both"/>
        <w:rPr/>
      </w:pPr>
      <w:r>
        <w:rPr/>
        <w:t>“</w:t>
      </w:r>
      <w:r>
        <w:rPr>
          <w:rFonts w:ascii="Times New Roman" w:hAnsi="Times New Roman"/>
          <w:sz w:val="24"/>
          <w:u w:val="single"/>
        </w:rPr>
        <w:t>Plan</w:t>
      </w:r>
      <w:r>
        <w:rPr>
          <w:rFonts w:ascii="Times New Roman" w:hAnsi="Times New Roman"/>
          <w:sz w:val="24"/>
        </w:rPr>
        <w:t xml:space="preserve">” shall mean an employee benefit plan within the meaning of Section 3(3) of ERISA or any other employee benefit plan maintained for employees of the Company or any of its Subsidiaries or ERISA Affiliates. </w:t>
      </w:r>
    </w:p>
    <w:p>
      <w:pPr>
        <w:pStyle w:val="TextBody"/>
        <w:bidi w:val="0"/>
        <w:spacing w:before="240" w:after="0"/>
        <w:jc w:val="both"/>
        <w:rPr/>
      </w:pPr>
      <w:r>
        <w:rPr/>
        <w:t>“</w:t>
      </w:r>
      <w:r>
        <w:rPr>
          <w:rFonts w:ascii="Times New Roman" w:hAnsi="Times New Roman"/>
          <w:sz w:val="24"/>
          <w:u w:val="single"/>
        </w:rPr>
        <w:t>Platform</w:t>
      </w:r>
      <w:r>
        <w:rPr>
          <w:rFonts w:ascii="Times New Roman" w:hAnsi="Times New Roman"/>
          <w:sz w:val="24"/>
        </w:rPr>
        <w:t xml:space="preserve">” shall have the meaning ascribed thereto in Section 6.6 hereof. </w:t>
      </w:r>
    </w:p>
    <w:p>
      <w:pPr>
        <w:pStyle w:val="TextBody"/>
        <w:bidi w:val="0"/>
        <w:spacing w:before="240" w:after="0"/>
        <w:jc w:val="both"/>
        <w:rPr/>
      </w:pPr>
      <w:r>
        <w:rPr/>
        <w:t>“</w:t>
      </w:r>
      <w:r>
        <w:rPr>
          <w:rFonts w:ascii="Times New Roman" w:hAnsi="Times New Roman"/>
          <w:sz w:val="24"/>
          <w:u w:val="single"/>
        </w:rPr>
        <w:t>Post-Petition Interest</w:t>
      </w:r>
      <w:r>
        <w:rPr>
          <w:rFonts w:ascii="Times New Roman" w:hAnsi="Times New Roman"/>
          <w:sz w:val="24"/>
        </w:rPr>
        <w:t xml:space="preserve">” shall have the meaning ascribed thereto in Section 11.5(b) hereof. </w:t>
      </w:r>
    </w:p>
    <w:p>
      <w:pPr>
        <w:pStyle w:val="TextBody"/>
        <w:bidi w:val="0"/>
        <w:spacing w:before="240" w:after="0"/>
        <w:jc w:val="both"/>
        <w:rPr/>
      </w:pPr>
      <w:r>
        <w:rPr/>
        <w:t>“</w:t>
      </w:r>
      <w:r>
        <w:rPr>
          <w:rFonts w:ascii="Times New Roman" w:hAnsi="Times New Roman"/>
          <w:sz w:val="24"/>
          <w:u w:val="single"/>
        </w:rPr>
        <w:t>Primary Currency</w:t>
      </w:r>
      <w:r>
        <w:rPr>
          <w:rFonts w:ascii="Times New Roman" w:hAnsi="Times New Roman"/>
          <w:sz w:val="24"/>
        </w:rPr>
        <w:t xml:space="preserve">” shall have the meaning ascribed thereto in Section 12.21(c) hereof. </w:t>
      </w:r>
    </w:p>
    <w:p>
      <w:pPr>
        <w:pStyle w:val="TextBody"/>
        <w:bidi w:val="0"/>
        <w:spacing w:before="240" w:after="0"/>
        <w:jc w:val="both"/>
        <w:rPr/>
      </w:pPr>
      <w:r>
        <w:rPr/>
        <w:t>“</w:t>
      </w:r>
      <w:r>
        <w:rPr>
          <w:rFonts w:ascii="Times New Roman" w:hAnsi="Times New Roman"/>
          <w:sz w:val="24"/>
          <w:u w:val="single"/>
        </w:rPr>
        <w:t>Prime Rate</w:t>
      </w:r>
      <w:r>
        <w:rPr>
          <w:rFonts w:ascii="Times New Roman" w:hAnsi="Times New Roman"/>
          <w:sz w:val="24"/>
        </w:rPr>
        <w:t xml:space="preserve">” shall mean the rate of interest per annum announced by the Administrative Agent from time to time as its prime commercial lending rate for Dollar denominated loans in the United States for such day. Any change in the Prime Rate shall take effect at the opening of business on the day such change is publicly announced or quoted as being effective. </w:t>
      </w:r>
    </w:p>
    <w:p>
      <w:pPr>
        <w:pStyle w:val="TextBody"/>
        <w:bidi w:val="0"/>
        <w:spacing w:before="240" w:after="0"/>
        <w:jc w:val="both"/>
        <w:rPr/>
      </w:pPr>
      <w:r>
        <w:rPr/>
        <w:t>“</w:t>
      </w:r>
      <w:r>
        <w:rPr>
          <w:rFonts w:ascii="Times New Roman" w:hAnsi="Times New Roman"/>
          <w:sz w:val="24"/>
          <w:u w:val="single"/>
        </w:rPr>
        <w:t>Proposed Change</w:t>
      </w:r>
      <w:r>
        <w:rPr>
          <w:rFonts w:ascii="Times New Roman" w:hAnsi="Times New Roman"/>
          <w:sz w:val="24"/>
        </w:rPr>
        <w:t xml:space="preserve">” shall have the meaning ascribed thereto in Section 12.12(c) hereof. </w:t>
      </w:r>
    </w:p>
    <w:p>
      <w:pPr>
        <w:pStyle w:val="TextBody"/>
        <w:bidi w:val="0"/>
        <w:spacing w:before="240" w:after="0"/>
        <w:jc w:val="both"/>
        <w:rPr/>
      </w:pPr>
      <w:r>
        <w:rPr/>
        <w:t>“</w:t>
      </w:r>
      <w:r>
        <w:rPr>
          <w:rFonts w:ascii="Times New Roman" w:hAnsi="Times New Roman"/>
          <w:sz w:val="24"/>
          <w:u w:val="single"/>
        </w:rPr>
        <w:t>Public Lender</w:t>
      </w:r>
      <w:r>
        <w:rPr>
          <w:rFonts w:ascii="Times New Roman" w:hAnsi="Times New Roman"/>
          <w:sz w:val="24"/>
        </w:rPr>
        <w:t xml:space="preserve">” shall have the meaning ascribed thereto in Section 6.6 hereof. </w:t>
      </w:r>
    </w:p>
    <w:p>
      <w:pPr>
        <w:pStyle w:val="TextBody"/>
        <w:bidi w:val="0"/>
        <w:spacing w:before="240" w:after="0"/>
        <w:jc w:val="both"/>
        <w:rPr/>
      </w:pPr>
      <w:r>
        <w:rPr/>
        <w:t>“</w:t>
      </w:r>
      <w:r>
        <w:rPr>
          <w:rFonts w:ascii="Times New Roman" w:hAnsi="Times New Roman"/>
          <w:sz w:val="24"/>
          <w:u w:val="single"/>
        </w:rPr>
        <w:t>Register</w:t>
      </w:r>
      <w:r>
        <w:rPr>
          <w:rFonts w:ascii="Times New Roman" w:hAnsi="Times New Roman"/>
          <w:sz w:val="24"/>
        </w:rPr>
        <w:t xml:space="preserve">” shall have the meaning ascribed thereto in Section 12.4(c) hereof. </w:t>
      </w:r>
    </w:p>
    <w:p>
      <w:pPr>
        <w:pStyle w:val="TextBody"/>
        <w:bidi w:val="0"/>
        <w:spacing w:before="240" w:after="0"/>
        <w:jc w:val="both"/>
        <w:rPr/>
      </w:pPr>
      <w:r>
        <w:rPr/>
        <w:t>“</w:t>
      </w:r>
      <w:r>
        <w:rPr>
          <w:rFonts w:ascii="Times New Roman" w:hAnsi="Times New Roman"/>
          <w:sz w:val="24"/>
          <w:u w:val="single"/>
        </w:rPr>
        <w:t>REIT</w:t>
      </w:r>
      <w:r>
        <w:rPr>
          <w:rFonts w:ascii="Times New Roman" w:hAnsi="Times New Roman"/>
          <w:sz w:val="24"/>
        </w:rPr>
        <w:t xml:space="preserve">” shall mean a “real estate investment trust” as defined and taxed under Section 856-860 of the Code. </w:t>
      </w:r>
    </w:p>
    <w:p>
      <w:pPr>
        <w:pStyle w:val="TextBody"/>
        <w:bidi w:val="0"/>
        <w:spacing w:before="240" w:after="0"/>
        <w:jc w:val="both"/>
        <w:rPr/>
      </w:pPr>
      <w:r>
        <w:rPr/>
        <w:t>“</w:t>
      </w:r>
      <w:r>
        <w:rPr>
          <w:rFonts w:ascii="Times New Roman" w:hAnsi="Times New Roman"/>
          <w:sz w:val="24"/>
          <w:u w:val="single"/>
        </w:rPr>
        <w:t>Related Parties</w:t>
      </w:r>
      <w:r>
        <w:rPr>
          <w:rFonts w:ascii="Times New Roman" w:hAnsi="Times New Roman"/>
          <w:sz w:val="24"/>
        </w:rPr>
        <w:t xml:space="preserve">” shall mean, with respect to any Person, such Person’s Affiliates and the partners, directors, officers, employees, agents, trustees and advisors of such Person and of such Person’s Affiliates. </w:t>
      </w:r>
    </w:p>
    <w:p>
      <w:pPr>
        <w:pStyle w:val="TextBody"/>
        <w:bidi w:val="0"/>
        <w:spacing w:before="240" w:after="0"/>
        <w:jc w:val="both"/>
        <w:rPr/>
      </w:pPr>
      <w:r>
        <w:rPr/>
        <w:t>“</w:t>
      </w:r>
      <w:r>
        <w:rPr>
          <w:rFonts w:ascii="Times New Roman" w:hAnsi="Times New Roman"/>
          <w:sz w:val="24"/>
          <w:u w:val="single"/>
        </w:rPr>
        <w:t>Relevant Governmental Body</w:t>
      </w:r>
      <w:r>
        <w:rPr>
          <w:rFonts w:ascii="Times New Roman" w:hAnsi="Times New Roman"/>
          <w:sz w:val="24"/>
        </w:rPr>
        <w:t xml:space="preserve">” shall mean (a) with respect to a Benchmark Replacement in respect of Loans denominated in, or calculated with respect to, Dollars, the Board or the NYFRB, or a committee officially endorsed or convened by the Board or the NYFRB, or any successor thereto and (b) with respect to a Benchmark Replacement in respect of Loans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denominated in, or calculated with respect to, any Agreed Currency, (1) the central bank for the Agreed Currency in which such Loans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Agreed Currency in which such Loans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 </w:t>
      </w:r>
    </w:p>
    <w:p>
      <w:pPr>
        <w:pStyle w:val="TextBody"/>
        <w:bidi w:val="0"/>
        <w:spacing w:before="240" w:after="0"/>
        <w:jc w:val="both"/>
        <w:rPr/>
      </w:pPr>
      <w:r>
        <w:rPr/>
        <w:t>“</w:t>
      </w:r>
      <w:r>
        <w:rPr>
          <w:rFonts w:ascii="Times New Roman" w:hAnsi="Times New Roman"/>
          <w:sz w:val="24"/>
          <w:u w:val="single"/>
        </w:rPr>
        <w:t>Relevant Rate</w:t>
      </w:r>
      <w:r>
        <w:rPr>
          <w:rFonts w:ascii="Times New Roman" w:hAnsi="Times New Roman"/>
          <w:sz w:val="24"/>
        </w:rPr>
        <w:t xml:space="preserve">” shall mean (a) with respect to any Term Rate Advance denominated in Dollars, </w:t>
      </w:r>
      <w:r>
        <w:rPr>
          <w:rFonts w:ascii="Times New Roman" w:hAnsi="Times New Roman"/>
          <w:strike/>
          <w:color w:val="FF0000"/>
          <w:sz w:val="24"/>
        </w:rPr>
        <w:t xml:space="preserve">Adjusted </w:t>
      </w:r>
      <w:r>
        <w:rPr>
          <w:rFonts w:ascii="Times New Roman" w:hAnsi="Times New Roman"/>
          <w:sz w:val="24"/>
        </w:rPr>
        <w:t xml:space="preserve">Term SOFR, (b) with respect to any Term Rate Advance denominated in Canadian Dollars, Adjusted Term CORRA, (c) with respect to any Term Rate Advance denominated in Euros, the EURIBOR Rate (as determined in accordance with the definition thereof), (d) with respect to any Term Rate Advance denominated in Australian Dollars, the rate determined in accordance with clause (d) of the definition of “Term Rate”, (e) with respect to any Term Rate Advance denominated in Yen, the TIBOR Rate (as determined in accordance with the definition thereof) and (f) with respect to any SONIA Rate Advance, the SONIA Rate. </w:t>
      </w:r>
    </w:p>
    <w:p>
      <w:pPr>
        <w:pStyle w:val="TextBody"/>
        <w:bidi w:val="0"/>
        <w:spacing w:before="240" w:after="0"/>
        <w:jc w:val="both"/>
        <w:rPr/>
      </w:pPr>
      <w:r>
        <w:rPr/>
        <w:t>“</w:t>
      </w:r>
      <w:r>
        <w:rPr>
          <w:rFonts w:ascii="Times New Roman" w:hAnsi="Times New Roman"/>
          <w:sz w:val="24"/>
          <w:u w:val="single"/>
        </w:rPr>
        <w:t>Replacement Lender</w:t>
      </w:r>
      <w:r>
        <w:rPr>
          <w:rFonts w:ascii="Times New Roman" w:hAnsi="Times New Roman"/>
          <w:sz w:val="24"/>
        </w:rPr>
        <w:t xml:space="preserve">” shall have the meaning ascribed thereto in Section 10.5 hereof. </w:t>
      </w:r>
    </w:p>
    <w:p>
      <w:pPr>
        <w:pStyle w:val="TextBody"/>
        <w:bidi w:val="0"/>
        <w:spacing w:before="240" w:after="0"/>
        <w:jc w:val="both"/>
        <w:rPr/>
      </w:pPr>
      <w:r>
        <w:rPr/>
        <w:t>“</w:t>
      </w:r>
      <w:r>
        <w:rPr>
          <w:rFonts w:ascii="Times New Roman" w:hAnsi="Times New Roman"/>
          <w:sz w:val="24"/>
          <w:u w:val="single"/>
        </w:rPr>
        <w:t>Request for Advance</w:t>
      </w:r>
      <w:r>
        <w:rPr>
          <w:rFonts w:ascii="Times New Roman" w:hAnsi="Times New Roman"/>
          <w:sz w:val="24"/>
        </w:rPr>
        <w:t xml:space="preserve">” shall mean a certificate designated as a “Request for Advance,” signed by an Authorized Signatory of the applicable Borrower requesting an Advance, Continuation or Conversion hereunder, which shall be in substantially the form of </w:t>
      </w:r>
      <w:r>
        <w:rPr>
          <w:rFonts w:ascii="Times New Roman" w:hAnsi="Times New Roman"/>
          <w:sz w:val="24"/>
          <w:u w:val="single"/>
        </w:rPr>
        <w:t>Exhibit A</w:t>
      </w:r>
      <w:r>
        <w:rPr>
          <w:rFonts w:ascii="Times New Roman" w:hAnsi="Times New Roman"/>
          <w:sz w:val="24"/>
        </w:rPr>
        <w:t xml:space="preserve"> attached hereto. </w:t>
      </w:r>
    </w:p>
    <w:p>
      <w:pPr>
        <w:pStyle w:val="TextBody"/>
        <w:bidi w:val="0"/>
        <w:spacing w:before="240" w:after="0"/>
        <w:jc w:val="both"/>
        <w:rPr/>
      </w:pPr>
      <w:r>
        <w:rPr/>
        <w:t>“</w:t>
      </w:r>
      <w:r>
        <w:rPr>
          <w:rFonts w:ascii="Times New Roman" w:hAnsi="Times New Roman"/>
          <w:sz w:val="24"/>
          <w:u w:val="single"/>
        </w:rPr>
        <w:t>Resolution Authority</w:t>
      </w:r>
      <w:r>
        <w:rPr>
          <w:rFonts w:ascii="Times New Roman" w:hAnsi="Times New Roman"/>
          <w:sz w:val="24"/>
        </w:rPr>
        <w:t xml:space="preserve">” shall mean an EEA Resolution Authority or, with respect to any UK Financial Institution, a UK Resolution Authority. </w:t>
      </w:r>
    </w:p>
    <w:p>
      <w:pPr>
        <w:pStyle w:val="TextBody"/>
        <w:bidi w:val="0"/>
        <w:spacing w:before="240" w:after="0"/>
        <w:jc w:val="both"/>
        <w:rPr/>
      </w:pPr>
      <w:r>
        <w:rPr/>
        <w:t>“</w:t>
      </w:r>
      <w:r>
        <w:rPr>
          <w:rFonts w:ascii="Times New Roman" w:hAnsi="Times New Roman"/>
          <w:sz w:val="24"/>
          <w:u w:val="single"/>
        </w:rPr>
        <w:t>Restricted Payment</w:t>
      </w:r>
      <w:r>
        <w:rPr>
          <w:rFonts w:ascii="Times New Roman" w:hAnsi="Times New Roman"/>
          <w:sz w:val="24"/>
        </w:rPr>
        <w:t xml:space="preserve">” shall mean any direct or indirect distribution, dividend or other payment to any Person (other than to the Company or any of its Subsidiaries) on account of any Ownership Interests of the Company or any of its Subsidiaries (other than dividends payable solely in Ownership Interests of such Person or in warrants or other rights or options to acquire such Ownership Interests). </w:t>
      </w:r>
    </w:p>
    <w:p>
      <w:pPr>
        <w:pStyle w:val="TextBody"/>
        <w:bidi w:val="0"/>
        <w:spacing w:before="240" w:after="0"/>
        <w:jc w:val="both"/>
        <w:rPr/>
      </w:pPr>
      <w:r>
        <w:rPr/>
        <w:t>“</w:t>
      </w:r>
      <w:r>
        <w:rPr>
          <w:rFonts w:ascii="Times New Roman" w:hAnsi="Times New Roman"/>
          <w:sz w:val="24"/>
          <w:u w:val="single"/>
        </w:rPr>
        <w:t>Restrictive Change</w:t>
      </w:r>
      <w:r>
        <w:rPr>
          <w:rFonts w:ascii="Times New Roman" w:hAnsi="Times New Roman"/>
          <w:sz w:val="24"/>
        </w:rPr>
        <w:t xml:space="preserve">” shall have the meaning ascribed thereto in Section 5.10 hereof. </w:t>
      </w:r>
    </w:p>
    <w:p>
      <w:pPr>
        <w:pStyle w:val="TextBody"/>
        <w:bidi w:val="0"/>
        <w:spacing w:before="240" w:after="0"/>
        <w:jc w:val="both"/>
        <w:rPr/>
      </w:pPr>
      <w:r>
        <w:rPr/>
        <w:t>“</w:t>
      </w:r>
      <w:r>
        <w:rPr>
          <w:rFonts w:ascii="Times New Roman" w:hAnsi="Times New Roman"/>
          <w:sz w:val="24"/>
          <w:u w:val="single"/>
        </w:rPr>
        <w:t>Revaluation Date</w:t>
      </w:r>
      <w:r>
        <w:rPr>
          <w:rFonts w:ascii="Times New Roman" w:hAnsi="Times New Roman"/>
          <w:sz w:val="24"/>
        </w:rPr>
        <w:t xml:space="preserve">” shall mean (a) with respect to any Revolving Loan made as a Term Rate Advance, each of the following: (i) each date of a Term Rate Advance of such Revolving Loan denominated in an Alternative Currency, (ii) each date of a continuation of such Term Rate Advance of such Revolving Loan denominated in an Alternative Currency and (iii) such additional dates as the Administrative Agent shall determine or the Majority Lenders shall reasonably require; (b) with respect to any Revolving Loan made as a SONIA Rate Advance, each of the following (i) each date of a SONIA Rate Advance of such Revolving Loan, (ii) each date of a continuation of such SONIA Rate Advance of such Revolving Loan and (iii) such additional dates as the Administrative Agent shall determine or the Majority Lenders shall reasonably require; and (c) with respect to any Letter of Credit, each of the following: (i) each date of issuance of a Letter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Credit denominated in an Alternative Currency, (ii) each date of an amendment of any such Letter of Credit having the effect of increasing the amount thereof (solely with respect to the increased amount), (iii) each date of any payment by the relevant Issuing Bank under any Letter of Credit denominated in an Alternative Currency and (iv) such additional dates as the Administrative Agent or the Issuing Bank shall determine or the Majority Lenders shall reasonably require. </w:t>
      </w:r>
    </w:p>
    <w:p>
      <w:pPr>
        <w:pStyle w:val="TextBody"/>
        <w:bidi w:val="0"/>
        <w:spacing w:before="240" w:after="0"/>
        <w:jc w:val="both"/>
        <w:rPr/>
      </w:pPr>
      <w:r>
        <w:rPr/>
        <w:t>“</w:t>
      </w:r>
      <w:r>
        <w:rPr>
          <w:rFonts w:ascii="Times New Roman" w:hAnsi="Times New Roman"/>
          <w:sz w:val="24"/>
          <w:u w:val="single"/>
        </w:rPr>
        <w:t>Revolving Loan</w:t>
      </w:r>
      <w:r>
        <w:rPr>
          <w:rFonts w:ascii="Times New Roman" w:hAnsi="Times New Roman"/>
          <w:sz w:val="24"/>
        </w:rPr>
        <w:t>” and “</w:t>
      </w:r>
      <w:r>
        <w:rPr>
          <w:rFonts w:ascii="Times New Roman" w:hAnsi="Times New Roman"/>
          <w:sz w:val="24"/>
          <w:u w:val="single"/>
        </w:rPr>
        <w:t>Revolving Loans</w:t>
      </w:r>
      <w:r>
        <w:rPr>
          <w:rFonts w:ascii="Times New Roman" w:hAnsi="Times New Roman"/>
          <w:sz w:val="24"/>
        </w:rPr>
        <w:t xml:space="preserve">” shall have the meanings ascribed to such terms in Section 2.1 hereof. </w:t>
      </w:r>
    </w:p>
    <w:p>
      <w:pPr>
        <w:pStyle w:val="TextBody"/>
        <w:bidi w:val="0"/>
        <w:spacing w:before="240" w:after="0"/>
        <w:jc w:val="both"/>
        <w:rPr/>
      </w:pPr>
      <w:r>
        <w:rPr/>
        <w:t>“</w:t>
      </w:r>
      <w:r>
        <w:rPr>
          <w:rFonts w:ascii="Times New Roman" w:hAnsi="Times New Roman"/>
          <w:sz w:val="24"/>
          <w:u w:val="single"/>
        </w:rPr>
        <w:t>Revolving Loan Commitments</w:t>
      </w:r>
      <w:r>
        <w:rPr>
          <w:rFonts w:ascii="Times New Roman" w:hAnsi="Times New Roman"/>
          <w:sz w:val="24"/>
        </w:rPr>
        <w:t xml:space="preserve">” shall mean, as to each Lender, its obligation to (a) make Revolving Loans to the Company or any Subsidiary Borrower pursuant to Section 2.1, (b) purchase participations in L/C Obligations, and (c) purchase participations in Swingline Loans, in an aggregate principal amount at any one time outstanding not to exceed the amount set forth (i) opposite such Lender’s name on </w:t>
      </w:r>
      <w:r>
        <w:rPr>
          <w:rFonts w:ascii="Times New Roman" w:hAnsi="Times New Roman"/>
          <w:sz w:val="24"/>
          <w:u w:val="single"/>
        </w:rPr>
        <w:t>Schedule 1</w:t>
      </w:r>
      <w:r>
        <w:rPr>
          <w:rFonts w:ascii="Times New Roman" w:hAnsi="Times New Roman"/>
          <w:sz w:val="24"/>
        </w:rPr>
        <w:t>, (ii) in the Assignment and Assumption pursuant to which such Lender becomes a party hereto, or (iii) opposite such New Lender’s name on the signature page executed by such New Lender, as applicable, as such amount may be adjusted from time to time in accordance with this Agreement and in each case subject to the Available Amount on such date. The aggregate amount of Revolving Loan Commitments on Amendment No.</w:t>
      </w:r>
      <w:r>
        <w:rPr>
          <w:rFonts w:ascii="Times New Roman" w:hAnsi="Times New Roman"/>
          <w:strike/>
          <w:color w:val="FF0000"/>
          <w:sz w:val="24"/>
        </w:rPr>
        <w:t> 3</w:t>
      </w:r>
      <w:r>
        <w:rPr>
          <w:rFonts w:ascii="Times New Roman" w:hAnsi="Times New Roman"/>
          <w:color w:val="0000FF"/>
          <w:sz w:val="24"/>
          <w:u w:val="single"/>
          <w:bdr w:val="double" w:sz="2" w:space="1" w:color="000000"/>
        </w:rPr>
        <w:t>4</w:t>
      </w:r>
      <w:r>
        <w:rPr>
          <w:rFonts w:ascii="Times New Roman" w:hAnsi="Times New Roman"/>
          <w:sz w:val="24"/>
        </w:rPr>
        <w:t xml:space="preserve"> Effective Date is $6,000,000,000. </w:t>
      </w:r>
    </w:p>
    <w:p>
      <w:pPr>
        <w:pStyle w:val="TextBody"/>
        <w:bidi w:val="0"/>
        <w:spacing w:before="240" w:after="0"/>
        <w:jc w:val="both"/>
        <w:rPr/>
      </w:pPr>
      <w:r>
        <w:rPr/>
        <w:t>“</w:t>
      </w:r>
      <w:r>
        <w:rPr>
          <w:rFonts w:ascii="Times New Roman" w:hAnsi="Times New Roman"/>
          <w:sz w:val="24"/>
          <w:u w:val="single"/>
        </w:rPr>
        <w:t>Revolving Loan Notes</w:t>
      </w:r>
      <w:r>
        <w:rPr>
          <w:rFonts w:ascii="Times New Roman" w:hAnsi="Times New Roman"/>
          <w:sz w:val="24"/>
        </w:rPr>
        <w:t xml:space="preserve">” shall mean, collectively, those certain revolving promissory notes in an aggregate original principal amount of up to the Revolving Loan Commitments, issued by the applicable Borrower to the Lenders having a Revolving Loan Commitment, each one substantially in the form of </w:t>
      </w:r>
      <w:r>
        <w:rPr>
          <w:rFonts w:ascii="Times New Roman" w:hAnsi="Times New Roman"/>
          <w:sz w:val="24"/>
          <w:u w:val="single"/>
        </w:rPr>
        <w:t>Exhibit C</w:t>
      </w:r>
      <w:r>
        <w:rPr>
          <w:rFonts w:ascii="Times New Roman" w:hAnsi="Times New Roman"/>
          <w:sz w:val="24"/>
        </w:rPr>
        <w:t xml:space="preserve"> attached hereto, and any extensions, renewals or amendments to, or replacements of, the foregoing. </w:t>
      </w:r>
    </w:p>
    <w:p>
      <w:pPr>
        <w:pStyle w:val="TextBody"/>
        <w:bidi w:val="0"/>
        <w:spacing w:before="240" w:after="0"/>
        <w:jc w:val="both"/>
        <w:rPr/>
      </w:pPr>
      <w:r>
        <w:rPr/>
        <w:t>“</w:t>
      </w:r>
      <w:r>
        <w:rPr>
          <w:rFonts w:ascii="Times New Roman" w:hAnsi="Times New Roman"/>
          <w:sz w:val="24"/>
          <w:u w:val="single"/>
        </w:rPr>
        <w:t>S&amp;P</w:t>
      </w:r>
      <w:r>
        <w:rPr>
          <w:rFonts w:ascii="Times New Roman" w:hAnsi="Times New Roman"/>
          <w:sz w:val="24"/>
        </w:rPr>
        <w:t xml:space="preserve">” shall mean S&amp;P Global Ratings, and its successors. </w:t>
      </w:r>
    </w:p>
    <w:p>
      <w:pPr>
        <w:pStyle w:val="TextBody"/>
        <w:bidi w:val="0"/>
        <w:spacing w:before="240" w:after="0"/>
        <w:jc w:val="both"/>
        <w:rPr/>
      </w:pPr>
      <w:r>
        <w:rPr/>
        <w:t>“</w:t>
      </w:r>
      <w:r>
        <w:rPr>
          <w:rFonts w:ascii="Times New Roman" w:hAnsi="Times New Roman"/>
          <w:sz w:val="24"/>
          <w:u w:val="single"/>
        </w:rPr>
        <w:t>Sale and Leaseback Transaction</w:t>
      </w:r>
      <w:r>
        <w:rPr>
          <w:rFonts w:ascii="Times New Roman" w:hAnsi="Times New Roman"/>
          <w:sz w:val="24"/>
        </w:rPr>
        <w:t xml:space="preserve">” shall mean any arrangement, directly or indirectly, with any third party whereby the Company or any of its Subsidiaries shall sell or transfer any property, real or personal, whether now owned or hereafter acquired, and whereby the Company or any of its Subsidiaries shall then or thereafter rent or lease as lessee such property or any part thereof or other property which the Company or any of its Subsidiaries intend to use for substantially the same purpose or purposes as the property sold or transferred, except for such arrangements for fair market value. </w:t>
      </w:r>
    </w:p>
    <w:p>
      <w:pPr>
        <w:pStyle w:val="TextBody"/>
        <w:bidi w:val="0"/>
        <w:spacing w:before="240" w:after="0"/>
        <w:jc w:val="both"/>
        <w:rPr/>
      </w:pPr>
      <w:r>
        <w:rPr/>
        <w:t>“</w:t>
      </w:r>
      <w:r>
        <w:rPr>
          <w:rFonts w:ascii="Times New Roman" w:hAnsi="Times New Roman"/>
          <w:sz w:val="24"/>
          <w:u w:val="single"/>
        </w:rPr>
        <w:t>Sanctioned Country</w:t>
      </w:r>
      <w:r>
        <w:rPr>
          <w:rFonts w:ascii="Times New Roman" w:hAnsi="Times New Roman"/>
          <w:sz w:val="24"/>
        </w:rPr>
        <w:t xml:space="preserve">” shall mean a country or territory that is itself the target or subject of a country-wide or region-wide sanctions program administered by (a) OFAC or (b) the United Nations Security Council, European Union, any European Union member state or the United Kingdom (currently, Cuba, the Crimea, Kherson and Zapozhizhia regions of Ukraine, the so-called Donetsk People’s Republic, and the so-called Luhansk People’s Republic, Iran, North Korea and Syria). </w:t>
      </w:r>
    </w:p>
    <w:p>
      <w:pPr>
        <w:pStyle w:val="TextBody"/>
        <w:bidi w:val="0"/>
        <w:spacing w:before="240" w:after="0"/>
        <w:jc w:val="both"/>
        <w:rPr/>
      </w:pPr>
      <w:r>
        <w:rPr/>
        <w:t>“</w:t>
      </w:r>
      <w:r>
        <w:rPr>
          <w:rFonts w:ascii="Times New Roman" w:hAnsi="Times New Roman"/>
          <w:sz w:val="24"/>
          <w:u w:val="single"/>
        </w:rPr>
        <w:t>Sanctions Laws and Regulations</w:t>
      </w:r>
      <w:r>
        <w:rPr>
          <w:rFonts w:ascii="Times New Roman" w:hAnsi="Times New Roman"/>
          <w:sz w:val="24"/>
        </w:rPr>
        <w:t>” shall mean (i) any sanctions, prohibitions or requirements imposed by the U.S. government, including any U.S. executive order (an “</w:t>
      </w:r>
      <w:r>
        <w:rPr>
          <w:rFonts w:ascii="Times New Roman" w:hAnsi="Times New Roman"/>
          <w:sz w:val="24"/>
          <w:u w:val="single"/>
        </w:rPr>
        <w:t>Executive Order</w:t>
      </w:r>
      <w:r>
        <w:rPr>
          <w:rFonts w:ascii="Times New Roman" w:hAnsi="Times New Roman"/>
          <w:sz w:val="24"/>
        </w:rPr>
        <w:t xml:space="preserve">”) or by any sanctions program administered by OFAC; and (ii) any sanctions measures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imposed by the United Nations Security Council, European Union, any European Union member state or the United Kingdom. </w:t>
      </w:r>
    </w:p>
    <w:p>
      <w:pPr>
        <w:pStyle w:val="TextBody"/>
        <w:bidi w:val="0"/>
        <w:spacing w:before="240" w:after="0"/>
        <w:jc w:val="both"/>
        <w:rPr/>
      </w:pPr>
      <w:r>
        <w:rPr/>
        <w:t>“</w:t>
      </w:r>
      <w:r>
        <w:rPr>
          <w:rFonts w:ascii="Times New Roman" w:hAnsi="Times New Roman"/>
          <w:sz w:val="24"/>
          <w:u w:val="single"/>
        </w:rPr>
        <w:t>Senior Secured Debt</w:t>
      </w:r>
      <w:r>
        <w:rPr>
          <w:rFonts w:ascii="Times New Roman" w:hAnsi="Times New Roman"/>
          <w:sz w:val="24"/>
        </w:rPr>
        <w:t xml:space="preserve">” shall mean, for the Company and its Subsidiaries on a consolidated basis as of any date, the aggregate amount of secured Indebtedness </w:t>
      </w:r>
      <w:r>
        <w:rPr>
          <w:rFonts w:ascii="Times New Roman" w:hAnsi="Times New Roman"/>
          <w:color w:val="0000FF"/>
          <w:sz w:val="24"/>
          <w:u w:val="single"/>
          <w:bdr w:val="double" w:sz="2" w:space="1" w:color="000000"/>
        </w:rPr>
        <w:t xml:space="preserve">(other than Indebtedness secured by Permitted Liens) </w:t>
      </w:r>
      <w:r>
        <w:rPr>
          <w:rFonts w:ascii="Times New Roman" w:hAnsi="Times New Roman"/>
          <w:sz w:val="24"/>
        </w:rPr>
        <w:t xml:space="preserve">plus Attributable Debt of such Persons as of such date (including, without limitation, Indebtedness under any Existing ABS Facility and Indebtedness under any additional ABS Facilities entered into in accordance with Section 7.1(h) hereof). </w:t>
      </w:r>
    </w:p>
    <w:p>
      <w:pPr>
        <w:pStyle w:val="TextBody"/>
        <w:bidi w:val="0"/>
        <w:spacing w:before="240" w:after="0"/>
        <w:jc w:val="both"/>
        <w:rPr/>
      </w:pPr>
      <w:r>
        <w:rPr/>
        <w:t>“</w:t>
      </w:r>
      <w:r>
        <w:rPr>
          <w:rFonts w:ascii="Times New Roman" w:hAnsi="Times New Roman"/>
          <w:sz w:val="24"/>
          <w:u w:val="single"/>
        </w:rPr>
        <w:t>SOFR</w:t>
      </w:r>
      <w:r>
        <w:rPr>
          <w:rFonts w:ascii="Times New Roman" w:hAnsi="Times New Roman"/>
          <w:sz w:val="24"/>
        </w:rPr>
        <w:t xml:space="preserve">” shall mean a rate equal to the secured overnight financing rate as administered by the SOFR Administrator. </w:t>
      </w:r>
    </w:p>
    <w:p>
      <w:pPr>
        <w:pStyle w:val="TextBody"/>
        <w:bidi w:val="0"/>
        <w:spacing w:before="240" w:after="0"/>
        <w:jc w:val="both"/>
        <w:rPr/>
      </w:pPr>
      <w:r>
        <w:rPr/>
        <w:t>“</w:t>
      </w:r>
      <w:r>
        <w:rPr>
          <w:rFonts w:ascii="Times New Roman" w:hAnsi="Times New Roman"/>
          <w:sz w:val="24"/>
          <w:u w:val="single"/>
        </w:rPr>
        <w:t>SOFR Administrator</w:t>
      </w:r>
      <w:r>
        <w:rPr>
          <w:rFonts w:ascii="Times New Roman" w:hAnsi="Times New Roman"/>
          <w:sz w:val="24"/>
        </w:rPr>
        <w:t xml:space="preserve">” shall mean the NYFRB (or a successor administrator of the secured overnight financing rate). </w:t>
      </w:r>
    </w:p>
    <w:p>
      <w:pPr>
        <w:pStyle w:val="TextBody"/>
        <w:bidi w:val="0"/>
        <w:spacing w:before="240" w:after="0"/>
        <w:jc w:val="both"/>
        <w:rPr/>
      </w:pPr>
      <w:r>
        <w:rPr/>
        <w:t>“</w:t>
      </w:r>
      <w:r>
        <w:rPr>
          <w:rFonts w:ascii="Times New Roman" w:hAnsi="Times New Roman"/>
          <w:sz w:val="24"/>
          <w:u w:val="single"/>
        </w:rPr>
        <w:t>SOFR Loan</w:t>
      </w:r>
      <w:r>
        <w:rPr>
          <w:rFonts w:ascii="Times New Roman" w:hAnsi="Times New Roman"/>
          <w:sz w:val="24"/>
        </w:rPr>
        <w:t xml:space="preserve">” shall mean a Loan that bears interest at a rate based on </w:t>
      </w:r>
      <w:r>
        <w:rPr>
          <w:rFonts w:ascii="Times New Roman" w:hAnsi="Times New Roman"/>
          <w:strike/>
          <w:color w:val="FF0000"/>
          <w:sz w:val="24"/>
        </w:rPr>
        <w:t xml:space="preserve">Adjusted </w:t>
      </w:r>
      <w:r>
        <w:rPr>
          <w:rFonts w:ascii="Times New Roman" w:hAnsi="Times New Roman"/>
          <w:sz w:val="24"/>
        </w:rPr>
        <w:t xml:space="preserve">Term SOFR, other than pursuant to clause (c) of the definition of “Base Rate”. </w:t>
      </w:r>
    </w:p>
    <w:p>
      <w:pPr>
        <w:pStyle w:val="TextBody"/>
        <w:bidi w:val="0"/>
        <w:spacing w:before="240" w:after="0"/>
        <w:jc w:val="both"/>
        <w:rPr/>
      </w:pPr>
      <w:r>
        <w:rPr/>
        <w:t>“</w:t>
      </w:r>
      <w:r>
        <w:rPr>
          <w:rFonts w:ascii="Times New Roman" w:hAnsi="Times New Roman"/>
          <w:sz w:val="24"/>
          <w:u w:val="single"/>
        </w:rPr>
        <w:t>SONIA</w:t>
      </w:r>
      <w:r>
        <w:rPr>
          <w:rFonts w:ascii="Times New Roman" w:hAnsi="Times New Roman"/>
          <w:sz w:val="24"/>
        </w:rPr>
        <w:t xml:space="preserve">” shall mean, with respect to any Business Day, a rate per annum equal to the Sterling Overnight Index Average for such Business Day published by the SONIA Administrator on the SONIA Administrator’s Website on the immediately succeeding Business Day; provided that if SONIA shall be less than zero, such rate shall be deemed to be zero for the purposes of this Agreement. </w:t>
      </w:r>
    </w:p>
    <w:p>
      <w:pPr>
        <w:pStyle w:val="TextBody"/>
        <w:bidi w:val="0"/>
        <w:spacing w:before="240" w:after="0"/>
        <w:jc w:val="both"/>
        <w:rPr/>
      </w:pPr>
      <w:r>
        <w:rPr/>
        <w:t>“</w:t>
      </w:r>
      <w:r>
        <w:rPr>
          <w:rFonts w:ascii="Times New Roman" w:hAnsi="Times New Roman"/>
          <w:sz w:val="24"/>
          <w:u w:val="single"/>
        </w:rPr>
        <w:t>SONIA Administrator</w:t>
      </w:r>
      <w:r>
        <w:rPr>
          <w:rFonts w:ascii="Times New Roman" w:hAnsi="Times New Roman"/>
          <w:sz w:val="24"/>
        </w:rPr>
        <w:t xml:space="preserve">” shall mean the Bank of England (or any successor administrator of the Sterling Overnight Index Average). </w:t>
      </w:r>
    </w:p>
    <w:p>
      <w:pPr>
        <w:pStyle w:val="TextBody"/>
        <w:bidi w:val="0"/>
        <w:spacing w:before="240" w:after="0"/>
        <w:jc w:val="both"/>
        <w:rPr/>
      </w:pPr>
      <w:r>
        <w:rPr/>
        <w:t>“</w:t>
      </w:r>
      <w:r>
        <w:rPr>
          <w:rFonts w:ascii="Times New Roman" w:hAnsi="Times New Roman"/>
          <w:sz w:val="24"/>
          <w:u w:val="single"/>
        </w:rPr>
        <w:t>SONIA Administrator’s Website</w:t>
      </w:r>
      <w:r>
        <w:rPr>
          <w:rFonts w:ascii="Times New Roman" w:hAnsi="Times New Roman"/>
          <w:sz w:val="24"/>
        </w:rPr>
        <w:t xml:space="preserve">” shall mean the Bank of England’s website, currently at http://www.bankofengland.co.uk, or any successor source for the Sterling Overnight Index Average identified as such by the SONIA Administrator from time to time. </w:t>
      </w:r>
    </w:p>
    <w:p>
      <w:pPr>
        <w:pStyle w:val="TextBody"/>
        <w:bidi w:val="0"/>
        <w:spacing w:before="240" w:after="0"/>
        <w:jc w:val="both"/>
        <w:rPr/>
      </w:pPr>
      <w:r>
        <w:rPr/>
        <w:t>“</w:t>
      </w:r>
      <w:r>
        <w:rPr>
          <w:rFonts w:ascii="Times New Roman" w:hAnsi="Times New Roman"/>
          <w:sz w:val="24"/>
          <w:u w:val="single"/>
        </w:rPr>
        <w:t>SONIA Rate</w:t>
      </w:r>
      <w:r>
        <w:rPr>
          <w:rFonts w:ascii="Times New Roman" w:hAnsi="Times New Roman"/>
          <w:sz w:val="24"/>
        </w:rPr>
        <w:t xml:space="preserve">” shall mean, with respect to any applicable determination date, (a) SONIA published on the fifth Business Day preceding such date (provided however that if such determination date is not a Business Day, “SONIA Rate” shall mean such rate that applied on the first Business Day immediately prior thereto) plus (b) 0.0326%. </w:t>
      </w:r>
    </w:p>
    <w:p>
      <w:pPr>
        <w:pStyle w:val="TextBody"/>
        <w:bidi w:val="0"/>
        <w:spacing w:before="240" w:after="0"/>
        <w:jc w:val="both"/>
        <w:rPr/>
      </w:pPr>
      <w:r>
        <w:rPr/>
        <w:t>“</w:t>
      </w:r>
      <w:r>
        <w:rPr>
          <w:rFonts w:ascii="Times New Roman" w:hAnsi="Times New Roman"/>
          <w:sz w:val="24"/>
          <w:u w:val="single"/>
        </w:rPr>
        <w:t>SONIA Rate Advance</w:t>
      </w:r>
      <w:r>
        <w:rPr>
          <w:rFonts w:ascii="Times New Roman" w:hAnsi="Times New Roman"/>
          <w:sz w:val="24"/>
        </w:rPr>
        <w:t xml:space="preserve">” shall mean an Advance denominated in Sterling which the Company or any Subsidiary Borrower requests to be made in accordance with the provisions of Section 2.2 hereof and which shall be in a principal amount of at least the Dollar Equivalent of $5,000,000.00 and in an integral multiple of the Dollar Equivalent of $1,000,000.00. </w:t>
      </w:r>
    </w:p>
    <w:p>
      <w:pPr>
        <w:pStyle w:val="TextBody"/>
        <w:bidi w:val="0"/>
        <w:spacing w:before="240" w:after="0"/>
        <w:jc w:val="both"/>
        <w:rPr/>
      </w:pPr>
      <w:r>
        <w:rPr/>
        <w:t>“</w:t>
      </w:r>
      <w:r>
        <w:rPr>
          <w:rFonts w:ascii="Times New Roman" w:hAnsi="Times New Roman"/>
          <w:sz w:val="24"/>
          <w:u w:val="single"/>
        </w:rPr>
        <w:t>SONIA Rate Basis</w:t>
      </w:r>
      <w:r>
        <w:rPr>
          <w:rFonts w:ascii="Times New Roman" w:hAnsi="Times New Roman"/>
          <w:sz w:val="24"/>
        </w:rPr>
        <w:t xml:space="preserve">” shall mean a simple interest rate equal to the sum of (i) the SONIA Rate and (ii) the Applicable Margin applicable to SONIA Rate Advances for the applicable Loans. The SONIA Rate Basis shall be adjusted automatically as of the opening of business on the effective date of each change in the SONIA Rate to account for such change, and shall also be adjusted to reflect changes of the Applicable Margin applicable to SONIA Rate Advances. </w:t>
      </w:r>
    </w:p>
    <w:p>
      <w:pPr>
        <w:pStyle w:val="TextBody"/>
        <w:bidi w:val="0"/>
        <w:spacing w:before="240" w:after="0"/>
        <w:jc w:val="both"/>
        <w:rPr/>
      </w:pPr>
      <w:r>
        <w:rPr/>
        <w:t>“</w:t>
      </w:r>
      <w:r>
        <w:rPr>
          <w:rFonts w:ascii="Times New Roman" w:hAnsi="Times New Roman"/>
          <w:sz w:val="24"/>
          <w:u w:val="single"/>
        </w:rPr>
        <w:t>SPC</w:t>
      </w:r>
      <w:r>
        <w:rPr>
          <w:rFonts w:ascii="Times New Roman" w:hAnsi="Times New Roman"/>
          <w:sz w:val="24"/>
        </w:rPr>
        <w:t xml:space="preserve">” shall have the meaning ascribed thereto in Section 12.4(f) 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Special Notice Currency</w:t>
      </w:r>
      <w:r>
        <w:rPr>
          <w:rFonts w:ascii="Times New Roman" w:hAnsi="Times New Roman"/>
          <w:sz w:val="24"/>
        </w:rPr>
        <w:t xml:space="preserve">” shall mean at any time an Alternative Currency, other than the currency of a country that is a member of the Organization for Economic Cooperation and Development at such time located in North America or Europe. </w:t>
      </w:r>
    </w:p>
    <w:p>
      <w:pPr>
        <w:pStyle w:val="TextBody"/>
        <w:bidi w:val="0"/>
        <w:spacing w:before="240" w:after="0"/>
        <w:jc w:val="both"/>
        <w:rPr/>
      </w:pPr>
      <w:r>
        <w:rPr>
          <w:strike/>
          <w:color w:val="FF0000"/>
        </w:rPr>
        <w:t>“</w:t>
      </w:r>
      <w:r>
        <w:rPr>
          <w:rFonts w:ascii="Times New Roman" w:hAnsi="Times New Roman"/>
          <w:strike/>
          <w:color w:val="FF0000"/>
          <w:sz w:val="24"/>
        </w:rPr>
        <w:t>Specified Merger” shall mean the acquisitions by the Buyer as contemplated by the Specified Merger Agreement without giving effect to amendments, supplements, waivers or other modifications to or consents under the Specified Merger Agreement that are adverse in any material respect to the Lenders in their capacities as such and that have not been approved by the Joint Lead Arrangers, such approval not to be unreasonably withheld or delayed.</w:t>
      </w:r>
      <w:r>
        <w:rPr>
          <w:rFonts w:ascii="Times New Roman" w:hAnsi="Times New Roman"/>
          <w:sz w:val="24"/>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Specified Acquisition Agreement Representations” means the representations and warranties made by or on behalf of the applicable sellers, the Target and their subsidiaries with respect to the Target and its subsidiaries in the definitive agreement for such Certain Funds Acquisition as are material to the interests of the Lenders, but only to the extent that the Company (or an affiliate of the Company) has the right (taking into account any applicable cure provisions) to terminate its obligations under such definitive agreement or to decline to consummate such Certain Funds Acquisition as a result of a breach of such representations and warranties in such definitive agreement.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 xml:space="preserve">Specified </w:t>
      </w:r>
      <w:r>
        <w:rPr>
          <w:rFonts w:ascii="Times New Roman" w:hAnsi="Times New Roman"/>
          <w:strike/>
          <w:color w:val="FF0000"/>
          <w:sz w:val="24"/>
        </w:rPr>
        <w:t>Merger Agreement</w:t>
      </w:r>
      <w:r>
        <w:rPr>
          <w:rFonts w:ascii="Times New Roman" w:hAnsi="Times New Roman"/>
          <w:color w:val="0000FF"/>
          <w:sz w:val="24"/>
          <w:u w:val="single"/>
          <w:bdr w:val="double" w:sz="2" w:space="1" w:color="000000"/>
        </w:rPr>
        <w:t>Representations</w:t>
      </w:r>
      <w:r>
        <w:rPr>
          <w:rFonts w:ascii="Times New Roman" w:hAnsi="Times New Roman"/>
          <w:sz w:val="24"/>
          <w:u w:val="single"/>
        </w:rPr>
        <w:t xml:space="preserve">” shall mean the </w:t>
      </w:r>
      <w:r>
        <w:rPr>
          <w:rFonts w:ascii="Times New Roman" w:hAnsi="Times New Roman"/>
          <w:strike/>
          <w:color w:val="FF0000"/>
          <w:sz w:val="24"/>
        </w:rPr>
        <w:t>Agreement and Plan of Merger by and among American Tower Investments LLC, Appleseed Holdco LLC, Appleseed Merger Sub LLC, Appleseed OP Merger Sub LLC, CoreSite Realty Corporation, CoreSite, L.P. and the Borrower, dated as of November 14, 2021 (as amended, restated, amended and restated or otherwise modified from time to time in accordance with this Agreement).</w:t>
      </w:r>
      <w:r>
        <w:rPr>
          <w:rFonts w:ascii="Times New Roman" w:hAnsi="Times New Roman"/>
          <w:color w:val="0000FF"/>
          <w:sz w:val="24"/>
          <w:u w:val="single"/>
          <w:bdr w:val="double" w:sz="2" w:space="1" w:color="000000"/>
        </w:rPr>
        <w:t xml:space="preserve">representations and warranties contained in (a) the first sentence of Section 4.1(a), (b) Section 4.1(b), (c) Section 4.1(c)(iii) (in the case of indentures, agreements, or other instruments, solely to the extent such indentures, agreements or other instruments evidence Indebtedness in an aggregate amount in excess of $500,000,000 (including, without limitation, the Existing Credit Agreements)), without giving effect to any materiality qualification therein, (d) the second sentence of Section 4.1(k) (solely with respect to the use of proceeds of the Certain Funds Advances), (e) Section 4.1(l), (f) Section 4.1(m), in each case as made </w:t>
      </w:r>
      <w:r>
        <w:rPr>
          <w:rFonts w:ascii="Times New Roman" w:hAnsi="Times New Roman"/>
          <w:color w:val="00C000"/>
          <w:sz w:val="24"/>
          <w:u w:val="single"/>
          <w:bdr w:val="double" w:sz="2" w:space="1" w:color="000000"/>
        </w:rPr>
        <w:t xml:space="preserve">giving pro forma effect to </w:t>
      </w:r>
      <w:r>
        <w:rPr>
          <w:rFonts w:ascii="Times New Roman" w:hAnsi="Times New Roman"/>
          <w:color w:val="0000FF"/>
          <w:sz w:val="24"/>
          <w:u w:val="single"/>
          <w:bdr w:val="double" w:sz="2" w:space="1" w:color="000000"/>
        </w:rPr>
        <w:t>the consummation of the applicable Certain Funds Acquisition and the making of the Certain Funds Advance, and (g) the second sentence of Section 4.1(n) (solely with respect to the use of proceeds of the Certain Funds Advances).</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Spot Rate</w:t>
      </w:r>
      <w:r>
        <w:rPr>
          <w:rFonts w:ascii="Times New Roman" w:hAnsi="Times New Roman"/>
          <w:sz w:val="24"/>
        </w:rPr>
        <w:t xml:space="preserve">” for a currency shall mean the rate determined by the Administrative Agent or the relevant Issuing Bank,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hAnsi="Times New Roman"/>
          <w:sz w:val="24"/>
          <w:u w:val="single"/>
        </w:rPr>
        <w:t>provided</w:t>
      </w:r>
      <w:r>
        <w:rPr>
          <w:rFonts w:ascii="Times New Roman" w:hAnsi="Times New Roman"/>
          <w:sz w:val="24"/>
        </w:rPr>
        <w:t xml:space="preserve"> that the Administrative Agent or the relevant Issuing Bank may obtain such spot rate from another financial institution designated by the Administrative Agent or the Issuing Bank if the Person acting in such capacity does not have as of the date of determination a spot buying rate for any such currency;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the relevant Issuing Bank may use such spot rate quoted on the date as of which the foreign exchange computation is made in the case of any Letter of Credit denominated in an Alternative Currency.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Standby Letter of Credit</w:t>
      </w:r>
      <w:r>
        <w:rPr>
          <w:rFonts w:ascii="Times New Roman" w:hAnsi="Times New Roman"/>
          <w:sz w:val="24"/>
        </w:rPr>
        <w:t xml:space="preserve">” shall mean a letter of credit issued by an Issuing Bank in accordance with the terms hereof to support obligations of the Company or any of its Subsidiaries incurred in the ordinary course of business, and which is not a Commercial Letter of Credit. </w:t>
      </w:r>
    </w:p>
    <w:p>
      <w:pPr>
        <w:pStyle w:val="TextBody"/>
        <w:bidi w:val="0"/>
        <w:spacing w:before="240" w:after="0"/>
        <w:jc w:val="both"/>
        <w:rPr/>
      </w:pPr>
      <w:r>
        <w:rPr/>
        <w:t>“</w:t>
      </w:r>
      <w:r>
        <w:rPr>
          <w:rFonts w:ascii="Times New Roman" w:hAnsi="Times New Roman"/>
          <w:sz w:val="24"/>
          <w:u w:val="single"/>
        </w:rPr>
        <w:t>Sterling</w:t>
      </w:r>
      <w:r>
        <w:rPr>
          <w:rFonts w:ascii="Times New Roman" w:hAnsi="Times New Roman"/>
          <w:sz w:val="24"/>
        </w:rPr>
        <w:t>”, “</w:t>
      </w:r>
      <w:r>
        <w:rPr>
          <w:rFonts w:ascii="Times New Roman" w:hAnsi="Times New Roman"/>
          <w:sz w:val="24"/>
          <w:u w:val="single"/>
        </w:rPr>
        <w:t>GBP</w:t>
      </w:r>
      <w:r>
        <w:rPr>
          <w:rFonts w:ascii="Times New Roman" w:hAnsi="Times New Roman"/>
          <w:sz w:val="24"/>
        </w:rPr>
        <w:t>” and “</w:t>
      </w:r>
      <w:r>
        <w:rPr>
          <w:rFonts w:ascii="Times New Roman" w:hAnsi="Times New Roman"/>
          <w:sz w:val="24"/>
          <w:u w:val="single"/>
        </w:rPr>
        <w:t>£</w:t>
      </w:r>
      <w:r>
        <w:rPr>
          <w:rFonts w:ascii="Times New Roman" w:hAnsi="Times New Roman"/>
          <w:sz w:val="24"/>
        </w:rPr>
        <w:t xml:space="preserve">” shall mean the lawful currency of the United Kingdom. </w:t>
      </w:r>
    </w:p>
    <w:p>
      <w:pPr>
        <w:pStyle w:val="TextBody"/>
        <w:bidi w:val="0"/>
        <w:spacing w:before="240" w:after="0"/>
        <w:jc w:val="both"/>
        <w:rPr/>
      </w:pPr>
      <w:r>
        <w:rPr/>
        <w:t>“</w:t>
      </w:r>
      <w:r>
        <w:rPr>
          <w:rFonts w:ascii="Times New Roman" w:hAnsi="Times New Roman"/>
          <w:sz w:val="24"/>
          <w:u w:val="single"/>
        </w:rPr>
        <w:t>Subordinated Obligations</w:t>
      </w:r>
      <w:r>
        <w:rPr>
          <w:rFonts w:ascii="Times New Roman" w:hAnsi="Times New Roman"/>
          <w:sz w:val="24"/>
        </w:rPr>
        <w:t xml:space="preserve">” shall have the meaning ascribed thereto in Section 11.5 hereof. </w:t>
      </w:r>
    </w:p>
    <w:p>
      <w:pPr>
        <w:pStyle w:val="TextBody"/>
        <w:bidi w:val="0"/>
        <w:spacing w:before="240" w:after="0"/>
        <w:jc w:val="both"/>
        <w:rPr/>
      </w:pPr>
      <w:r>
        <w:rPr/>
        <w:t>“</w:t>
      </w:r>
      <w:r>
        <w:rPr>
          <w:rFonts w:ascii="Times New Roman" w:hAnsi="Times New Roman"/>
          <w:sz w:val="24"/>
          <w:u w:val="single"/>
        </w:rPr>
        <w:t>Subsidiary</w:t>
      </w:r>
      <w:r>
        <w:rPr>
          <w:rFonts w:ascii="Times New Roman" w:hAnsi="Times New Roman"/>
          <w:sz w:val="24"/>
        </w:rPr>
        <w:t xml:space="preserve">” shall mean, as applied to any Person, (a) any corporation, partnership or other entity of which no less than a majority of the Ownership Interests having ordinary voting power to elect a majority of its board of directors or other persons performing similar functions or such corporation, partnership or other entity, whether or not at the time any Ownership Interests of any other class or classes of such corporation, partnership or other entity shall or might have voting power by reason of the happening of any contingency, is at the time owned directly or indirectly by such Person, or by one or more Subsidiaries of such Person, or by such Person and one or more Subsidiaries of such Person;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such Person and/or such Person’s Subsidiaries directly or indirectly own less than a majority of such Subsidiary’s Ownership Interests, then such Subsidiary’s operating or governing documents must require (i) such Subsidiary’s net cash after the establishment of reserves be distributed to its equity holders no less frequently than quarterly and (ii) the consent of such Person and/or such Person’s Subsidiaries to amend or otherwise modify the provisions of such operating or governing documents requiring such distributions, or (b) any other entity which is directly or indirectly controlled or capable of being controlled by such Person, or by one or more Subsidiaries of such Person, or by such Person and one or more Subsidiaries of such Person. Notwithstanding the foregoing, no Unrestricted Subsidiary shall be deemed to be a Subsidiary of the Company or any of its Subsidiaries for the purposes of this Agreement or any other Loan Document. </w:t>
      </w:r>
    </w:p>
    <w:p>
      <w:pPr>
        <w:pStyle w:val="TextBody"/>
        <w:bidi w:val="0"/>
        <w:spacing w:before="240" w:after="0"/>
        <w:jc w:val="both"/>
        <w:rPr/>
      </w:pPr>
      <w:r>
        <w:rPr/>
        <w:t>“</w:t>
      </w:r>
      <w:r>
        <w:rPr>
          <w:rFonts w:ascii="Times New Roman" w:hAnsi="Times New Roman"/>
          <w:sz w:val="24"/>
          <w:u w:val="single"/>
        </w:rPr>
        <w:t>Subsidiary Borrower</w:t>
      </w:r>
      <w:r>
        <w:rPr>
          <w:rFonts w:ascii="Times New Roman" w:hAnsi="Times New Roman"/>
          <w:sz w:val="24"/>
        </w:rPr>
        <w:t xml:space="preserve">” shall mean </w:t>
      </w:r>
      <w:r>
        <w:rPr>
          <w:rFonts w:ascii="Times New Roman" w:hAnsi="Times New Roman"/>
          <w:strike/>
          <w:color w:val="FF0000"/>
          <w:sz w:val="24"/>
        </w:rPr>
        <w:t>any</w:t>
      </w:r>
      <w:r>
        <w:rPr>
          <w:rFonts w:ascii="Times New Roman" w:hAnsi="Times New Roman"/>
          <w:color w:val="0000FF"/>
          <w:sz w:val="24"/>
          <w:u w:val="single"/>
          <w:bdr w:val="double" w:sz="2" w:space="1" w:color="000000"/>
        </w:rPr>
        <w:t>the Dutch Borrower and any other</w:t>
      </w:r>
      <w:r>
        <w:rPr>
          <w:rFonts w:ascii="Times New Roman" w:hAnsi="Times New Roman"/>
          <w:sz w:val="24"/>
        </w:rPr>
        <w:t xml:space="preserve"> Subsidiary that becomes a party hereto pursuant to Section 12.6(a) until such time as such Subsidiary Borrower is removed as a party hereto pursuant to Section 12.6(b). </w:t>
      </w:r>
    </w:p>
    <w:p>
      <w:pPr>
        <w:pStyle w:val="TextBody"/>
        <w:bidi w:val="0"/>
        <w:spacing w:before="240" w:after="0"/>
        <w:jc w:val="both"/>
        <w:rPr/>
      </w:pPr>
      <w:r>
        <w:rPr/>
        <w:t>“</w:t>
      </w:r>
      <w:r>
        <w:rPr>
          <w:rFonts w:ascii="Times New Roman" w:hAnsi="Times New Roman"/>
          <w:sz w:val="24"/>
          <w:u w:val="single"/>
        </w:rPr>
        <w:t>Swingline Advance</w:t>
      </w:r>
      <w:r>
        <w:rPr>
          <w:rFonts w:ascii="Times New Roman" w:hAnsi="Times New Roman"/>
          <w:sz w:val="24"/>
        </w:rPr>
        <w:t xml:space="preserve">” shall mean an Advance of a Swingline Loan pursuant to Section 2.17. </w:t>
      </w:r>
    </w:p>
    <w:p>
      <w:pPr>
        <w:pStyle w:val="TextBody"/>
        <w:bidi w:val="0"/>
        <w:spacing w:before="240" w:after="0"/>
        <w:jc w:val="both"/>
        <w:rPr/>
      </w:pPr>
      <w:r>
        <w:rPr/>
        <w:t>“</w:t>
      </w:r>
      <w:r>
        <w:rPr>
          <w:rFonts w:ascii="Times New Roman" w:hAnsi="Times New Roman"/>
          <w:sz w:val="24"/>
          <w:u w:val="single"/>
        </w:rPr>
        <w:t>Swingline Lender</w:t>
      </w:r>
      <w:r>
        <w:rPr>
          <w:rFonts w:ascii="Times New Roman" w:hAnsi="Times New Roman"/>
          <w:sz w:val="24"/>
        </w:rPr>
        <w:t xml:space="preserve">” shall mean The Toronto-Dominion Bank, New York Branch in its capacity as provider of Swingline Loans, or any successor swingline lender hereunder. </w:t>
      </w:r>
    </w:p>
    <w:p>
      <w:pPr>
        <w:pStyle w:val="TextBody"/>
        <w:bidi w:val="0"/>
        <w:spacing w:before="240" w:after="0"/>
        <w:jc w:val="both"/>
        <w:rPr/>
      </w:pPr>
      <w:r>
        <w:rPr/>
        <w:t>“</w:t>
      </w:r>
      <w:r>
        <w:rPr>
          <w:rFonts w:ascii="Times New Roman" w:hAnsi="Times New Roman"/>
          <w:sz w:val="24"/>
          <w:u w:val="single"/>
        </w:rPr>
        <w:t>Swingline Loan</w:t>
      </w:r>
      <w:r>
        <w:rPr>
          <w:rFonts w:ascii="Times New Roman" w:hAnsi="Times New Roman"/>
          <w:sz w:val="24"/>
        </w:rPr>
        <w:t xml:space="preserve">” shall have the meaning specified in Section 2.17(a). </w:t>
      </w:r>
    </w:p>
    <w:p>
      <w:pPr>
        <w:pStyle w:val="TextBody"/>
        <w:bidi w:val="0"/>
        <w:spacing w:before="240" w:after="0"/>
        <w:jc w:val="both"/>
        <w:rPr/>
      </w:pPr>
      <w:r>
        <w:rPr/>
        <w:t>“</w:t>
      </w:r>
      <w:r>
        <w:rPr>
          <w:rFonts w:ascii="Times New Roman" w:hAnsi="Times New Roman"/>
          <w:sz w:val="24"/>
          <w:u w:val="single"/>
        </w:rPr>
        <w:t>Swingline Loan Notice</w:t>
      </w:r>
      <w:r>
        <w:rPr>
          <w:rFonts w:ascii="Times New Roman" w:hAnsi="Times New Roman"/>
          <w:sz w:val="24"/>
        </w:rPr>
        <w:t xml:space="preserve">” shall mean a notice of a Swingline Advance pursuant to Section 2.17(b), which, if in writing, shall be substantially in the form of </w:t>
      </w:r>
      <w:r>
        <w:rPr>
          <w:rFonts w:ascii="Times New Roman" w:hAnsi="Times New Roman"/>
          <w:sz w:val="24"/>
          <w:u w:val="single"/>
        </w:rPr>
        <w:t>Exhibit G</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Swingline Sublimit</w:t>
      </w:r>
      <w:r>
        <w:rPr>
          <w:rFonts w:ascii="Times New Roman" w:hAnsi="Times New Roman"/>
          <w:sz w:val="24"/>
        </w:rPr>
        <w:t>” shall mean an amount equal to the lesser of (a)  $</w:t>
      </w:r>
      <w:r>
        <w:rPr>
          <w:rFonts w:ascii="Times New Roman" w:hAnsi="Times New Roman"/>
          <w:strike/>
          <w:color w:val="FF0000"/>
          <w:sz w:val="24"/>
        </w:rPr>
        <w:t>50,000,000</w:t>
      </w:r>
      <w:r>
        <w:rPr>
          <w:rFonts w:ascii="Times New Roman" w:hAnsi="Times New Roman"/>
          <w:color w:val="0000FF"/>
          <w:sz w:val="24"/>
          <w:u w:val="single"/>
          <w:bdr w:val="double" w:sz="2" w:space="1" w:color="000000"/>
        </w:rPr>
        <w:t>100,000,000</w:t>
      </w:r>
      <w:r>
        <w:rPr>
          <w:rFonts w:ascii="Times New Roman" w:hAnsi="Times New Roman"/>
          <w:color w:val="0000FF"/>
          <w:sz w:val="24"/>
        </w:rPr>
        <w:t xml:space="preserve"> </w:t>
      </w:r>
      <w:r>
        <w:rPr>
          <w:rFonts w:ascii="Times New Roman" w:hAnsi="Times New Roman"/>
          <w:sz w:val="24"/>
        </w:rPr>
        <w:t xml:space="preserve">and (b) the Available Amount. The Swingline Sublimit is part of, and not in addition to, the Revolving Loan Commitments. </w:t>
      </w:r>
    </w:p>
    <w:p>
      <w:pPr>
        <w:pStyle w:val="TextBody"/>
        <w:bidi w:val="0"/>
        <w:spacing w:before="240" w:after="0"/>
        <w:jc w:val="both"/>
        <w:rPr/>
      </w:pPr>
      <w:r>
        <w:rPr/>
        <w:t>“</w:t>
      </w:r>
      <w:r>
        <w:rPr>
          <w:rFonts w:ascii="Times New Roman" w:hAnsi="Times New Roman"/>
          <w:sz w:val="24"/>
          <w:u w:val="single"/>
        </w:rPr>
        <w:t>Syndication Agent</w:t>
      </w:r>
      <w:r>
        <w:rPr>
          <w:rFonts w:ascii="Times New Roman" w:hAnsi="Times New Roman"/>
          <w:sz w:val="24"/>
        </w:rPr>
        <w:t xml:space="preserve">” shall mean Mizuho Bank, Ltd.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Target” shall mean, with respect to a Certain Funds Acquisition, the Person or Persons (together with its or their Subsidiaries), or in the case of an asset acquisition, the assets, being acquired in such Certain Funds Acquisition.</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TARGET Day</w:t>
      </w:r>
      <w:r>
        <w:rPr>
          <w:rFonts w:ascii="Times New Roman" w:hAnsi="Times New Roman"/>
          <w:sz w:val="24"/>
        </w:rPr>
        <w:t xml:space="preserve">” shall mean any day on which T2 is open for the settlement of payments in Euro.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Target Financials” shall mean, with respect to a Certain Funds Acquisition, the financial statements of the Target for such Certain Funds Acquisition, consisting of (x) the most recent audited consolidated balance sheet of the Target and its Subsidiaries and the related consolidated statements of income, of stockholders’ equity and of cash flows and (y) any unaudited consolidated balance sheet of the Target and its Subsidiaries for each fiscal quarter ended after the date of the audited financial statements referred to in clause (x) and any related unaudited consolidated statements of income and of cash flows for such quarterly period and/or for the applicable fiscal year to date, to the extent delivered by the seller or the Target to the Company under the definitive agreement for such Certain Funds Acquisition.</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T2</w:t>
      </w:r>
      <w:r>
        <w:rPr>
          <w:rFonts w:ascii="Times New Roman" w:hAnsi="Times New Roman"/>
          <w:sz w:val="24"/>
        </w:rPr>
        <w:t xml:space="preserve">” shall mean the real time gross settlement system operated by the Eurosystem, or any successor system. </w:t>
      </w:r>
    </w:p>
    <w:p>
      <w:pPr>
        <w:pStyle w:val="TextBody"/>
        <w:bidi w:val="0"/>
        <w:spacing w:before="240" w:after="0"/>
        <w:jc w:val="both"/>
        <w:rPr/>
      </w:pPr>
      <w:r>
        <w:rPr/>
        <w:t>“</w:t>
      </w:r>
      <w:r>
        <w:rPr>
          <w:rFonts w:ascii="Times New Roman" w:hAnsi="Times New Roman"/>
          <w:sz w:val="24"/>
          <w:u w:val="single"/>
        </w:rPr>
        <w:t>Taxes</w:t>
      </w:r>
      <w:r>
        <w:rPr>
          <w:rFonts w:ascii="Times New Roman" w:hAnsi="Times New Roman"/>
          <w:sz w:val="24"/>
        </w:rPr>
        <w:t xml:space="preserve">” shall have the meaning assigned thereto in Section 10.3(b). </w:t>
      </w:r>
    </w:p>
    <w:p>
      <w:pPr>
        <w:pStyle w:val="TextBody"/>
        <w:bidi w:val="0"/>
        <w:spacing w:before="240" w:after="0"/>
        <w:jc w:val="both"/>
        <w:rPr/>
      </w:pPr>
      <w:r>
        <w:rPr/>
        <w:t>“</w:t>
      </w:r>
      <w:r>
        <w:rPr>
          <w:rFonts w:ascii="Times New Roman" w:hAnsi="Times New Roman"/>
          <w:sz w:val="24"/>
          <w:u w:val="single"/>
        </w:rPr>
        <w:t>Term CORRA</w:t>
      </w:r>
      <w:r>
        <w:rPr>
          <w:rFonts w:ascii="Times New Roman" w:hAnsi="Times New Roman"/>
          <w:sz w:val="24"/>
        </w:rPr>
        <w:t>” shall mean, for any calculation with respect to a Term Rate Advance denominated in Canadian Dollars, the Term CORRA Reference Rate for a tenor comparable to the applicable Interest Period on the day (such day, the “</w:t>
      </w:r>
      <w:r>
        <w:rPr>
          <w:rFonts w:ascii="Times New Roman" w:hAnsi="Times New Roman"/>
          <w:sz w:val="24"/>
          <w:u w:val="single"/>
        </w:rPr>
        <w:t>Periodic Term CORRA Determination Day</w:t>
      </w:r>
      <w:r>
        <w:rPr>
          <w:rFonts w:ascii="Times New Roman" w:hAnsi="Times New Roman"/>
          <w:sz w:val="24"/>
        </w:rPr>
        <w:t xml:space="preserve">”) that is two (2) Business Days prior to the first day of such Interest Period, as such rate is published by the Term CORRA Administrator;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w:t>
      </w:r>
    </w:p>
    <w:p>
      <w:pPr>
        <w:pStyle w:val="TextBody"/>
        <w:bidi w:val="0"/>
        <w:spacing w:before="240" w:after="0"/>
        <w:jc w:val="both"/>
        <w:rPr/>
      </w:pPr>
      <w:r>
        <w:rPr/>
        <w:t>“</w:t>
      </w:r>
      <w:r>
        <w:rPr>
          <w:rFonts w:ascii="Times New Roman" w:hAnsi="Times New Roman"/>
          <w:sz w:val="24"/>
          <w:u w:val="single"/>
        </w:rPr>
        <w:t>Term CORRA Adjustment</w:t>
      </w:r>
      <w:r>
        <w:rPr>
          <w:rFonts w:ascii="Times New Roman" w:hAnsi="Times New Roman"/>
          <w:sz w:val="24"/>
        </w:rPr>
        <w:t xml:space="preserve">” shall mean (i) 0.29547% (29.547 basis points) for an Interest Period of one-month’s duration and 0.32138% (32.138 basis points) for an Interest Period of three-months’ duration. </w:t>
      </w:r>
    </w:p>
    <w:p>
      <w:pPr>
        <w:pStyle w:val="TextBody"/>
        <w:bidi w:val="0"/>
        <w:spacing w:before="240" w:after="0"/>
        <w:jc w:val="both"/>
        <w:rPr/>
      </w:pPr>
      <w:r>
        <w:rPr/>
        <w:t>“</w:t>
      </w:r>
      <w:r>
        <w:rPr>
          <w:rFonts w:ascii="Times New Roman" w:hAnsi="Times New Roman"/>
          <w:sz w:val="24"/>
          <w:u w:val="single"/>
        </w:rPr>
        <w:t>Term CORRA Administrator</w:t>
      </w:r>
      <w:r>
        <w:rPr>
          <w:rFonts w:ascii="Times New Roman" w:hAnsi="Times New Roman"/>
          <w:sz w:val="24"/>
        </w:rPr>
        <w:t xml:space="preserve">” shall mean Candeal Benchmark Administration Services Inc., TSX Inc., or any successor administrator. </w:t>
      </w:r>
    </w:p>
    <w:p>
      <w:pPr>
        <w:pStyle w:val="TextBody"/>
        <w:bidi w:val="0"/>
        <w:spacing w:before="240" w:after="0"/>
        <w:jc w:val="both"/>
        <w:rPr/>
      </w:pPr>
      <w:r>
        <w:rPr/>
        <w:t>“</w:t>
      </w:r>
      <w:r>
        <w:rPr>
          <w:rFonts w:ascii="Times New Roman" w:hAnsi="Times New Roman"/>
          <w:sz w:val="24"/>
          <w:u w:val="single"/>
        </w:rPr>
        <w:t>Term CORRA Reference Rate</w:t>
      </w:r>
      <w:r>
        <w:rPr>
          <w:rFonts w:ascii="Times New Roman" w:hAnsi="Times New Roman"/>
          <w:sz w:val="24"/>
        </w:rPr>
        <w:t xml:space="preserve">” shall mean the forward-looking term rate based on CORRA. </w:t>
      </w:r>
    </w:p>
    <w:p>
      <w:pPr>
        <w:pStyle w:val="TextBody"/>
        <w:bidi w:val="0"/>
        <w:spacing w:before="240" w:after="0"/>
        <w:jc w:val="both"/>
        <w:rPr/>
      </w:pPr>
      <w:r>
        <w:rPr/>
        <w:t>“</w:t>
      </w:r>
      <w:r>
        <w:rPr>
          <w:rFonts w:ascii="Times New Roman" w:hAnsi="Times New Roman"/>
          <w:sz w:val="24"/>
          <w:u w:val="single"/>
        </w:rPr>
        <w:t>Term Rate</w:t>
      </w:r>
      <w:r>
        <w:rPr>
          <w:rFonts w:ascii="Times New Roman" w:hAnsi="Times New Roman"/>
          <w:sz w:val="24"/>
        </w:rPr>
        <w:t xml:space="preserve">” shall mean, for any Interest Period with respect to a Term Rate Advance, the rate per annum equal to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(a) with respect to any Advance denominated in Dollars, </w:t>
      </w:r>
      <w:r>
        <w:rPr>
          <w:rFonts w:ascii="Times New Roman" w:hAnsi="Times New Roman"/>
          <w:strike/>
          <w:color w:val="FF0000"/>
          <w:sz w:val="24"/>
        </w:rPr>
        <w:t xml:space="preserve">Adjusted </w:t>
      </w:r>
      <w:r>
        <w:rPr>
          <w:rFonts w:ascii="Times New Roman" w:hAnsi="Times New Roman"/>
          <w:sz w:val="24"/>
        </w:rPr>
        <w:t xml:space="preserve">Term SOFR; </w:t>
      </w:r>
    </w:p>
    <w:p>
      <w:pPr>
        <w:pStyle w:val="TextBody"/>
        <w:bidi w:val="0"/>
        <w:spacing w:before="240" w:after="0"/>
        <w:jc w:val="both"/>
        <w:rPr>
          <w:rFonts w:ascii="Times New Roman" w:hAnsi="Times New Roman"/>
          <w:sz w:val="24"/>
        </w:rPr>
      </w:pPr>
      <w:r>
        <w:rPr>
          <w:rFonts w:ascii="Times New Roman" w:hAnsi="Times New Roman"/>
          <w:sz w:val="24"/>
        </w:rPr>
        <w:t xml:space="preserve">(b) with respect to any Advance denominated in Euro, the EURIBOR Rate; </w:t>
      </w:r>
    </w:p>
    <w:p>
      <w:pPr>
        <w:pStyle w:val="TextBody"/>
        <w:bidi w:val="0"/>
        <w:spacing w:before="240" w:after="0"/>
        <w:jc w:val="both"/>
        <w:rPr>
          <w:rFonts w:ascii="Times New Roman" w:hAnsi="Times New Roman"/>
          <w:sz w:val="24"/>
        </w:rPr>
      </w:pPr>
      <w:r>
        <w:rPr>
          <w:rFonts w:ascii="Times New Roman" w:hAnsi="Times New Roman"/>
          <w:sz w:val="24"/>
        </w:rPr>
        <w:t xml:space="preserve">(c) with respect to any Advance denominated in Canadian Dollars, Adjusted Term CORRA; and </w:t>
      </w:r>
    </w:p>
    <w:p>
      <w:pPr>
        <w:pStyle w:val="TextBody"/>
        <w:bidi w:val="0"/>
        <w:spacing w:before="240" w:after="0"/>
        <w:jc w:val="both"/>
        <w:rPr>
          <w:rFonts w:ascii="Times New Roman" w:hAnsi="Times New Roman"/>
          <w:sz w:val="24"/>
        </w:rPr>
      </w:pPr>
      <w:r>
        <w:rPr>
          <w:rFonts w:ascii="Times New Roman" w:hAnsi="Times New Roman"/>
          <w:sz w:val="24"/>
        </w:rPr>
        <w:t xml:space="preserve">(d) with respect to Australian Dollars (i) the rate of interest per annum equal to the per annum rate of interest which appears as “BID” on the page designated as “BBSY” on the Reuters Monitor System (or such other comparable page as may, in the opinion of the Administrative Agent, replace such BBSY page on such system for the purpose of displaying the bank bill swap rates) with maturities comparable to such Interest Period at approximately 10:30 am (Sydney time) on the first day of such Interest Period or (ii) if such rate is not available at such time for any reason, the rate per annum determined by the Administrative Agent as the average of the buying rates quoted to Toronto Dominion’s London branch at or around 10:30 am (Sydney time) on the first day of such Interest Period for bills of exchange accepted by leading Australian banks which have a tenor equal to such Interest Period; </w:t>
      </w:r>
    </w:p>
    <w:p>
      <w:pPr>
        <w:pStyle w:val="TextBody"/>
        <w:bidi w:val="0"/>
        <w:spacing w:before="240" w:after="0"/>
        <w:jc w:val="both"/>
        <w:rPr>
          <w:rFonts w:ascii="Times New Roman" w:hAnsi="Times New Roman"/>
          <w:sz w:val="24"/>
        </w:rPr>
      </w:pPr>
      <w:r>
        <w:rPr>
          <w:rFonts w:ascii="Times New Roman" w:hAnsi="Times New Roman"/>
          <w:sz w:val="24"/>
        </w:rPr>
        <w:t xml:space="preserve">(e) with respect to any Advance denominated in Yen, the TIBOR Rate. </w:t>
      </w:r>
    </w:p>
    <w:p>
      <w:pPr>
        <w:pStyle w:val="TextBody"/>
        <w:bidi w:val="0"/>
        <w:spacing w:before="240" w:after="0"/>
        <w:jc w:val="both"/>
        <w:rPr>
          <w:rFonts w:ascii="Times New Roman" w:hAnsi="Times New Roman"/>
          <w:sz w:val="24"/>
        </w:rPr>
      </w:pPr>
      <w:r>
        <w:rPr>
          <w:rFonts w:ascii="Times New Roman" w:hAnsi="Times New Roman"/>
          <w:sz w:val="24"/>
          <w:u w:val="single"/>
        </w:rPr>
        <w:t>provided</w:t>
      </w:r>
      <w:r>
        <w:rPr>
          <w:rFonts w:ascii="Times New Roman" w:hAnsi="Times New Roman"/>
          <w:sz w:val="24"/>
        </w:rPr>
        <w:t xml:space="preserve"> that if the Term Rate shall be less than zero, such rate shall be deemed to be zero for the purposes of this Agreement. </w:t>
      </w:r>
    </w:p>
    <w:p>
      <w:pPr>
        <w:pStyle w:val="TextBody"/>
        <w:bidi w:val="0"/>
        <w:spacing w:before="240" w:after="0"/>
        <w:jc w:val="both"/>
        <w:rPr/>
      </w:pPr>
      <w:r>
        <w:rPr/>
        <w:t>“</w:t>
      </w:r>
      <w:r>
        <w:rPr>
          <w:rFonts w:ascii="Times New Roman" w:hAnsi="Times New Roman"/>
          <w:sz w:val="24"/>
          <w:u w:val="single"/>
        </w:rPr>
        <w:t>Term Rate Advance</w:t>
      </w:r>
      <w:r>
        <w:rPr>
          <w:rFonts w:ascii="Times New Roman" w:hAnsi="Times New Roman"/>
          <w:sz w:val="24"/>
        </w:rPr>
        <w:t xml:space="preserve">” shall mean an Advance which the Company or any Subsidiary Borrower requests to be made as, Converted to or Continued as a Term Rate Advance in accordance with the provisions of Section 2.2 hereof, and which shall be in a principal amount of at least the Dollar Equivalent of $5,000,000.00 and in an integral multiple of the Dollar Equivalent of $1,000,000.00. Revolving Loans made as a Term Rate Advances may be denominated in Dollars or an Alternative Currency. All Loans denominated in an Alternative Currency must be made as Term Rate Advances. </w:t>
      </w:r>
    </w:p>
    <w:p>
      <w:pPr>
        <w:pStyle w:val="TextBody"/>
        <w:bidi w:val="0"/>
        <w:spacing w:before="240" w:after="0"/>
        <w:jc w:val="both"/>
        <w:rPr/>
      </w:pPr>
      <w:r>
        <w:rPr/>
        <w:t>“</w:t>
      </w:r>
      <w:r>
        <w:rPr>
          <w:rFonts w:ascii="Times New Roman" w:hAnsi="Times New Roman"/>
          <w:sz w:val="24"/>
          <w:u w:val="single"/>
        </w:rPr>
        <w:t>Term Rate Basis</w:t>
      </w:r>
      <w:r>
        <w:rPr>
          <w:rFonts w:ascii="Times New Roman" w:hAnsi="Times New Roman"/>
          <w:sz w:val="24"/>
        </w:rPr>
        <w:t xml:space="preserve">” shall mean a simple per annum interest rate (rounded upward (other than with respect to </w:t>
      </w:r>
      <w:r>
        <w:rPr>
          <w:rFonts w:ascii="Times New Roman" w:hAnsi="Times New Roman"/>
          <w:strike/>
          <w:color w:val="FF0000"/>
          <w:sz w:val="24"/>
        </w:rPr>
        <w:t xml:space="preserve">Adjusted </w:t>
      </w:r>
      <w:r>
        <w:rPr>
          <w:rFonts w:ascii="Times New Roman" w:hAnsi="Times New Roman"/>
          <w:sz w:val="24"/>
        </w:rPr>
        <w:t xml:space="preserve">Term SOFR), if necessary, to the nearest one -hundredth (1/100th) of one percent (1%)) equal to the sum of (a) the Term Rate </w:t>
      </w:r>
      <w:r>
        <w:rPr>
          <w:rFonts w:ascii="Times New Roman" w:hAnsi="Times New Roman"/>
          <w:sz w:val="24"/>
          <w:u w:val="single"/>
        </w:rPr>
        <w:t>plus</w:t>
      </w:r>
      <w:r>
        <w:rPr>
          <w:rFonts w:ascii="Times New Roman" w:hAnsi="Times New Roman"/>
          <w:sz w:val="24"/>
        </w:rPr>
        <w:t xml:space="preserve"> (b) the Applicable Margin. The Term Rate Basis shall apply to Interest Periods of one (1), three (3), or six (6) months (other than with respect to Loans denominated in Canadian Dollars), and, once determined, shall remain unchanged during the applicable, if any, Interest Period, except for changes to reflect adjustments in the Applicable Margin as adjusted pursuant to Section 2.3(f) hereof. </w:t>
      </w:r>
    </w:p>
    <w:p>
      <w:pPr>
        <w:pStyle w:val="TextBody"/>
        <w:bidi w:val="0"/>
        <w:spacing w:before="240" w:after="0"/>
        <w:jc w:val="both"/>
        <w:rPr/>
      </w:pPr>
      <w:r>
        <w:rPr/>
        <w:t>“</w:t>
      </w:r>
      <w:r>
        <w:rPr>
          <w:rFonts w:ascii="Times New Roman" w:hAnsi="Times New Roman"/>
          <w:sz w:val="24"/>
          <w:u w:val="single"/>
        </w:rPr>
        <w:t>Term Rate Loan</w:t>
      </w:r>
      <w:r>
        <w:rPr>
          <w:rFonts w:ascii="Times New Roman" w:hAnsi="Times New Roman"/>
          <w:sz w:val="24"/>
        </w:rPr>
        <w:t xml:space="preserve">” shall mean a Loan that bears interest at a rate based on a Term Rate, other than pursuant to clause (c) of the definition of “Base Rate”. </w:t>
      </w:r>
    </w:p>
    <w:p>
      <w:pPr>
        <w:pStyle w:val="TextBody"/>
        <w:bidi w:val="0"/>
        <w:spacing w:before="240" w:after="0"/>
        <w:jc w:val="both"/>
        <w:rPr/>
      </w:pPr>
      <w:r>
        <w:rPr/>
        <w:t>“</w:t>
      </w:r>
      <w:r>
        <w:rPr>
          <w:rFonts w:ascii="Times New Roman" w:hAnsi="Times New Roman"/>
          <w:sz w:val="24"/>
          <w:u w:val="single"/>
        </w:rPr>
        <w:t>Term SOFR</w:t>
      </w:r>
      <w:r>
        <w:rPr>
          <w:rFonts w:ascii="Times New Roman" w:hAnsi="Times New Roman"/>
          <w:sz w:val="24"/>
        </w:rPr>
        <w:t xml:space="preserve">” shall mean, </w:t>
      </w:r>
    </w:p>
    <w:p>
      <w:pPr>
        <w:pStyle w:val="TextBody"/>
        <w:bidi w:val="0"/>
        <w:spacing w:before="240" w:after="0"/>
        <w:jc w:val="both"/>
        <w:rPr>
          <w:rFonts w:ascii="Times New Roman" w:hAnsi="Times New Roman"/>
          <w:sz w:val="24"/>
        </w:rPr>
      </w:pPr>
      <w:r>
        <w:rPr>
          <w:rFonts w:ascii="Times New Roman" w:hAnsi="Times New Roman"/>
          <w:sz w:val="24"/>
        </w:rPr>
        <w:t>(a) for any calculation with respect to a SOFR Loan, the Term SOFR Reference Rate for a tenor comparable to the applicable Interest Period on the day (such day, the “</w:t>
      </w:r>
      <w:r>
        <w:rPr>
          <w:rFonts w:ascii="Times New Roman" w:hAnsi="Times New Roman"/>
          <w:sz w:val="24"/>
          <w:u w:val="single"/>
        </w:rPr>
        <w:t>Periodic Term</w:t>
      </w:r>
      <w:r>
        <w:rPr>
          <w:rFonts w:ascii="Times New Roman" w:hAnsi="Times New Roman"/>
          <w:sz w:val="24"/>
        </w:rPr>
        <w:t xml:space="preserve"> </w:t>
      </w:r>
      <w:r>
        <w:rPr>
          <w:rFonts w:ascii="Times New Roman" w:hAnsi="Times New Roman"/>
          <w:sz w:val="24"/>
          <w:u w:val="single"/>
        </w:rPr>
        <w:t>SOFR Determination Day</w:t>
      </w:r>
      <w:r>
        <w:rPr>
          <w:rFonts w:ascii="Times New Roman" w:hAnsi="Times New Roman"/>
          <w:sz w:val="24"/>
        </w:rPr>
        <w:t xml:space="preserve">”) that is two (2) U.S. Government Securities Business Days prior to the first day of such Interest Period, as such rate is published by the Term SOFR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r>
        <w:rPr>
          <w:rFonts w:ascii="Times New Roman" w:hAnsi="Times New Roman"/>
          <w:color w:val="0000FF"/>
          <w:sz w:val="24"/>
          <w:u w:val="single"/>
          <w:bdr w:val="double" w:sz="2" w:space="1" w:color="000000"/>
        </w:rPr>
        <w:t>; provided, further, that if</w:t>
      </w:r>
      <w:r>
        <w:rPr>
          <w:rFonts w:ascii="Times New Roman" w:hAnsi="Times New Roman"/>
          <w:sz w:val="24"/>
        </w:rPr>
        <w:t xml:space="preserve"> </w:t>
      </w:r>
      <w:r>
        <w:rPr>
          <w:rFonts w:ascii="Times New Roman" w:hAnsi="Times New Roman"/>
          <w:color w:val="00C000"/>
          <w:sz w:val="24"/>
          <w:u w:val="single"/>
        </w:rPr>
        <w:t>Term SOFR as so determined</w:t>
      </w:r>
      <w:r>
        <w:rPr>
          <w:rFonts w:ascii="Times New Roman" w:hAnsi="Times New Roman"/>
          <w:sz w:val="24"/>
        </w:rPr>
        <w:t xml:space="preserve"> </w:t>
      </w:r>
      <w:r>
        <w:rPr>
          <w:rFonts w:ascii="Times New Roman" w:hAnsi="Times New Roman"/>
          <w:color w:val="0000FF"/>
          <w:sz w:val="24"/>
          <w:u w:val="single"/>
          <w:bdr w:val="double" w:sz="2" w:space="1" w:color="000000"/>
        </w:rPr>
        <w:t xml:space="preserve">is less than the Floor, Term </w:t>
      </w:r>
      <w:r>
        <w:rPr>
          <w:rFonts w:ascii="Times New Roman" w:hAnsi="Times New Roman"/>
          <w:color w:val="00C000"/>
          <w:sz w:val="24"/>
          <w:u w:val="single"/>
        </w:rPr>
        <w:t>SOFR shall be deemed to be the Floor</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(b) for any calculation with respect to a Base Rate Loan on any day, the Term SOFR Reference Rate for a tenor of one month on the day (such day, the “</w:t>
      </w:r>
      <w:r>
        <w:rPr>
          <w:rFonts w:ascii="Times New Roman" w:hAnsi="Times New Roman"/>
          <w:sz w:val="24"/>
          <w:u w:val="single"/>
        </w:rPr>
        <w:t>Base Rate Term SOFR</w:t>
      </w:r>
      <w:r>
        <w:rPr>
          <w:rFonts w:ascii="Times New Roman" w:hAnsi="Times New Roman"/>
          <w:sz w:val="24"/>
        </w:rPr>
        <w:t xml:space="preserve"> </w:t>
      </w:r>
      <w:r>
        <w:rPr>
          <w:rFonts w:ascii="Times New Roman" w:hAnsi="Times New Roman"/>
          <w:sz w:val="24"/>
          <w:u w:val="single"/>
        </w:rPr>
        <w:t>Determination Day</w:t>
      </w:r>
      <w:r>
        <w:rPr>
          <w:rFonts w:ascii="Times New Roman" w:hAnsi="Times New Roman"/>
          <w:sz w:val="24"/>
        </w:rPr>
        <w:t xml:space="preserve">”)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p>
    <w:p>
      <w:pPr>
        <w:pStyle w:val="TextBody"/>
        <w:bidi w:val="0"/>
        <w:spacing w:before="240" w:after="0"/>
        <w:jc w:val="both"/>
        <w:rPr/>
      </w:pPr>
      <w:r>
        <w:rPr>
          <w:strike/>
          <w:color w:val="FF0000"/>
        </w:rPr>
        <w:t>“</w:t>
      </w:r>
      <w:r>
        <w:rPr>
          <w:rFonts w:ascii="Times New Roman" w:hAnsi="Times New Roman"/>
          <w:strike/>
          <w:color w:val="FF0000"/>
          <w:sz w:val="24"/>
        </w:rPr>
        <w:t xml:space="preserve">Term SOFR Adjustment” shall mean a percentage equal to 0.10% per annum. </w:t>
      </w:r>
    </w:p>
    <w:p>
      <w:pPr>
        <w:pStyle w:val="TextBody"/>
        <w:bidi w:val="0"/>
        <w:spacing w:before="240" w:after="0"/>
        <w:jc w:val="both"/>
        <w:rPr/>
      </w:pPr>
      <w:r>
        <w:rPr/>
        <w:t>“</w:t>
      </w:r>
      <w:r>
        <w:rPr>
          <w:rFonts w:ascii="Times New Roman" w:hAnsi="Times New Roman"/>
          <w:sz w:val="24"/>
          <w:u w:val="single"/>
        </w:rPr>
        <w:t>Term SOFR Administrator</w:t>
      </w:r>
      <w:r>
        <w:rPr>
          <w:rFonts w:ascii="Times New Roman" w:hAnsi="Times New Roman"/>
          <w:sz w:val="24"/>
        </w:rPr>
        <w:t xml:space="preserve">” shall mean CME Group Benchmark Administration Limited (CBA) (or a successor administrator of the Term SOFR Reference Rate selected by the Administrative Agent in its reasonable discretion). </w:t>
      </w:r>
    </w:p>
    <w:p>
      <w:pPr>
        <w:pStyle w:val="TextBody"/>
        <w:bidi w:val="0"/>
        <w:spacing w:before="240" w:after="0"/>
        <w:jc w:val="both"/>
        <w:rPr/>
      </w:pPr>
      <w:r>
        <w:rPr/>
        <w:t>“</w:t>
      </w:r>
      <w:r>
        <w:rPr>
          <w:rFonts w:ascii="Times New Roman" w:hAnsi="Times New Roman"/>
          <w:sz w:val="24"/>
          <w:u w:val="single"/>
        </w:rPr>
        <w:t>Term SOFR Reference Rate</w:t>
      </w:r>
      <w:r>
        <w:rPr>
          <w:rFonts w:ascii="Times New Roman" w:hAnsi="Times New Roman"/>
          <w:sz w:val="24"/>
        </w:rPr>
        <w:t xml:space="preserve">” shall mean the forward-looking term rate based on SOFR. </w:t>
      </w:r>
    </w:p>
    <w:p>
      <w:pPr>
        <w:pStyle w:val="TextBody"/>
        <w:bidi w:val="0"/>
        <w:spacing w:before="240" w:after="0"/>
        <w:jc w:val="both"/>
        <w:rPr/>
      </w:pPr>
      <w:r>
        <w:rPr/>
        <w:t>“</w:t>
      </w:r>
      <w:r>
        <w:rPr>
          <w:rFonts w:ascii="Times New Roman" w:hAnsi="Times New Roman"/>
          <w:sz w:val="24"/>
          <w:u w:val="single"/>
        </w:rPr>
        <w:t>TIBOR Rate</w:t>
      </w:r>
      <w:r>
        <w:rPr>
          <w:rFonts w:ascii="Times New Roman" w:hAnsi="Times New Roman"/>
          <w:sz w:val="24"/>
        </w:rPr>
        <w:t xml:space="preserve">” shall mean, for any Interest Period for each Advance denominated in Yen, the TIBOR Screen Rate two Business Days prior to the commencement of such Interest Period. </w:t>
      </w:r>
    </w:p>
    <w:p>
      <w:pPr>
        <w:pStyle w:val="TextBody"/>
        <w:bidi w:val="0"/>
        <w:spacing w:before="240" w:after="0"/>
        <w:jc w:val="both"/>
        <w:rPr/>
      </w:pPr>
      <w:r>
        <w:rPr/>
        <w:t>“</w:t>
      </w:r>
      <w:r>
        <w:rPr>
          <w:rFonts w:ascii="Times New Roman" w:hAnsi="Times New Roman"/>
          <w:sz w:val="24"/>
          <w:u w:val="single"/>
        </w:rPr>
        <w:t>TIBOR Screen Rate</w:t>
      </w:r>
      <w:r>
        <w:rPr>
          <w:rFonts w:ascii="Times New Roman" w:hAnsi="Times New Roman"/>
          <w:sz w:val="24"/>
        </w:rPr>
        <w:t xml:space="preserve">” shall mean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 </w:t>
      </w:r>
    </w:p>
    <w:p>
      <w:pPr>
        <w:pStyle w:val="TextBody"/>
        <w:bidi w:val="0"/>
        <w:spacing w:before="240" w:after="0"/>
        <w:jc w:val="both"/>
        <w:rPr/>
      </w:pPr>
      <w:r>
        <w:rPr/>
        <w:t>“</w:t>
      </w:r>
      <w:r>
        <w:rPr>
          <w:rFonts w:ascii="Times New Roman" w:hAnsi="Times New Roman"/>
          <w:sz w:val="24"/>
          <w:u w:val="single"/>
        </w:rPr>
        <w:t>Toronto Dominion</w:t>
      </w:r>
      <w:r>
        <w:rPr>
          <w:rFonts w:ascii="Times New Roman" w:hAnsi="Times New Roman"/>
          <w:sz w:val="24"/>
        </w:rPr>
        <w:t xml:space="preserve">” shall mean Toronto Dominion (Texas) LLC or any of its affiliates that is a bank.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Total Debt</w:t>
      </w:r>
      <w:r>
        <w:rPr>
          <w:rFonts w:ascii="Times New Roman" w:hAnsi="Times New Roman"/>
          <w:sz w:val="24"/>
        </w:rPr>
        <w:t xml:space="preserve">” shall mean, for the Company and its Subsidiaries on a consolidated basis as of any date, (a) the sum (without duplication) of (i) the outstanding principal amount of the Loans as of such date, (ii) the aggregate amount of Indebtedness plus Attributable Debt of such Persons as of such date, (iii) the aggregate amount of all Guaranties by such Persons of Indebtedness as of such date, and (iv) to the extent payable by the Company, an amount equal to the aggregate exposure of the Company under any Hedge Agreements permitted pursuant to Section 7.1 hereof, as calculated on a marked to market basis as of the last day of the fiscal quarter being tested or the last day of the most recently completed fiscal quarter, as applicable less (b) the sum of all unrestricted domestic cash and Cash Equivalents of the Company and its Subsidiaries as of such date. </w:t>
      </w:r>
    </w:p>
    <w:p>
      <w:pPr>
        <w:pStyle w:val="TextBody"/>
        <w:bidi w:val="0"/>
        <w:spacing w:before="240" w:after="0"/>
        <w:jc w:val="both"/>
        <w:rPr/>
      </w:pPr>
      <w:r>
        <w:rPr/>
        <w:t>“</w:t>
      </w:r>
      <w:r>
        <w:rPr>
          <w:rFonts w:ascii="Times New Roman" w:hAnsi="Times New Roman"/>
          <w:sz w:val="24"/>
          <w:u w:val="single"/>
        </w:rPr>
        <w:t>UCP</w:t>
      </w:r>
      <w:r>
        <w:rPr>
          <w:rFonts w:ascii="Times New Roman" w:hAnsi="Times New Roman"/>
          <w:sz w:val="24"/>
        </w:rPr>
        <w:t xml:space="preserve">” shall mean, with respect to any Letter of Credit, the Uniform Customs and Practice for Documentary Credits, International Chamber of Commerce Publication No. 600 (or such later version thereof as may be in effect at the time of issuance of such Letter of Credit). </w:t>
      </w:r>
    </w:p>
    <w:p>
      <w:pPr>
        <w:pStyle w:val="TextBody"/>
        <w:bidi w:val="0"/>
        <w:spacing w:before="240" w:after="0"/>
        <w:jc w:val="both"/>
        <w:rPr/>
      </w:pPr>
      <w:r>
        <w:rPr/>
        <w:t>“</w:t>
      </w:r>
      <w:r>
        <w:rPr>
          <w:rFonts w:ascii="Times New Roman" w:hAnsi="Times New Roman"/>
          <w:sz w:val="24"/>
          <w:u w:val="single"/>
        </w:rPr>
        <w:t>UK Financial Institution</w:t>
      </w:r>
      <w:r>
        <w:rPr>
          <w:rFonts w:ascii="Times New Roman" w:hAnsi="Times New Roman"/>
          <w:sz w:val="24"/>
        </w:rPr>
        <w:t xml:space="preserve">” shall mean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both"/>
        <w:rPr/>
      </w:pPr>
      <w:r>
        <w:rPr/>
        <w:t>“</w:t>
      </w:r>
      <w:r>
        <w:rPr>
          <w:rFonts w:ascii="Times New Roman" w:hAnsi="Times New Roman"/>
          <w:sz w:val="24"/>
          <w:u w:val="single"/>
        </w:rPr>
        <w:t>UK Resolution Authority</w:t>
      </w:r>
      <w:r>
        <w:rPr>
          <w:rFonts w:ascii="Times New Roman" w:hAnsi="Times New Roman"/>
          <w:sz w:val="24"/>
        </w:rPr>
        <w:t xml:space="preserve">” shall mean the Bank of England or any other public administrative authority having responsibility for the resolution of any UK Financial Institution. </w:t>
      </w:r>
    </w:p>
    <w:p>
      <w:pPr>
        <w:pStyle w:val="TextBody"/>
        <w:bidi w:val="0"/>
        <w:spacing w:before="240" w:after="0"/>
        <w:jc w:val="both"/>
        <w:rPr/>
      </w:pPr>
      <w:r>
        <w:rPr/>
        <w:t>“</w:t>
      </w:r>
      <w:r>
        <w:rPr>
          <w:rFonts w:ascii="Times New Roman" w:hAnsi="Times New Roman"/>
          <w:sz w:val="24"/>
          <w:u w:val="single"/>
        </w:rPr>
        <w:t>U.S. Government Securities Business Day</w:t>
      </w:r>
      <w:r>
        <w:rPr>
          <w:rFonts w:ascii="Times New Roman" w:hAnsi="Times New Roman"/>
          <w:sz w:val="24"/>
        </w:rPr>
        <w:t xml:space="preserve">”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both"/>
        <w:rPr/>
      </w:pPr>
      <w:r>
        <w:rPr/>
        <w:t>“</w:t>
      </w:r>
      <w:r>
        <w:rPr>
          <w:rFonts w:ascii="Times New Roman" w:hAnsi="Times New Roman"/>
          <w:sz w:val="24"/>
          <w:u w:val="single"/>
        </w:rPr>
        <w:t>U.S. Person</w:t>
      </w:r>
      <w:r>
        <w:rPr>
          <w:rFonts w:ascii="Times New Roman" w:hAnsi="Times New Roman"/>
          <w:sz w:val="24"/>
        </w:rPr>
        <w:t xml:space="preserve">” shall mean a citizen or resident of the United States of America, a corporation, partnership or other entity created or organized in or under any laws of the United States of America, or any estate or trust that is subject to Federal income taxation regardless of the source of its income. </w:t>
      </w:r>
    </w:p>
    <w:p>
      <w:pPr>
        <w:pStyle w:val="TextBody"/>
        <w:bidi w:val="0"/>
        <w:spacing w:before="240" w:after="0"/>
        <w:jc w:val="both"/>
        <w:rPr/>
      </w:pPr>
      <w:r>
        <w:rPr/>
        <w:t>“</w:t>
      </w:r>
      <w:r>
        <w:rPr>
          <w:rFonts w:ascii="Times New Roman" w:hAnsi="Times New Roman"/>
          <w:sz w:val="24"/>
          <w:u w:val="single"/>
        </w:rPr>
        <w:t>Unadjusted Benchmark Replacement</w:t>
      </w:r>
      <w:r>
        <w:rPr>
          <w:rFonts w:ascii="Times New Roman" w:hAnsi="Times New Roman"/>
          <w:sz w:val="24"/>
        </w:rPr>
        <w:t xml:space="preserve">” shall mean the applicable Benchmark Replacement excluding the related Benchmark Replacement Adjustment. </w:t>
      </w:r>
    </w:p>
    <w:p>
      <w:pPr>
        <w:pStyle w:val="TextBody"/>
        <w:bidi w:val="0"/>
        <w:spacing w:before="240" w:after="0"/>
        <w:jc w:val="both"/>
        <w:rPr/>
      </w:pPr>
      <w:r>
        <w:rPr/>
        <w:t>“</w:t>
      </w:r>
      <w:r>
        <w:rPr>
          <w:rFonts w:ascii="Times New Roman" w:hAnsi="Times New Roman"/>
          <w:sz w:val="24"/>
          <w:u w:val="single"/>
        </w:rPr>
        <w:t>Undisclosed Administration</w:t>
      </w:r>
      <w:r>
        <w:rPr>
          <w:rFonts w:ascii="Times New Roman" w:hAnsi="Times New Roman"/>
          <w:sz w:val="24"/>
        </w:rPr>
        <w:t xml:space="preserve">” shall mean, in relation to a Lender or its direct or indirect parent company that is a solvent person,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240" w:after="0"/>
        <w:jc w:val="both"/>
        <w:rPr/>
      </w:pPr>
      <w:r>
        <w:rPr/>
        <w:t>“</w:t>
      </w:r>
      <w:r>
        <w:rPr>
          <w:rFonts w:ascii="Times New Roman" w:hAnsi="Times New Roman"/>
          <w:sz w:val="24"/>
          <w:u w:val="single"/>
        </w:rPr>
        <w:t>Unreimbursed Amount</w:t>
      </w:r>
      <w:r>
        <w:rPr>
          <w:rFonts w:ascii="Times New Roman" w:hAnsi="Times New Roman"/>
          <w:sz w:val="24"/>
        </w:rPr>
        <w:t xml:space="preserve">” shall have the meaning specified in </w:t>
      </w:r>
      <w:r>
        <w:rPr>
          <w:rFonts w:ascii="Times New Roman" w:hAnsi="Times New Roman"/>
          <w:sz w:val="24"/>
          <w:u w:val="single"/>
        </w:rPr>
        <w:t>Section 2.13(c)(i)</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Unrestricted Subsidiary</w:t>
      </w:r>
      <w:r>
        <w:rPr>
          <w:rFonts w:ascii="Times New Roman" w:hAnsi="Times New Roman"/>
          <w:sz w:val="24"/>
        </w:rPr>
        <w:t xml:space="preserve">” shall mean any Subsidiary of the Company that is hereafter designated by the Company as an Unrestricted Subsidiary by notice to the Administrative Agent and the Lenders; </w:t>
      </w:r>
      <w:r>
        <w:rPr>
          <w:rFonts w:ascii="Times New Roman" w:hAnsi="Times New Roman"/>
          <w:sz w:val="24"/>
          <w:u w:val="single"/>
        </w:rPr>
        <w:t>provided</w:t>
      </w:r>
      <w:r>
        <w:rPr>
          <w:rFonts w:ascii="Times New Roman" w:hAnsi="Times New Roman"/>
          <w:sz w:val="24"/>
        </w:rPr>
        <w:t xml:space="preserve"> that (a) no Material Subsidiary shall be designated as an Unrestricted Subsidiary without the prior written consent of the Majority Lenders, (b) the aggregate Adjusted EBITDA of the Unrestricted Subsidiaries (without duplication) shall not exceed 20% of consolidated Adjusted EBITDA of the Company and its subsidiaries, and (c) no Subsidiary of the Company may be designated as an Unrestricted Subsidiary after the occurrence and during the continuance of a Default or an Event of Default;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the designation by the Company of a Subsidiary as an Unrestricted Subsidiary may be revoked by the Company at any time by notice to the Administrative Agent and the Lenders so long as no Default would be caused thereby, from and after which time such Subsidiary will no longer be an Unrestricted Subsidiary. </w:t>
      </w:r>
    </w:p>
    <w:p>
      <w:pPr>
        <w:pStyle w:val="TextBody"/>
        <w:bidi w:val="0"/>
        <w:spacing w:before="240" w:after="0"/>
        <w:jc w:val="both"/>
        <w:rPr/>
      </w:pPr>
      <w:r>
        <w:rPr/>
        <w:t>“</w:t>
      </w:r>
      <w:r>
        <w:rPr>
          <w:rFonts w:ascii="Times New Roman" w:hAnsi="Times New Roman"/>
          <w:sz w:val="24"/>
          <w:u w:val="single"/>
        </w:rPr>
        <w:t>Write-Down and Conversion Powers</w:t>
      </w:r>
      <w:r>
        <w:rPr>
          <w:rFonts w:ascii="Times New Roman" w:hAnsi="Times New Roman"/>
          <w:sz w:val="24"/>
        </w:rPr>
        <w:t xml:space="preserve">”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both"/>
        <w:rPr/>
      </w:pPr>
      <w:r>
        <w:rPr/>
        <w:t>“</w:t>
      </w:r>
      <w:r>
        <w:rPr>
          <w:rFonts w:ascii="Times New Roman" w:hAnsi="Times New Roman"/>
          <w:sz w:val="24"/>
          <w:u w:val="single"/>
        </w:rPr>
        <w:t>Yen</w:t>
      </w:r>
      <w:r>
        <w:rPr>
          <w:rFonts w:ascii="Times New Roman" w:hAnsi="Times New Roman"/>
          <w:sz w:val="24"/>
        </w:rPr>
        <w:t>” and “</w:t>
      </w:r>
      <w:r>
        <w:rPr>
          <w:rFonts w:ascii="Times New Roman" w:hAnsi="Times New Roman"/>
          <w:sz w:val="24"/>
          <w:u w:val="single"/>
        </w:rPr>
        <w:t>¥</w:t>
      </w:r>
      <w:r>
        <w:rPr>
          <w:rFonts w:ascii="Times New Roman" w:hAnsi="Times New Roman"/>
          <w:sz w:val="24"/>
        </w:rPr>
        <w:t xml:space="preserve">” shall mean the lawful currency of Japan. </w:t>
      </w:r>
    </w:p>
    <w:p>
      <w:pPr>
        <w:pStyle w:val="TextBody"/>
        <w:bidi w:val="0"/>
        <w:spacing w:before="240" w:after="0"/>
        <w:jc w:val="both"/>
        <w:rPr>
          <w:rFonts w:ascii="Times New Roman" w:hAnsi="Times New Roman"/>
          <w:sz w:val="24"/>
        </w:rPr>
      </w:pPr>
      <w:r>
        <w:rPr>
          <w:rFonts w:ascii="Times New Roman" w:hAnsi="Times New Roman"/>
          <w:sz w:val="24"/>
        </w:rPr>
        <w:t>Section 1.2 </w:t>
      </w:r>
      <w:r>
        <w:rPr>
          <w:rFonts w:ascii="Times New Roman" w:hAnsi="Times New Roman"/>
          <w:sz w:val="24"/>
          <w:u w:val="single"/>
        </w:rPr>
        <w:t>Interpretation</w:t>
      </w:r>
      <w:r>
        <w:rPr>
          <w:rFonts w:ascii="Times New Roman" w:hAnsi="Times New Roman"/>
          <w:sz w:val="24"/>
        </w:rPr>
        <w:t xml:space="preserve">. Except where otherwise specifically restricted, reference to a party to this Agreement or any other Loan Document includes that party and its successors and assigns. All capitalized terms used herein which are defined in Article 9 of the Uniform Commercial Code in effect in the State of New York or other applicable jurisdiction on the date hereof and which are not otherwise defined herein shall have the same meanings herein as set forth therein. Whenever any agreement, promissory note or other instrument or document is defined in this Agreement, such definition shall be deemed to mean and include, from and after the date of any amendment, restatement, supplement, confirmation or modification thereof, such agreement, promissory note or other instrument or document as so amended, restated, supplemented, confirmed or modified, unless stated to be as in effect on a particular date. All terms defined in this Agreement in the singular shall have comparable meanings when used in the plural and vice versa. The words “hereof,” “herein” and “hereunder” and words of similar import when used in this Agreement shall refer to this Agreement as a whole and not to any particular provision of this Agreement. </w:t>
      </w:r>
    </w:p>
    <w:p>
      <w:pPr>
        <w:pStyle w:val="TextBody"/>
        <w:bidi w:val="0"/>
        <w:spacing w:before="240" w:after="0"/>
        <w:jc w:val="both"/>
        <w:rPr>
          <w:rFonts w:ascii="Times New Roman" w:hAnsi="Times New Roman"/>
          <w:sz w:val="24"/>
        </w:rPr>
      </w:pPr>
      <w:r>
        <w:rPr>
          <w:rFonts w:ascii="Times New Roman" w:hAnsi="Times New Roman"/>
          <w:sz w:val="24"/>
        </w:rPr>
        <w:t>Section 1.3 </w:t>
      </w:r>
      <w:r>
        <w:rPr>
          <w:rFonts w:ascii="Times New Roman" w:hAnsi="Times New Roman"/>
          <w:sz w:val="24"/>
          <w:u w:val="single"/>
        </w:rPr>
        <w:t>Dutch Terms</w:t>
      </w:r>
      <w:r>
        <w:rPr>
          <w:rFonts w:ascii="Times New Roman" w:hAnsi="Times New Roman"/>
          <w:color w:val="0000FF"/>
          <w:sz w:val="24"/>
          <w:u w:val="single"/>
          <w:bdr w:val="double" w:sz="2" w:space="1" w:color="000000"/>
        </w:rPr>
        <w:t>. In this Agreement, where it relates to a Dutch entity, a reference to:</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color w:val="0000FF"/>
          <w:sz w:val="24"/>
          <w:u w:val="single"/>
          <w:bdr w:val="double" w:sz="2" w:space="1" w:color="000000"/>
        </w:rPr>
        <w:t>The Netherlands means the European part of the Kingdom of the Netherlands and Dutch means in or of the Netherlands</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(b) </w:t>
      </w:r>
      <w:r>
        <w:rPr>
          <w:rFonts w:ascii="Times New Roman" w:hAnsi="Times New Roman"/>
          <w:color w:val="0000FF"/>
          <w:sz w:val="24"/>
          <w:u w:val="single"/>
          <w:bdr w:val="double" w:sz="2" w:space="1" w:color="000000"/>
        </w:rPr>
        <w:t>Constitutional Documents means the articles of association (</w:t>
      </w:r>
      <w:r>
        <w:rPr>
          <w:rFonts w:ascii="Times New Roman" w:hAnsi="Times New Roman"/>
          <w:i/>
          <w:color w:val="0000FF"/>
          <w:sz w:val="24"/>
          <w:u w:val="single"/>
          <w:bdr w:val="double" w:sz="2" w:space="1" w:color="000000"/>
        </w:rPr>
        <w:t>statuten</w:t>
      </w:r>
      <w:r>
        <w:rPr>
          <w:rFonts w:ascii="Times New Roman" w:hAnsi="Times New Roman"/>
          <w:color w:val="0000FF"/>
          <w:sz w:val="24"/>
          <w:u w:val="single"/>
          <w:bdr w:val="double" w:sz="2" w:space="1" w:color="000000"/>
        </w:rPr>
        <w:t>) and deed of incorporation (</w:t>
      </w:r>
      <w:r>
        <w:rPr>
          <w:rFonts w:ascii="Times New Roman" w:hAnsi="Times New Roman"/>
          <w:i/>
          <w:color w:val="0000FF"/>
          <w:sz w:val="24"/>
          <w:u w:val="single"/>
          <w:bdr w:val="double" w:sz="2" w:space="1" w:color="000000"/>
        </w:rPr>
        <w:t>akte van oprichting</w:t>
      </w:r>
      <w:r>
        <w:rPr>
          <w:rFonts w:ascii="Times New Roman" w:hAnsi="Times New Roman"/>
          <w:color w:val="0000FF"/>
          <w:sz w:val="24"/>
          <w:u w:val="single"/>
          <w:bdr w:val="double" w:sz="2" w:space="1" w:color="000000"/>
        </w:rPr>
        <w:t>).</w:t>
      </w:r>
      <w:r>
        <w:rPr>
          <w:rFonts w:ascii="Times New Roman" w:hAnsi="Times New Roman"/>
          <w:color w:val="0000FF"/>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color w:val="0000FF"/>
          <w:sz w:val="24"/>
          <w:u w:val="single"/>
          <w:bdr w:val="double" w:sz="2" w:space="1" w:color="000000"/>
        </w:rPr>
        <w:t>Works Council means each works council (</w:t>
      </w:r>
      <w:r>
        <w:rPr>
          <w:rFonts w:ascii="Times New Roman" w:hAnsi="Times New Roman"/>
          <w:i/>
          <w:color w:val="0000FF"/>
          <w:sz w:val="24"/>
          <w:u w:val="single"/>
          <w:bdr w:val="double" w:sz="2" w:space="1" w:color="000000"/>
        </w:rPr>
        <w:t>ondernemingsraad</w:t>
      </w:r>
      <w:r>
        <w:rPr>
          <w:rFonts w:ascii="Times New Roman" w:hAnsi="Times New Roman"/>
          <w:color w:val="0000FF"/>
          <w:sz w:val="24"/>
          <w:u w:val="single"/>
          <w:bdr w:val="double" w:sz="2" w:space="1" w:color="000000"/>
        </w:rPr>
        <w:t>) or central or group works council (</w:t>
      </w:r>
      <w:r>
        <w:rPr>
          <w:rFonts w:ascii="Times New Roman" w:hAnsi="Times New Roman"/>
          <w:i/>
          <w:color w:val="0000FF"/>
          <w:sz w:val="24"/>
          <w:u w:val="single"/>
          <w:bdr w:val="double" w:sz="2" w:space="1" w:color="000000"/>
        </w:rPr>
        <w:t>centrale of groeps ondernemingsraad</w:t>
      </w:r>
      <w:r>
        <w:rPr>
          <w:rFonts w:ascii="Times New Roman" w:hAnsi="Times New Roman"/>
          <w:color w:val="0000FF"/>
          <w:sz w:val="24"/>
          <w:u w:val="single"/>
          <w:bdr w:val="double" w:sz="2" w:space="1" w:color="000000"/>
        </w:rPr>
        <w:t>) having jurisdiction over that person.</w:t>
      </w:r>
      <w:r>
        <w:rPr>
          <w:rFonts w:ascii="Times New Roman" w:hAnsi="Times New Roman"/>
          <w:color w:val="0000FF"/>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color w:val="0000FF"/>
          <w:sz w:val="24"/>
          <w:u w:val="single"/>
          <w:bdr w:val="double" w:sz="2" w:space="1" w:color="000000"/>
        </w:rPr>
        <w:t>Any necessary action to authorize includes without limitation any action required to comply with the Dutch Works Council Act (</w:t>
      </w:r>
      <w:r>
        <w:rPr>
          <w:rFonts w:ascii="Times New Roman" w:hAnsi="Times New Roman"/>
          <w:i/>
          <w:color w:val="0000FF"/>
          <w:sz w:val="24"/>
          <w:u w:val="single"/>
          <w:bdr w:val="double" w:sz="2" w:space="1" w:color="000000"/>
        </w:rPr>
        <w:t>Wet op de Ondernemingsraden</w:t>
      </w:r>
      <w:r>
        <w:rPr>
          <w:rFonts w:ascii="Times New Roman" w:hAnsi="Times New Roman"/>
          <w:color w:val="0000FF"/>
          <w:sz w:val="24"/>
          <w:u w:val="single"/>
          <w:bdr w:val="double" w:sz="2" w:space="1" w:color="000000"/>
        </w:rPr>
        <w:t>) and obtaining unconditional positive advice (</w:t>
      </w:r>
      <w:r>
        <w:rPr>
          <w:rFonts w:ascii="Times New Roman" w:hAnsi="Times New Roman"/>
          <w:i/>
          <w:color w:val="0000FF"/>
          <w:sz w:val="24"/>
          <w:u w:val="single"/>
          <w:bdr w:val="double" w:sz="2" w:space="1" w:color="000000"/>
        </w:rPr>
        <w:t>advies</w:t>
      </w:r>
      <w:r>
        <w:rPr>
          <w:rFonts w:ascii="Times New Roman" w:hAnsi="Times New Roman"/>
          <w:color w:val="0000FF"/>
          <w:sz w:val="24"/>
          <w:u w:val="single"/>
          <w:bdr w:val="double" w:sz="2" w:space="1" w:color="000000"/>
        </w:rPr>
        <w:t>) from each competent works council.</w:t>
      </w:r>
      <w:r>
        <w:rPr>
          <w:rFonts w:ascii="Times New Roman" w:hAnsi="Times New Roman"/>
          <w:color w:val="0000FF"/>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color w:val="0000FF"/>
          <w:sz w:val="24"/>
          <w:u w:val="single"/>
          <w:bdr w:val="double" w:sz="2" w:space="1" w:color="000000"/>
        </w:rPr>
        <w:t>A security interest includes any mortgage (</w:t>
      </w:r>
      <w:r>
        <w:rPr>
          <w:rFonts w:ascii="Times New Roman" w:hAnsi="Times New Roman"/>
          <w:i/>
          <w:color w:val="0000FF"/>
          <w:sz w:val="24"/>
          <w:u w:val="single"/>
          <w:bdr w:val="double" w:sz="2" w:space="1" w:color="000000"/>
        </w:rPr>
        <w:t>hypotheek</w:t>
      </w:r>
      <w:r>
        <w:rPr>
          <w:rFonts w:ascii="Times New Roman" w:hAnsi="Times New Roman"/>
          <w:color w:val="0000FF"/>
          <w:sz w:val="24"/>
          <w:u w:val="single"/>
          <w:bdr w:val="double" w:sz="2" w:space="1" w:color="000000"/>
        </w:rPr>
        <w:t>), pledge (</w:t>
      </w:r>
      <w:r>
        <w:rPr>
          <w:rFonts w:ascii="Times New Roman" w:hAnsi="Times New Roman"/>
          <w:i/>
          <w:color w:val="0000FF"/>
          <w:sz w:val="24"/>
          <w:u w:val="single"/>
          <w:bdr w:val="double" w:sz="2" w:space="1" w:color="000000"/>
        </w:rPr>
        <w:t>pandrecht</w:t>
      </w:r>
      <w:r>
        <w:rPr>
          <w:rFonts w:ascii="Times New Roman" w:hAnsi="Times New Roman"/>
          <w:color w:val="0000FF"/>
          <w:sz w:val="24"/>
          <w:u w:val="single"/>
          <w:bdr w:val="double" w:sz="2" w:space="1" w:color="000000"/>
        </w:rPr>
        <w:t>), retention of title arrangement (</w:t>
      </w:r>
      <w:r>
        <w:rPr>
          <w:rFonts w:ascii="Times New Roman" w:hAnsi="Times New Roman"/>
          <w:i/>
          <w:color w:val="0000FF"/>
          <w:sz w:val="24"/>
          <w:u w:val="single"/>
          <w:bdr w:val="double" w:sz="2" w:space="1" w:color="000000"/>
        </w:rPr>
        <w:t>eigendomsvoorbehoud</w:t>
      </w:r>
      <w:r>
        <w:rPr>
          <w:rFonts w:ascii="Times New Roman" w:hAnsi="Times New Roman"/>
          <w:color w:val="0000FF"/>
          <w:sz w:val="24"/>
          <w:u w:val="single"/>
          <w:bdr w:val="double" w:sz="2" w:space="1" w:color="000000"/>
        </w:rPr>
        <w:t>), right of retention (</w:t>
      </w:r>
      <w:r>
        <w:rPr>
          <w:rFonts w:ascii="Times New Roman" w:hAnsi="Times New Roman"/>
          <w:i/>
          <w:color w:val="0000FF"/>
          <w:sz w:val="24"/>
          <w:u w:val="single"/>
          <w:bdr w:val="double" w:sz="2" w:space="1" w:color="000000"/>
        </w:rPr>
        <w:t>recht van retentie</w:t>
      </w:r>
      <w:r>
        <w:rPr>
          <w:rFonts w:ascii="Times New Roman" w:hAnsi="Times New Roman"/>
          <w:color w:val="0000FF"/>
          <w:sz w:val="24"/>
          <w:u w:val="single"/>
          <w:bdr w:val="double" w:sz="2" w:space="1" w:color="000000"/>
        </w:rPr>
        <w:t>), right to reclaim goods (</w:t>
      </w:r>
      <w:r>
        <w:rPr>
          <w:rFonts w:ascii="Times New Roman" w:hAnsi="Times New Roman"/>
          <w:i/>
          <w:color w:val="0000FF"/>
          <w:sz w:val="24"/>
          <w:u w:val="single"/>
          <w:bdr w:val="double" w:sz="2" w:space="1" w:color="000000"/>
        </w:rPr>
        <w:t>recht van reclame</w:t>
      </w:r>
      <w:r>
        <w:rPr>
          <w:rFonts w:ascii="Times New Roman" w:hAnsi="Times New Roman"/>
          <w:color w:val="0000FF"/>
          <w:sz w:val="24"/>
          <w:u w:val="single"/>
          <w:bdr w:val="double" w:sz="2" w:space="1" w:color="000000"/>
        </w:rPr>
        <w:t>) and any right in rem (</w:t>
      </w:r>
      <w:r>
        <w:rPr>
          <w:rFonts w:ascii="Times New Roman" w:hAnsi="Times New Roman"/>
          <w:i/>
          <w:color w:val="0000FF"/>
          <w:sz w:val="24"/>
          <w:u w:val="single"/>
          <w:bdr w:val="double" w:sz="2" w:space="1" w:color="000000"/>
        </w:rPr>
        <w:t>beperkt recht</w:t>
      </w:r>
      <w:r>
        <w:rPr>
          <w:rFonts w:ascii="Times New Roman" w:hAnsi="Times New Roman"/>
          <w:color w:val="0000FF"/>
          <w:sz w:val="24"/>
          <w:u w:val="single"/>
          <w:bdr w:val="double" w:sz="2" w:space="1" w:color="000000"/>
        </w:rPr>
        <w:t>) created for the purpose of granting security (</w:t>
      </w:r>
      <w:r>
        <w:rPr>
          <w:rFonts w:ascii="Times New Roman" w:hAnsi="Times New Roman"/>
          <w:i/>
          <w:color w:val="0000FF"/>
          <w:sz w:val="24"/>
          <w:u w:val="single"/>
          <w:bdr w:val="double" w:sz="2" w:space="1" w:color="000000"/>
        </w:rPr>
        <w:t>goederenrechtelijke zekerheid</w:t>
      </w:r>
      <w:r>
        <w:rPr>
          <w:rFonts w:ascii="Times New Roman" w:hAnsi="Times New Roman"/>
          <w:color w:val="0000FF"/>
          <w:sz w:val="24"/>
          <w:u w:val="single"/>
          <w:bdr w:val="double" w:sz="2" w:space="1" w:color="000000"/>
        </w:rPr>
        <w:t>).</w:t>
      </w:r>
      <w:r>
        <w:rPr>
          <w:rFonts w:ascii="Times New Roman" w:hAnsi="Times New Roman"/>
          <w:color w:val="0000FF"/>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color w:val="0000FF"/>
          <w:sz w:val="24"/>
          <w:u w:val="single"/>
          <w:bdr w:val="double" w:sz="2" w:space="1" w:color="000000"/>
        </w:rPr>
        <w:t>A decree or order for relief includes a Dutch entity being declared bankrupt (</w:t>
      </w:r>
      <w:r>
        <w:rPr>
          <w:rFonts w:ascii="Times New Roman" w:hAnsi="Times New Roman"/>
          <w:i/>
          <w:color w:val="0000FF"/>
          <w:sz w:val="24"/>
          <w:u w:val="single"/>
          <w:bdr w:val="double" w:sz="2" w:space="1" w:color="000000"/>
        </w:rPr>
        <w:t>failliet verklaard</w:t>
      </w:r>
      <w:r>
        <w:rPr>
          <w:rFonts w:ascii="Times New Roman" w:hAnsi="Times New Roman"/>
          <w:color w:val="0000FF"/>
          <w:sz w:val="24"/>
          <w:u w:val="single"/>
          <w:bdr w:val="double" w:sz="2" w:space="1" w:color="000000"/>
        </w:rPr>
        <w:t>), or a suspension of payments (</w:t>
      </w:r>
      <w:r>
        <w:rPr>
          <w:rFonts w:ascii="Times New Roman" w:hAnsi="Times New Roman"/>
          <w:i/>
          <w:color w:val="0000FF"/>
          <w:sz w:val="24"/>
          <w:u w:val="single"/>
          <w:bdr w:val="double" w:sz="2" w:space="1" w:color="000000"/>
        </w:rPr>
        <w:t>surseance van betaling</w:t>
      </w:r>
      <w:r>
        <w:rPr>
          <w:rFonts w:ascii="Times New Roman" w:hAnsi="Times New Roman"/>
          <w:color w:val="0000FF"/>
          <w:sz w:val="24"/>
          <w:u w:val="single"/>
          <w:bdr w:val="double" w:sz="2" w:space="1" w:color="000000"/>
        </w:rPr>
        <w:t>). A receiver, liquidator, assignee, trustee, custodian or a sequestrator includes a curator, a bewindvoerder, or a vereffenaar. The winding-up or liquidation includes a Dutch entity being dissolved (</w:t>
      </w:r>
      <w:r>
        <w:rPr>
          <w:rFonts w:ascii="Times New Roman" w:hAnsi="Times New Roman"/>
          <w:i/>
          <w:color w:val="0000FF"/>
          <w:sz w:val="24"/>
          <w:u w:val="single"/>
          <w:bdr w:val="double" w:sz="2" w:space="1" w:color="000000"/>
        </w:rPr>
        <w:t>ontbonden</w:t>
      </w:r>
      <w:r>
        <w:rPr>
          <w:rFonts w:ascii="Times New Roman" w:hAnsi="Times New Roman"/>
          <w:color w:val="0000FF"/>
          <w:sz w:val="24"/>
          <w:u w:val="single"/>
          <w:bdr w:val="double" w:sz="2" w:space="1" w:color="000000"/>
        </w:rPr>
        <w:t>) or liquidated (</w:t>
      </w:r>
      <w:r>
        <w:rPr>
          <w:rFonts w:ascii="Times New Roman" w:hAnsi="Times New Roman"/>
          <w:i/>
          <w:color w:val="0000FF"/>
          <w:sz w:val="24"/>
          <w:u w:val="single"/>
          <w:bdr w:val="double" w:sz="2" w:space="1" w:color="000000"/>
        </w:rPr>
        <w:t>vereffend</w:t>
      </w:r>
      <w:r>
        <w:rPr>
          <w:rFonts w:ascii="Times New Roman" w:hAnsi="Times New Roman"/>
          <w:color w:val="0000FF"/>
          <w:sz w:val="24"/>
          <w:u w:val="single"/>
          <w:bdr w:val="double" w:sz="2" w:space="1" w:color="000000"/>
        </w:rPr>
        <w:t xml:space="preserve">). An involuntary petition includes a </w:t>
      </w:r>
      <w:r>
        <w:rPr>
          <w:rFonts w:ascii="Times New Roman" w:hAnsi="Times New Roman"/>
          <w:i/>
          <w:color w:val="0000FF"/>
          <w:sz w:val="24"/>
          <w:u w:val="single"/>
          <w:bdr w:val="double" w:sz="2" w:space="1" w:color="000000"/>
        </w:rPr>
        <w:t>faillissementsaanvraag</w:t>
      </w:r>
      <w:r>
        <w:rPr>
          <w:rFonts w:ascii="Times New Roman" w:hAnsi="Times New Roman"/>
          <w:color w:val="0000FF"/>
          <w:sz w:val="24"/>
          <w:u w:val="single"/>
          <w:bdr w:val="double" w:sz="2" w:space="1" w:color="000000"/>
        </w:rPr>
        <w:t xml:space="preserve">. Shall fail generally to pay debts as they become due includes </w:t>
      </w:r>
      <w:r>
        <w:rPr>
          <w:rFonts w:ascii="Times New Roman" w:hAnsi="Times New Roman"/>
          <w:i/>
          <w:color w:val="0000FF"/>
          <w:sz w:val="24"/>
          <w:u w:val="single"/>
          <w:bdr w:val="double" w:sz="2" w:space="1" w:color="000000"/>
        </w:rPr>
        <w:t>opgehouden te betalen</w:t>
      </w:r>
      <w:r>
        <w:rPr>
          <w:rFonts w:ascii="Times New Roman" w:hAnsi="Times New Roman"/>
          <w:color w:val="0000FF"/>
          <w:sz w:val="24"/>
          <w:u w:val="single"/>
          <w:bdr w:val="double" w:sz="2" w:space="1" w:color="000000"/>
        </w:rPr>
        <w:t>.</w:t>
      </w:r>
      <w:r>
        <w:rPr>
          <w:rFonts w:ascii="Times New Roman" w:hAnsi="Times New Roman"/>
          <w:color w:val="0000FF"/>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1.4 </w:t>
      </w:r>
      <w:r>
        <w:rPr>
          <w:rFonts w:ascii="Times New Roman" w:hAnsi="Times New Roman"/>
          <w:sz w:val="24"/>
          <w:u w:val="single"/>
        </w:rPr>
        <w:t>Cross References</w:t>
      </w:r>
      <w:r>
        <w:rPr>
          <w:rFonts w:ascii="Times New Roman" w:hAnsi="Times New Roman"/>
          <w:sz w:val="24"/>
        </w:rPr>
        <w:t xml:space="preserve">. Unless otherwise specified, references in this Agreement and in each other Loan Document to any Article or Section are references to such Article or Section of this Agreement or such other Loan Document, as the case may be, and, unless otherwise specified, references in any Article, Section or definition to any clause are references to such clause in such Article, Section or definition. </w:t>
      </w:r>
    </w:p>
    <w:p>
      <w:pPr>
        <w:pStyle w:val="TextBody"/>
        <w:bidi w:val="0"/>
        <w:spacing w:before="240" w:after="0"/>
        <w:jc w:val="both"/>
        <w:rPr>
          <w:rFonts w:ascii="Times New Roman" w:hAnsi="Times New Roman"/>
          <w:sz w:val="24"/>
        </w:rPr>
      </w:pPr>
      <w:r>
        <w:rPr>
          <w:rFonts w:ascii="Times New Roman" w:hAnsi="Times New Roman"/>
          <w:sz w:val="24"/>
        </w:rPr>
        <w:t>Section 1.5 </w:t>
      </w:r>
      <w:r>
        <w:rPr>
          <w:rFonts w:ascii="Times New Roman" w:hAnsi="Times New Roman"/>
          <w:sz w:val="24"/>
          <w:u w:val="single"/>
        </w:rPr>
        <w:t>Accounting Provisions</w:t>
      </w:r>
      <w:r>
        <w:rPr>
          <w:rFonts w:ascii="Times New Roman" w:hAnsi="Times New Roman"/>
          <w:sz w:val="24"/>
        </w:rPr>
        <w:t xml:space="preserve">. Unless otherwise expressly provided herein, all references in this Agreement to GAAP shall mean GAAP as in effect on the date of this Agreement as published by the Financial Accounting Standards Board. All accounting terms used in this Agreement and not defined expressly, completely or specifically herein shall have the respective meanings given to them, and shall be construed, in accordance with GAAP. All financial data (including financial ratios and other financial calculations) required to be submitted pursuant to this Agreement shall be prepared in accordance with GAAP applied in a manner consistent with that used to prepare the most recent audited consolidated financial statements of the Company and its Subsidiaries. All financial or accounting calculations or determinations required pursuant to this Agreement shall be made, and all references to the financial statements of the Company, Adjusted EBITDA, Senior Secured Debt, Total Debt, Interest Expense, Consolidated Total Assets and other such financial terms shall be deemed to refer to such items, unless otherwise expressly provided herein, on a consolidated basis for the Company and its Subsidiaries. Notwithstanding the foregoing,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1.6 </w:t>
      </w:r>
      <w:r>
        <w:rPr>
          <w:rFonts w:ascii="Times New Roman" w:hAnsi="Times New Roman"/>
          <w:sz w:val="24"/>
          <w:u w:val="single"/>
        </w:rPr>
        <w:t>Letter of Credit Amounts</w:t>
      </w:r>
      <w:r>
        <w:rPr>
          <w:rFonts w:ascii="Times New Roman" w:hAnsi="Times New Roman"/>
          <w:sz w:val="24"/>
        </w:rPr>
        <w:t xml:space="preserve">. Unless otherwise specified herein, the amount of a Letter of Credit at any time shall be deemed to be the Dollar Equivalent of the stated amount of such Letter of Credit in effect at such time;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p>
    <w:p>
      <w:pPr>
        <w:pStyle w:val="TextBody"/>
        <w:bidi w:val="0"/>
        <w:spacing w:before="240" w:after="0"/>
        <w:jc w:val="both"/>
        <w:rPr>
          <w:rFonts w:ascii="Times New Roman" w:hAnsi="Times New Roman"/>
          <w:sz w:val="24"/>
        </w:rPr>
      </w:pPr>
      <w:r>
        <w:rPr>
          <w:rFonts w:ascii="Times New Roman" w:hAnsi="Times New Roman"/>
          <w:sz w:val="24"/>
        </w:rPr>
        <w:t>Section 1.7 </w:t>
      </w:r>
      <w:r>
        <w:rPr>
          <w:rFonts w:ascii="Times New Roman" w:hAnsi="Times New Roman"/>
          <w:sz w:val="24"/>
          <w:u w:val="single"/>
        </w:rPr>
        <w:t>Exchange Rates; Currency Equivalents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Administrative Agent or the relevant Issuing Bank, as applicable, shall determine the Spot Rates as of each Revaluation Date to be used for calculating Dollar Equivalent amounts of Credit Extensions and Outstanding Amounts denominated in Alternative Currencies and shall promptly provide notice thereof to the Company. Such Spot Rates shall become effective as of such Revaluation Date and shall be the Spot Rates employed in converting any amounts between the applicable currencies until the next Revaluation Date to occur. Except for purposes of financial statements delivered by the Company hereunder or calculating financial covenants hereunder or except as otherwise provided herein, the applicable amount of any currency (other than Dollars) for purposes of the Loan Documents shall be such Dollar Equivalent amount as so determined by the Administrative Agent or the relevant Issuing Bank, as applicable. </w:t>
      </w:r>
    </w:p>
    <w:p>
      <w:pPr>
        <w:pStyle w:val="TextBody"/>
        <w:bidi w:val="0"/>
        <w:spacing w:before="240" w:after="0"/>
        <w:jc w:val="both"/>
        <w:rPr>
          <w:rFonts w:ascii="Times New Roman" w:hAnsi="Times New Roman"/>
          <w:sz w:val="24"/>
        </w:rPr>
      </w:pPr>
      <w:r>
        <w:rPr>
          <w:rFonts w:ascii="Times New Roman" w:hAnsi="Times New Roman"/>
          <w:sz w:val="24"/>
        </w:rPr>
        <w:t xml:space="preserve">(b) Wherever in this Agreement in connection with a Term Rate Advance or SONIA Rate Advance, conversion, continuation or prepayment of Revolving Loan made as a Term Rate Advance or SONIA Rate Advance or the issuance, amendment or extension of a Letter of Credit, an amount, such as a required minimum or multiple amount, is expressed in Dollars, but such Revolving Loan made as a Term Rate Advance, SONIA Rate Advance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relevant Issuing Bank, as the case may be. </w:t>
      </w:r>
    </w:p>
    <w:p>
      <w:pPr>
        <w:pStyle w:val="TextBody"/>
        <w:bidi w:val="0"/>
        <w:spacing w:before="240" w:after="0"/>
        <w:jc w:val="both"/>
        <w:rPr>
          <w:rFonts w:ascii="Times New Roman" w:hAnsi="Times New Roman"/>
          <w:sz w:val="24"/>
        </w:rPr>
      </w:pPr>
      <w:r>
        <w:rPr>
          <w:rFonts w:ascii="Times New Roman" w:hAnsi="Times New Roman"/>
          <w:sz w:val="24"/>
        </w:rPr>
        <w:t>Section 1.8 </w:t>
      </w:r>
      <w:r>
        <w:rPr>
          <w:rFonts w:ascii="Times New Roman" w:hAnsi="Times New Roman"/>
          <w:sz w:val="24"/>
          <w:u w:val="single"/>
        </w:rPr>
        <w:t>Additional Alternative Currencies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Company or the relevant Subsidiary Borrower, as the case may be, may from time to time request that Term Rate Advances of Revolving Loans be made and/or Letters of Credit be issued in a currency other than those specifically listed in the definition of “Alternative Currency”; </w:t>
      </w:r>
      <w:r>
        <w:rPr>
          <w:rFonts w:ascii="Times New Roman" w:hAnsi="Times New Roman"/>
          <w:sz w:val="24"/>
          <w:u w:val="single"/>
        </w:rPr>
        <w:t>provided</w:t>
      </w:r>
      <w:r>
        <w:rPr>
          <w:rFonts w:ascii="Times New Roman" w:hAnsi="Times New Roman"/>
          <w:sz w:val="24"/>
        </w:rPr>
        <w:t xml:space="preserve"> that such requested currency is a lawful currency (other than Dollars) that is readily available and freely transferable and convertible into Dollars. In the case of any such request with respect to the making of Term Rate Advances, such request shall be subject to the approval of the Administrative Agent and each of the Lenders; and in the case of any such request with respect to the issuance of Letters of Credit, such request shall be subject to the approval of the Administrative Agent and the relevant Issuing Bank. </w:t>
      </w:r>
    </w:p>
    <w:p>
      <w:pPr>
        <w:pStyle w:val="TextBody"/>
        <w:bidi w:val="0"/>
        <w:spacing w:before="240" w:after="0"/>
        <w:jc w:val="both"/>
        <w:rPr>
          <w:rFonts w:ascii="Times New Roman" w:hAnsi="Times New Roman"/>
          <w:sz w:val="24"/>
        </w:rPr>
      </w:pPr>
      <w:r>
        <w:rPr>
          <w:rFonts w:ascii="Times New Roman" w:hAnsi="Times New Roman"/>
          <w:sz w:val="24"/>
        </w:rPr>
        <w:t xml:space="preserve">(b) Any such request shall be made to the Administrative Agent not later than 11:00 a.m., ten (10) Business Days prior to the date of the desired Credit Extension (or such other time or date as may be agreed by the Administrative Agent and, in the case of any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pertaining to Letters of Credit, the relevant Issuing Bank, in its or their sole discretion). In the case of any such request pertaining to Term Rate Advances of Revolving Loans, the Administrative Agent shall promptly notify each Lender thereof; and in the case of any such request pertaining to Letters of Credit, the Administrative Agent shall promptly notify the relevant Issuing Bank thereof. Each Lender (in the case of any such request pertaining to Term Rate Advances of Revolving Loans) or the relevant Issuing Bank (in the case of a request pertaining to Letters of Credit) shall notify the Administrative Agent, not later than 11:00 a.m., five (5) Business Days after receipt of such request whether it consents, in its sole discretion, to the making of Term Rate Advances of Revolving Loans or the issuance of Letters of Credit, as the case may be, in such requested currency. </w:t>
      </w:r>
    </w:p>
    <w:p>
      <w:pPr>
        <w:pStyle w:val="TextBody"/>
        <w:bidi w:val="0"/>
        <w:spacing w:before="240" w:after="0"/>
        <w:jc w:val="both"/>
        <w:rPr>
          <w:rFonts w:ascii="Times New Roman" w:hAnsi="Times New Roman"/>
          <w:sz w:val="24"/>
        </w:rPr>
      </w:pPr>
      <w:r>
        <w:rPr>
          <w:rFonts w:ascii="Times New Roman" w:hAnsi="Times New Roman"/>
          <w:sz w:val="24"/>
        </w:rPr>
        <w:t xml:space="preserve">(c) Any failure by a Lender or any Issuing Bank, as the case may be, to respond to such request within the time period specified in the preceding sentence shall be deemed to be a refusal by such Lender or such Issuing Bank, as the case may be, to permit Term Rate Advances of Revolving Loans to be made or Letters of Credit to be issued in such requested currency. If the Administrative Agent and all the Lenders consent to making Term Rate Advances of Revolving Loans in such requested currency, the Administrative Agent shall so notify the relevant Borrower and such currency shall thereupon be deemed for all purposes to be an Alternative Currency hereunder for purposes of any Term Rate Advances of Revolving Loans; and if the Administrative Agent and the relevant Issuing Bank consent to the issuance of Letters of Credit in such requested currency, the Administrative Agent shall so notify the Company and such currency shall thereupon be deemed for all purposes to be an Alternative Currency hereunder for purposes of any Letter of Credit issuances by such Issuing Bank. If the Administrative Agent shall fail to obtain consent to any request for an additional currency under this Section 1.7, the Administrative Agent shall promptly so notify the relevant Borrower. </w:t>
      </w:r>
    </w:p>
    <w:p>
      <w:pPr>
        <w:pStyle w:val="TextBody"/>
        <w:bidi w:val="0"/>
        <w:spacing w:before="240" w:after="0"/>
        <w:jc w:val="both"/>
        <w:rPr>
          <w:rFonts w:ascii="Times New Roman" w:hAnsi="Times New Roman"/>
          <w:sz w:val="24"/>
        </w:rPr>
      </w:pPr>
      <w:r>
        <w:rPr>
          <w:rFonts w:ascii="Times New Roman" w:hAnsi="Times New Roman"/>
          <w:sz w:val="24"/>
        </w:rPr>
        <w:t>Section 1.9 </w:t>
      </w:r>
      <w:r>
        <w:rPr>
          <w:rFonts w:ascii="Times New Roman" w:hAnsi="Times New Roman"/>
          <w:sz w:val="24"/>
          <w:u w:val="single"/>
        </w:rPr>
        <w:t>Divisions</w:t>
      </w:r>
      <w:r>
        <w:rPr>
          <w:rFonts w:ascii="Times New Roman" w:hAnsi="Times New Roman"/>
          <w:sz w:val="24"/>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w:t>
      </w:r>
    </w:p>
    <w:p>
      <w:pPr>
        <w:pStyle w:val="TextBody"/>
        <w:bidi w:val="0"/>
        <w:spacing w:before="240" w:after="0"/>
        <w:jc w:val="both"/>
        <w:rPr>
          <w:rFonts w:ascii="Times New Roman" w:hAnsi="Times New Roman"/>
          <w:sz w:val="24"/>
        </w:rPr>
      </w:pPr>
      <w:r>
        <w:rPr>
          <w:rFonts w:ascii="Times New Roman" w:hAnsi="Times New Roman"/>
          <w:sz w:val="24"/>
        </w:rPr>
        <w:t>Section 1.10 </w:t>
      </w:r>
      <w:r>
        <w:rPr>
          <w:rFonts w:ascii="Times New Roman" w:hAnsi="Times New Roman"/>
          <w:sz w:val="24"/>
          <w:u w:val="single"/>
        </w:rPr>
        <w:t>Rates</w:t>
      </w:r>
      <w:r>
        <w:rPr>
          <w:rFonts w:ascii="Times New Roman" w:hAnsi="Times New Roman"/>
          <w:sz w:val="24"/>
        </w:rPr>
        <w:t xml:space="preserve">. The Administrative Agent does not warrant or accept any responsibility for, and shall not have any liability with respect to, (a) the continuation of, administration of, submission of, calculation of or any other matter related to the Base Rate, the Term SOFR Reference Rate, </w:t>
      </w:r>
      <w:r>
        <w:rPr>
          <w:rFonts w:ascii="Times New Roman" w:hAnsi="Times New Roman"/>
          <w:strike/>
          <w:color w:val="FF0000"/>
          <w:sz w:val="24"/>
        </w:rPr>
        <w:t xml:space="preserve">Adjusted </w:t>
      </w:r>
      <w:r>
        <w:rPr>
          <w:rFonts w:ascii="Times New Roman" w:hAnsi="Times New Roman"/>
          <w:sz w:val="24"/>
        </w:rPr>
        <w:t xml:space="preserve">Term </w:t>
      </w:r>
      <w:r>
        <w:rPr>
          <w:rFonts w:ascii="Times New Roman" w:hAnsi="Times New Roman"/>
          <w:strike/>
          <w:color w:val="FF0000"/>
          <w:sz w:val="24"/>
        </w:rPr>
        <w:t xml:space="preserve">SOFR, Term </w:t>
      </w:r>
      <w:r>
        <w:rPr>
          <w:rFonts w:ascii="Times New Roman" w:hAnsi="Times New Roman"/>
          <w:sz w:val="24"/>
        </w:rPr>
        <w:t xml:space="preserve">SOFR, any other Term Rate, the SONIA Rate or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w:t>
      </w:r>
      <w:r>
        <w:rPr>
          <w:rFonts w:ascii="Times New Roman" w:hAnsi="Times New Roman"/>
          <w:strike/>
          <w:color w:val="FF0000"/>
          <w:sz w:val="24"/>
        </w:rPr>
        <w:t xml:space="preserve">Adjusted Term SOFR, </w:t>
      </w:r>
      <w:r>
        <w:rPr>
          <w:rFonts w:ascii="Times New Roman" w:hAnsi="Times New Roman"/>
          <w:sz w:val="24"/>
        </w:rPr>
        <w:t xml:space="preserve">Term SOFR, any other Term Rate, the SONIA Rate, such Benchmark or any other Benchmark prior to its discontinuance or unavailability, or (b) the effect, implementation or composition of any Conforming Changes. The Administrative Agent and its affiliates or other related entities may engage in transactions that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affect the calculation of Base Rate, the SONIA Rate or a Benchmark, any alternative, successor or replacement rate (including any Benchmark Replacement) or any relevant adjustments thereto, in each case, in a manner adverse to the relevant Borrower. The Administrative Agent may select information sources or services in its reasonable discretion to ascertain the Base Rate, the SONIA Rate, any Benchmark, any component definition thereof or rates referred to in the definition thereof, in each case pursuant to the terms of this Agreement, and shall have no liability to the Company or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center"/>
        <w:rPr>
          <w:rFonts w:ascii="Times New Roman" w:hAnsi="Times New Roman"/>
          <w:sz w:val="24"/>
        </w:rPr>
      </w:pPr>
      <w:r>
        <w:rPr>
          <w:rFonts w:ascii="Times New Roman" w:hAnsi="Times New Roman"/>
          <w:sz w:val="24"/>
        </w:rPr>
        <w:t xml:space="preserve">ARTICLE 2 - LOANS </w:t>
      </w:r>
    </w:p>
    <w:p>
      <w:pPr>
        <w:pStyle w:val="TextBody"/>
        <w:bidi w:val="0"/>
        <w:spacing w:before="240" w:after="0"/>
        <w:jc w:val="both"/>
        <w:rPr>
          <w:rFonts w:ascii="Times New Roman" w:hAnsi="Times New Roman"/>
          <w:sz w:val="24"/>
        </w:rPr>
      </w:pPr>
      <w:r>
        <w:rPr>
          <w:rFonts w:ascii="Times New Roman" w:hAnsi="Times New Roman"/>
          <w:sz w:val="24"/>
        </w:rPr>
        <w:t>Section 2.1 </w:t>
      </w:r>
      <w:r>
        <w:rPr>
          <w:rFonts w:ascii="Times New Roman" w:hAnsi="Times New Roman"/>
          <w:sz w:val="24"/>
          <w:u w:val="single"/>
        </w:rPr>
        <w:t>The Revolving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Lenders agree severally, and not jointly, upon the terms and subject to the conditions of this Agreement, to make Loans (each such Loan, a “</w:t>
      </w:r>
      <w:r>
        <w:rPr>
          <w:rFonts w:ascii="Times New Roman" w:hAnsi="Times New Roman"/>
          <w:sz w:val="24"/>
          <w:u w:val="single"/>
        </w:rPr>
        <w:t>Revolving Loan</w:t>
      </w:r>
      <w:r>
        <w:rPr>
          <w:rFonts w:ascii="Times New Roman" w:hAnsi="Times New Roman"/>
          <w:sz w:val="24"/>
        </w:rPr>
        <w:t>” and, collectively, the “</w:t>
      </w:r>
      <w:r>
        <w:rPr>
          <w:rFonts w:ascii="Times New Roman" w:hAnsi="Times New Roman"/>
          <w:sz w:val="24"/>
          <w:u w:val="single"/>
        </w:rPr>
        <w:t>Revolving Loans</w:t>
      </w:r>
      <w:r>
        <w:rPr>
          <w:rFonts w:ascii="Times New Roman" w:hAnsi="Times New Roman"/>
          <w:sz w:val="24"/>
        </w:rPr>
        <w:t>”) to the Company or any Subsidiary Borrower in Dollars or in one or more Alternative Currencies from time to time prior to the Maturity Date in an aggregate Dollar Equivalent amount not to exceed, (i) in the aggregate at any one time outstanding, the Revolving Loan Commitments of all Lenders</w:t>
      </w:r>
      <w:r>
        <w:rPr>
          <w:rFonts w:ascii="Times New Roman" w:hAnsi="Times New Roman"/>
          <w:strike/>
          <w:color w:val="FF0000"/>
          <w:sz w:val="24"/>
        </w:rPr>
        <w:t xml:space="preserve"> and</w:t>
      </w:r>
      <w:r>
        <w:rPr>
          <w:rFonts w:ascii="Times New Roman" w:hAnsi="Times New Roman"/>
          <w:color w:val="0000FF"/>
          <w:sz w:val="24"/>
          <w:u w:val="single"/>
          <w:bdr w:val="double" w:sz="2" w:space="1" w:color="000000"/>
        </w:rPr>
        <w:t>,</w:t>
      </w:r>
      <w:r>
        <w:rPr>
          <w:rFonts w:ascii="Times New Roman" w:hAnsi="Times New Roman"/>
          <w:sz w:val="24"/>
        </w:rPr>
        <w:t xml:space="preserve"> (ii) individually, such Lender’s Revolving Loan Commitment as in effect from time to time minus such Lender’s Commitment Ratio of the Swingline Loans and the Dollar Equivalent of the L/C Obligations then outstanding</w:t>
      </w:r>
      <w:r>
        <w:rPr>
          <w:rFonts w:ascii="Times New Roman" w:hAnsi="Times New Roman"/>
          <w:color w:val="0000FF"/>
          <w:sz w:val="24"/>
          <w:u w:val="single"/>
          <w:bdr w:val="double" w:sz="2" w:space="1" w:color="000000"/>
        </w:rPr>
        <w:t xml:space="preserve"> and (iii) in the case of a Certain Funds Advance, the Certain Funds Sublimit</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neither the Company nor any Subsidiary Borrower may request (and the Lenders shall have no obligation to make) (x) an Advance under this Section 2.1 in excess of the Available Revolving Loan Commitment on such date or (y) an Advance denominated in any Alternative Currency to the extent that, after giving effect thereto, the Dollar Equivalent of the aggregate outstanding principal amount of Advances and the outstanding amount of Letters of Credit, in each case denominated in any Alternative Currency, exceeds the Alternative Currency Sublimit. </w:t>
      </w:r>
    </w:p>
    <w:p>
      <w:pPr>
        <w:pStyle w:val="TextBody"/>
        <w:bidi w:val="0"/>
        <w:spacing w:before="240" w:after="0"/>
        <w:jc w:val="both"/>
        <w:rPr>
          <w:rFonts w:ascii="Times New Roman" w:hAnsi="Times New Roman"/>
          <w:sz w:val="24"/>
        </w:rPr>
      </w:pPr>
      <w:r>
        <w:rPr>
          <w:rFonts w:ascii="Times New Roman" w:hAnsi="Times New Roman"/>
          <w:sz w:val="24"/>
        </w:rPr>
        <w:t>Section 2.2 </w:t>
      </w:r>
      <w:r>
        <w:rPr>
          <w:rFonts w:ascii="Times New Roman" w:hAnsi="Times New Roman"/>
          <w:sz w:val="24"/>
          <w:u w:val="single"/>
        </w:rPr>
        <w:t>Manner of Advance and Disbursement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 xml:space="preserve">Choice of Interest Rate, </w:t>
      </w:r>
      <w:r>
        <w:rPr>
          <w:rFonts w:ascii="Times New Roman" w:hAnsi="Times New Roman"/>
          <w:color w:val="0000FF"/>
          <w:sz w:val="24"/>
          <w:u w:val="single"/>
          <w:bdr w:val="double" w:sz="2" w:space="1" w:color="000000"/>
        </w:rPr>
        <w:t>Certain Funds Advance,</w:t>
      </w:r>
      <w:r>
        <w:rPr>
          <w:rFonts w:ascii="Times New Roman" w:hAnsi="Times New Roman"/>
          <w:sz w:val="24"/>
          <w:u w:val="single"/>
        </w:rPr>
        <w:t xml:space="preserve"> Etc</w:t>
      </w:r>
      <w:r>
        <w:rPr>
          <w:rFonts w:ascii="Times New Roman" w:hAnsi="Times New Roman"/>
          <w:sz w:val="24"/>
        </w:rPr>
        <w:t xml:space="preserve">. (x) Any Advance hereunder denominated in Dollars shall, at the option of the relevant Borrower, be made as a Base Rate Advance or a Term Rate Advance, (y) any Advance hereunder denominated in Sterling shall be made as SONIA Rate Advance and (z) any Advance hereunder denominated in any other Alternative Currency shall be made as a Term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each case, at such time as there shall have occurred and be continuing an Event of Default hereunder and upon request by the Majority Lenders, no Borrower shall have the right to (i) in the case of Advances of Revolving Loans denominated in Dollars, receive or Continue a Term Rate Advance or to Convert a Base Rate Advance to a Term Rate Advance denominated in Dollars or (ii) in the case of Advances of Revolving Loans denominated in Alternative Currencies, receive or Continue a Term Rate Advance, and the Majority Lenders may demand that any or all of the then outstanding Term Rate Advances of Revolving Loans denominated in an Alternative Currency be, at the option of the Borrower, (A) prepaid or (B) redenominated into Dollars in the Dollar Equivalent thereof,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on the last day of the then current Interest Period with respect thereto (provided that if no election is made by the Borrower by the earlier of (x) the date that is three Business Days after receipt by the Borrower of such notice and (y) the last day of the current Interest Period for the applicable Revolving Loan, the Borrower shall be deemed to have elected clause (B) above). </w:t>
      </w:r>
      <w:r>
        <w:rPr>
          <w:rFonts w:ascii="Times New Roman" w:hAnsi="Times New Roman"/>
          <w:color w:val="0000FF"/>
          <w:sz w:val="24"/>
          <w:u w:val="single"/>
          <w:bdr w:val="double" w:sz="2" w:space="1" w:color="000000"/>
        </w:rPr>
        <w:t xml:space="preserve">In addition, the Company may request that an Advance that is in the form of a Revolving Loan be made as a Certain Funds Advance. If the Company requests a Revolving Loan but fails to specify whether it is a Certain Funds Advance, such Advance will be deemed not to be a Certain Funds Advance. </w:t>
      </w:r>
      <w:r>
        <w:rPr>
          <w:rFonts w:ascii="Times New Roman" w:hAnsi="Times New Roman"/>
          <w:sz w:val="24"/>
        </w:rPr>
        <w:t xml:space="preserve">Any notice given to the Administrative Agent in connection with a requested Term Rate Advance hereunder shall be given to the Administrative Agent prior to 11:00 a.m. New York City time in order for such Business Day to count toward the minimum number of Business Days required. Notwithstanding anything to the contrary herein, (i) a Swingline Loan may not be converted to a Term Rate Advance and (ii) the borrowing procedures with respect to Swingline Loans shall be governed by Section 2.17.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Base Rate Advances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Advances</w:t>
      </w:r>
      <w:r>
        <w:rPr>
          <w:rFonts w:ascii="Times New Roman" w:hAnsi="Times New Roman"/>
          <w:sz w:val="24"/>
        </w:rPr>
        <w:t xml:space="preserve">. The relevant Borrower shall give the Administrative Agent in the case of Base Rate Advances irrevocable prior telephonic notice followed immediately by a Request for Advance by 9:00 A.M. New York City time on the date of such proposed Base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relevant Borrower’s failure to confirm any telephonic notice with a Request for Advance shall not invalidate any notice so given if acted upon by the Administrative Agent. Upon receipt of such notice from the relevant Borrower, the Administrative Agent shall promptly notify each Lender by telephone, followed promptly by email or telecopy of the contents thereof.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Conversions</w:t>
      </w:r>
      <w:r>
        <w:rPr>
          <w:rFonts w:ascii="Times New Roman" w:hAnsi="Times New Roman"/>
          <w:sz w:val="24"/>
        </w:rPr>
        <w:t xml:space="preserve">. The relevant Borrower may, without regard to the applicable Payment Date and upon at least three (3) Business Days’ irrevocable prior telephonic notice followed by a Request for Advance, Convert all or a portion of the principal of a Base Rate Advance to a Term Rate Advance. On the date indicated by the relevant Borrower, such Base Rate Advance shall be so Converted. The failure to give timely notice hereunder with respect to the Payment Date of any Base Rate Advance shall be considered a request to Continue such a Base Rate Advance as a Base Rate Advance for a subsequent Interest Period.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Term Rate and SONIA Advances</w:t>
      </w:r>
      <w:r>
        <w:rPr>
          <w:rFonts w:ascii="Times New Roman" w:hAnsi="Times New Roman"/>
          <w:sz w:val="24"/>
        </w:rPr>
        <w:t xml:space="preserve">. Upon request, the Administrative Agent, whose determination in absence of manifest error shall be conclusive, shall determine the available Term Rate Basis or the SONIA Rate Basis and shall notify the relevant Borrower of such Interest Rate Basis.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Term Rate Advances</w:t>
      </w:r>
      <w:r>
        <w:rPr>
          <w:rFonts w:ascii="Times New Roman" w:hAnsi="Times New Roman"/>
          <w:sz w:val="24"/>
        </w:rPr>
        <w:t xml:space="preserve">. The relevant Borrower shall give the Administrative Agent (A) in the case of Term Rate Advances of Revolving Loans denominated in Dollars at least three (3) Business Days’ irrevocable prior telephonic notice followed immediately by a Request for Advance, (B) in the case of Term Rate Advances of Revolving Loans denominated in an Alternative Currency at least four (4) Business Days (or five (5) Business Days in the case of a Special Notice Currency) irrevocable prior telephonic notice followed immediately by a Request for Advance or (C) in the case of Term Rate Advances of Revolving Loans denominated in Canadian Dollars or Australian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Dollars at least five (5) Business Days’ irrevocable prior telephonic notice followed immediately by a Request for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each case, the relevant Borrower’s failure to confirm any telephonic notice with a Request for Advance shall not invalidate any notice so given if acted upon by the Administrative Agent. Upon receipt of such notice from the relevant Borrower, the Administrative Agent shall promptly notify each Lender by telephone, email or telecopy of the contents thereof.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Conversions and Continuations of Term Rate Advances</w:t>
      </w:r>
      <w:r>
        <w:rPr>
          <w:rFonts w:ascii="Times New Roman" w:hAnsi="Times New Roman"/>
          <w:sz w:val="24"/>
        </w:rPr>
        <w:t xml:space="preserve">. At least three (3) Business Days prior to the Payment Date for each Term Rate Advance of Revolving Loans denominated in Dollars and at least four (4) Business Days prior to the Payment Date for each Term Rate Advance of Revolving Loans denominated in an Alternative Currency, the relevant Borrower shall give the Administrative Agent telephonic notice followed by written notice specifying whether all or a portion of such Term Rate Advance (A) is to be Continued in whole or in part as one or more Term Rate Advances, (B) is to be Converted in whole or in part to a Base Rate Advance, or (C) is to be repaid. If the relevant Borrower fails to give such notice, such Advance shall automatically be Continued on its Payment Date as a Term Rate Advance with an Interest Period of one month. Upon such Payment Date such Term Rate Advance will, subject to the provisions hereof, be so Continued, Converted or repaid, as applicable. No Term Rate Advance of Revolving Loans may be Continued as or Converted into a Term Rate Advance of Revolving Loans denominated in a different currency, but instead must be prepaid or repaid in the original currency of such Term Rate Advance of Revolving Loans and may thereafter be reborrowed in the other currency.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SONIA Rate Advances</w:t>
      </w:r>
      <w:r>
        <w:rPr>
          <w:rFonts w:ascii="Times New Roman" w:hAnsi="Times New Roman"/>
          <w:sz w:val="24"/>
        </w:rPr>
        <w:t xml:space="preserve">. The relevant Borrower shall give the Administrative Agent in the case of SONIA Rate Advances at least three (3) Business Days’ irrevocable prior telephonic notice followed immediately by a Request for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relevant Borrower’s failure to confirm any telephonic notice with a Request for Advance shall not invalidate any notice so given if acted upon by the Administrative Agent. Upon receipt of such notice from the relevant Borrower, the Administrative Agent shall promptly notify each Lender by telephone, followed promptly by email or telecopy of the contents thereof.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Notification of Lenders</w:t>
      </w:r>
      <w:r>
        <w:rPr>
          <w:rFonts w:ascii="Times New Roman" w:hAnsi="Times New Roman"/>
          <w:sz w:val="24"/>
        </w:rPr>
        <w:t xml:space="preserve">. Upon receipt of irrevocable prior telephonic notice in accordance with Section 2.2(b) or (c) hereof or a Request for Advance, or a notice of Conversion or Continuation from the relevant Borrower with respect to any outstanding Advance prior to the Payment Date for such Advance, the Administrative Agent shall promptly notify each Lender having the applicable Commitment by telephone, followed promptly by written notice or telecopy, of the contents thereof and the amount (and currency) of such Lender’s portion of the Advance. Each Lender having the applicable Commitment shall, not later than 12:00 p.m. New York City time on the date of borrowing specified in such notice, make available to the Administrative Agent at the Administrative Agent’s Office, or at such account as the Administrative Agent shall designate, the amount of its portion of any Advance that represents an additional borrowing hereunder in immediately available funds in the applicable currency. Each Lender at its option may make any Advance by causing any domestic or foreign branch or Affiliate of such Lender to make such Advance; </w:t>
      </w:r>
      <w:r>
        <w:rPr>
          <w:rFonts w:ascii="Times New Roman" w:hAnsi="Times New Roman"/>
          <w:i/>
          <w:sz w:val="24"/>
        </w:rPr>
        <w:t xml:space="preserve">provided </w:t>
      </w:r>
      <w:r>
        <w:rPr>
          <w:rFonts w:ascii="Times New Roman" w:hAnsi="Times New Roman"/>
          <w:sz w:val="24"/>
        </w:rPr>
        <w:t xml:space="preserve">that any exercise of such option shall not affect the obligation of the relevant Borrower to repay such Advance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(e) </w:t>
      </w:r>
      <w:r>
        <w:rPr>
          <w:rFonts w:ascii="Times New Roman" w:hAnsi="Times New Roman"/>
          <w:sz w:val="24"/>
          <w:u w:val="single"/>
        </w:rPr>
        <w:t>Disbursement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(i) Prior to 2:00 p.m. New York City time on the date of an Advance hereunder, the Administrative Agent shall, subject to the satisfaction of the conditions set forth in Article 3 hereof, disburse the amounts made available to the Administrative Agent by the Lenders in like funds by (A) transferring the amounts so made available by wire transfer pursuant to the relevant Borrower’s instructions, or (B) in the absence of such instructions, crediting the amounts so made available to the account of the relevant Borrower maintained with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(ii) Unless the Administrative Agent shall have received notice from a Lender having an applicable Commitment prior to 12:00 p.m. New York City time on the date of any Advance that such Lender will not make available to the Administrative Agent such Lender’s ratable portion of such Advance, the Administrative Agent may assume that such Lender has made or will make such portion available to the Administrative Agent on the date of such Advance and the Administrative Agent may in its sole discretion and in reliance upon such assumption, make available to the requesting Borrower on such date a corresponding amount. If and to the extent an applicable Lender does not make such ratable portion available to the Administrative Agent, such Lender agrees to repay to the Administrative Agent on demand such corresponding amount together with interest thereon, for each day from the date such amount is made available to the requesting Borrower until the date such amount is repaid to the Administrative Agent, at the greater of the Federal Funds Rate and a rate reasonably determined by the Administrative Agent in accordance with banking industry rules on interbank compensation, plus any administrative, processing or similar fees customarily charged by the Administrative Agent in connection with the foregoing. </w:t>
      </w:r>
    </w:p>
    <w:p>
      <w:pPr>
        <w:pStyle w:val="TextBody"/>
        <w:bidi w:val="0"/>
        <w:spacing w:before="240" w:after="0"/>
        <w:jc w:val="both"/>
        <w:rPr>
          <w:rFonts w:ascii="Times New Roman" w:hAnsi="Times New Roman"/>
          <w:sz w:val="24"/>
        </w:rPr>
      </w:pPr>
      <w:r>
        <w:rPr>
          <w:rFonts w:ascii="Times New Roman" w:hAnsi="Times New Roman"/>
          <w:sz w:val="24"/>
        </w:rPr>
        <w:t xml:space="preserve">(iii) If such Lender shall repay to the Administrative Agent such corresponding amount, such amount so repaid shall constitute such Lender’s portion of the applicable Advance for purposes of this Agreement. If such Lender does not repay such corresponding amount immediately upon the Administrative Agent’s demand therefor and the Administrative Agent has made such corresponding amount available to the relevant Borrower, the Administrative Agent shall notify the relevant Borrower, and the relevant Borrower shall immediately pay such corresponding amount to the Administrative Agent, with interest at (A) the Federal Funds Rate in the case of Advances denominated in Dollars or (B) the cost of funds incurred by the Administrative Agent in respect of such amount in the case of Advances denominated in Alternative Currencies, in each case from the date the Administrative Agent made such amount available to the relevant Borrower. The relevant Borrower shall not be obligated to pay, and such amount shall not accrue, any interest or fees on such amount other than as provided in the immediately preceding sentence. The failure of any Lender to fund its portion of any Advance shall not relieve any other Lender of its obligation, if any, hereunder to fund its respective portion of the Advance on the date of such borrowing, but no Lender shall be responsible for any such failure of any other Lender.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2.3 </w:t>
      </w:r>
      <w:r>
        <w:rPr>
          <w:rFonts w:ascii="Times New Roman" w:hAnsi="Times New Roman"/>
          <w:sz w:val="24"/>
          <w:u w:val="single"/>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On Base Rate Advances</w:t>
      </w:r>
      <w:r>
        <w:rPr>
          <w:rFonts w:ascii="Times New Roman" w:hAnsi="Times New Roman"/>
          <w:sz w:val="24"/>
        </w:rPr>
        <w:t xml:space="preserve">. Interest on each Base Rate Advance, including Swingline Loans, computed pursuant to clause (b) of the definition of Base Rate, shall be computed on the basis of a year of 365/366 days and interest on each Base Rate Advance, including Swingline Loans, computed pursuant to clause (a) of the definition of Base Rate shall be computed on the basis of a 360-day year, in each case for the actual number of days elapsed and shall be payable at the Base Rate Basis for such Advance, in arrears on the applicable Payment Date. Interest on Base Rate Advances then outstanding shall also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On Term Rate Advances</w:t>
      </w:r>
      <w:r>
        <w:rPr>
          <w:rFonts w:ascii="Times New Roman" w:hAnsi="Times New Roman"/>
          <w:sz w:val="24"/>
        </w:rPr>
        <w:t xml:space="preserve">. Interest on each Term Rate Advance shall be computed on the basis of a 360-day year (or, in each case of Term Rate Advances denominated in Alternative Currencies where market practice differs, in accordance with market practice) for the actual number of days elapsed and shall be payable at the Term Rate Basis for such Advance, in arrears on the applicable Payment Date, and, in addition, if the Interest Period for a Term Rate Advance exceeds three (3) months, interest on such Term Rate Advance shall also be due and payable in arrears on every three (3) month anniversary of the beginning of such Interest Period. Interest on Term Rate Advances then outstanding shall also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On SONIA Rate Advances</w:t>
      </w:r>
      <w:r>
        <w:rPr>
          <w:rFonts w:ascii="Times New Roman" w:hAnsi="Times New Roman"/>
          <w:sz w:val="24"/>
        </w:rPr>
        <w:t xml:space="preserve">. Interest on each SONIA Rate Advance shall be computed on the basis of a year of 365 days, in each case for the actual number of days elapsed and shall be payable at the SONIA Rate Basis for such Advance, in arrears on the applicable Payment Date. Interest on SONIA Rate Advances then outstanding shall also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Interest Upon Event of Default</w:t>
      </w:r>
      <w:r>
        <w:rPr>
          <w:rFonts w:ascii="Times New Roman" w:hAnsi="Times New Roman"/>
          <w:sz w:val="24"/>
        </w:rPr>
        <w:t xml:space="preserve">. Immediately upon the occurrence of an Event of Default under Section 8.1(b), (f) or (g) hereunder and following a request from the Majority Lenders upon the occurrence of any other Event of Default hereunder, the outstanding principal balance of the Loans shall bear interest at the Default Rate. Such interest shall be payable on demand by the Majority Lenders and shall accrue until the earlier of (i) waiver or cure of the applicable Event of Default, (ii) agreement by the Majority Lenders (or, if applicable to the underlying Event of Default, the Lenders) to rescind the charging of interest at the Default Rate or (iii) payment in full of the Obligations.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Term Rate Contracts</w:t>
      </w:r>
      <w:r>
        <w:rPr>
          <w:rFonts w:ascii="Times New Roman" w:hAnsi="Times New Roman"/>
          <w:sz w:val="24"/>
        </w:rPr>
        <w:t xml:space="preserve">. At no time may the number of outstanding Tenn Rate Advances hereunder exceed ten (10).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Applicable Margin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(i) With respect to any Loans, the Applicable Margin shall be a percentage per annum determined by reference to the Applicable Debt Rating (as such Applicable Debt Rating is determined pursuant to Section 2.3(f)(ii)) in effect on such date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27"/>
        <w:gridCol w:w="121"/>
        <w:gridCol w:w="3087"/>
        <w:gridCol w:w="121"/>
        <w:gridCol w:w="2912"/>
        <w:gridCol w:w="121"/>
        <w:gridCol w:w="2916"/>
      </w:tblGrid>
      <w:tr>
        <w:trPr/>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r>
      <w:tr>
        <w:trPr/>
        <w:tc>
          <w:tcPr>
            <w:tcW w:w="92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087" w:type="dxa"/>
            <w:tcBorders/>
            <w:vAlign w:val="bottom"/>
          </w:tcPr>
          <w:p>
            <w:pPr>
              <w:pStyle w:val="TableContents"/>
              <w:bidi w:val="0"/>
              <w:spacing w:before="0" w:after="0"/>
              <w:jc w:val="both"/>
              <w:rPr>
                <w:rFonts w:ascii="Times New Roman" w:hAnsi="Times New Roman"/>
                <w:sz w:val="24"/>
                <w:u w:val="single"/>
              </w:rPr>
            </w:pPr>
            <w:r>
              <w:rPr>
                <w:rFonts w:ascii="Times New Roman" w:hAnsi="Times New Roman"/>
                <w:sz w:val="24"/>
                <w:u w:val="single"/>
              </w:rPr>
              <w:t>Applicable Debt Rating</w:t>
            </w:r>
          </w:p>
        </w:tc>
        <w:tc>
          <w:tcPr>
            <w:tcW w:w="121" w:type="dxa"/>
            <w:tcBorders/>
            <w:vAlign w:val="bottom"/>
          </w:tcPr>
          <w:p>
            <w:pPr>
              <w:pStyle w:val="TableContents"/>
              <w:bidi w:val="0"/>
              <w:spacing w:before="0" w:after="283"/>
              <w:jc w:val="left"/>
              <w:rPr/>
            </w:pPr>
            <w:r>
              <w:rPr/>
              <w:t>  </w:t>
            </w:r>
          </w:p>
        </w:tc>
        <w:tc>
          <w:tcPr>
            <w:tcW w:w="2912" w:type="dxa"/>
            <w:tcBorders/>
          </w:tcPr>
          <w:p>
            <w:pPr>
              <w:pStyle w:val="TableContents"/>
              <w:bidi w:val="0"/>
              <w:spacing w:before="0" w:after="0"/>
              <w:jc w:val="left"/>
              <w:rPr>
                <w:rFonts w:ascii="Times New Roman" w:hAnsi="Times New Roman"/>
                <w:sz w:val="24"/>
              </w:rPr>
            </w:pPr>
            <w:r>
              <w:rPr>
                <w:rFonts w:ascii="Times New Roman" w:hAnsi="Times New Roman"/>
                <w:sz w:val="24"/>
              </w:rPr>
              <w:t>Term Rate Advance and</w:t>
            </w:r>
          </w:p>
          <w:p>
            <w:pPr>
              <w:pStyle w:val="TableContents"/>
              <w:bidi w:val="0"/>
              <w:spacing w:before="0" w:after="0"/>
              <w:jc w:val="left"/>
              <w:rPr>
                <w:rFonts w:ascii="Times New Roman" w:hAnsi="Times New Roman"/>
                <w:sz w:val="24"/>
              </w:rPr>
            </w:pPr>
            <w:r>
              <w:rPr>
                <w:rFonts w:ascii="Times New Roman" w:hAnsi="Times New Roman"/>
                <w:sz w:val="24"/>
              </w:rPr>
              <w:t>SONIA Rate Advance</w:t>
            </w:r>
          </w:p>
          <w:p>
            <w:pPr>
              <w:pStyle w:val="TableContents"/>
              <w:bidi w:val="0"/>
              <w:spacing w:before="0" w:after="20"/>
              <w:jc w:val="left"/>
              <w:rPr>
                <w:rFonts w:ascii="Times New Roman" w:hAnsi="Times New Roman"/>
                <w:sz w:val="24"/>
                <w:u w:val="single"/>
              </w:rPr>
            </w:pPr>
            <w:r>
              <w:rPr>
                <w:rFonts w:ascii="Times New Roman" w:hAnsi="Times New Roman"/>
                <w:sz w:val="24"/>
                <w:u w:val="single"/>
              </w:rPr>
              <w:t>Applicable Margin</w:t>
            </w:r>
          </w:p>
        </w:tc>
        <w:tc>
          <w:tcPr>
            <w:tcW w:w="121" w:type="dxa"/>
            <w:tcBorders/>
            <w:vAlign w:val="bottom"/>
          </w:tcPr>
          <w:p>
            <w:pPr>
              <w:pStyle w:val="TableContents"/>
              <w:bidi w:val="0"/>
              <w:spacing w:before="0" w:after="283"/>
              <w:jc w:val="left"/>
              <w:rPr/>
            </w:pPr>
            <w:r>
              <w:rPr/>
              <w:t>  </w:t>
            </w:r>
          </w:p>
        </w:tc>
        <w:tc>
          <w:tcPr>
            <w:tcW w:w="2916" w:type="dxa"/>
            <w:tcBorders/>
          </w:tcPr>
          <w:p>
            <w:pPr>
              <w:pStyle w:val="TableContents"/>
              <w:bidi w:val="0"/>
              <w:spacing w:before="0" w:after="0"/>
              <w:jc w:val="left"/>
              <w:rPr>
                <w:rFonts w:ascii="Times New Roman" w:hAnsi="Times New Roman"/>
                <w:sz w:val="24"/>
              </w:rPr>
            </w:pPr>
            <w:r>
              <w:rPr>
                <w:rFonts w:ascii="Times New Roman" w:hAnsi="Times New Roman"/>
                <w:sz w:val="24"/>
              </w:rPr>
              <w:t>Base Rate</w:t>
            </w:r>
          </w:p>
          <w:p>
            <w:pPr>
              <w:pStyle w:val="TableContents"/>
              <w:bidi w:val="0"/>
              <w:spacing w:before="0" w:after="0"/>
              <w:jc w:val="left"/>
              <w:rPr>
                <w:rFonts w:ascii="Times New Roman" w:hAnsi="Times New Roman"/>
                <w:sz w:val="24"/>
              </w:rPr>
            </w:pPr>
            <w:r>
              <w:rPr>
                <w:rFonts w:ascii="Times New Roman" w:hAnsi="Times New Roman"/>
                <w:sz w:val="24"/>
              </w:rPr>
              <w:t>Advance</w:t>
            </w:r>
          </w:p>
          <w:p>
            <w:pPr>
              <w:pStyle w:val="TableContents"/>
              <w:bidi w:val="0"/>
              <w:spacing w:before="0" w:after="20"/>
              <w:jc w:val="left"/>
              <w:rPr>
                <w:rFonts w:ascii="Times New Roman" w:hAnsi="Times New Roman"/>
                <w:sz w:val="24"/>
                <w:u w:val="single"/>
              </w:rPr>
            </w:pPr>
            <w:r>
              <w:rPr>
                <w:rFonts w:ascii="Times New Roman" w:hAnsi="Times New Roman"/>
                <w:sz w:val="24"/>
                <w:u w:val="single"/>
              </w:rPr>
              <w:t>Applicable Margin</w:t>
            </w:r>
          </w:p>
        </w:tc>
      </w:tr>
      <w:tr>
        <w:trPr>
          <w:trHeight w:val="120" w:hRule="atLeast"/>
        </w:trPr>
        <w:tc>
          <w:tcPr>
            <w:tcW w:w="927" w:type="dxa"/>
            <w:tcBorders/>
            <w:vAlign w:val="center"/>
          </w:tcPr>
          <w:p>
            <w:pPr>
              <w:pStyle w:val="TableContents"/>
              <w:bidi w:val="0"/>
              <w:spacing w:before="0" w:after="283"/>
              <w:jc w:val="left"/>
              <w:rPr>
                <w:sz w:val="4"/>
                <w:szCs w:val="4"/>
              </w:rPr>
            </w:pPr>
            <w:r>
              <w:rPr>
                <w:sz w:val="4"/>
                <w:szCs w:val="4"/>
              </w:rPr>
            </w:r>
          </w:p>
        </w:tc>
        <w:tc>
          <w:tcPr>
            <w:tcW w:w="3208" w:type="dxa"/>
            <w:gridSpan w:val="2"/>
            <w:tcBorders/>
            <w:vAlign w:val="center"/>
          </w:tcPr>
          <w:p>
            <w:pPr>
              <w:pStyle w:val="TableContents"/>
              <w:bidi w:val="0"/>
              <w:spacing w:before="0" w:after="283"/>
              <w:jc w:val="left"/>
              <w:rPr>
                <w:sz w:val="4"/>
                <w:szCs w:val="4"/>
              </w:rPr>
            </w:pPr>
            <w:r>
              <w:rPr>
                <w:sz w:val="4"/>
                <w:szCs w:val="4"/>
              </w:rPr>
            </w:r>
          </w:p>
        </w:tc>
        <w:tc>
          <w:tcPr>
            <w:tcW w:w="3033" w:type="dxa"/>
            <w:gridSpan w:val="2"/>
            <w:tcBorders/>
            <w:vAlign w:val="center"/>
          </w:tcPr>
          <w:p>
            <w:pPr>
              <w:pStyle w:val="TableContents"/>
              <w:bidi w:val="0"/>
              <w:spacing w:before="0" w:after="283"/>
              <w:jc w:val="left"/>
              <w:rPr>
                <w:sz w:val="4"/>
                <w:szCs w:val="4"/>
              </w:rPr>
            </w:pPr>
            <w:r>
              <w:rPr>
                <w:sz w:val="4"/>
                <w:szCs w:val="4"/>
              </w:rPr>
            </w:r>
          </w:p>
        </w:tc>
        <w:tc>
          <w:tcPr>
            <w:tcW w:w="3037" w:type="dxa"/>
            <w:gridSpan w:val="2"/>
            <w:tcBorders/>
            <w:vAlign w:val="center"/>
          </w:tcPr>
          <w:p>
            <w:pPr>
              <w:pStyle w:val="TableContents"/>
              <w:bidi w:val="0"/>
              <w:spacing w:before="0" w:after="283"/>
              <w:jc w:val="left"/>
              <w:rPr>
                <w:sz w:val="4"/>
                <w:szCs w:val="4"/>
              </w:rPr>
            </w:pPr>
            <w:r>
              <w:rPr>
                <w:sz w:val="4"/>
                <w:szCs w:val="4"/>
              </w:rPr>
            </w:r>
          </w:p>
        </w:tc>
      </w:tr>
      <w:tr>
        <w:trPr/>
        <w:tc>
          <w:tcPr>
            <w:tcW w:w="927" w:type="dxa"/>
            <w:tcBorders/>
          </w:tcPr>
          <w:p>
            <w:pPr>
              <w:pStyle w:val="TableContents"/>
              <w:bidi w:val="0"/>
              <w:spacing w:before="0" w:after="0"/>
              <w:jc w:val="both"/>
              <w:rPr>
                <w:rFonts w:ascii="Times New Roman" w:hAnsi="Times New Roman"/>
                <w:color w:val="0000FF"/>
                <w:sz w:val="24"/>
                <w:u w:val="single"/>
                <w:bdr w:val="double" w:sz="2" w:space="1" w:color="000000"/>
              </w:rPr>
            </w:pPr>
            <w:r>
              <w:rPr>
                <w:rFonts w:ascii="Times New Roman" w:hAnsi="Times New Roman"/>
                <w:color w:val="0000FF"/>
                <w:sz w:val="24"/>
                <w:u w:val="single"/>
                <w:bdr w:val="double" w:sz="2" w:space="1" w:color="000000"/>
              </w:rPr>
              <w:t>A.</w:t>
            </w:r>
          </w:p>
        </w:tc>
        <w:tc>
          <w:tcPr>
            <w:tcW w:w="121" w:type="dxa"/>
            <w:tcBorders/>
            <w:vAlign w:val="bottom"/>
          </w:tcPr>
          <w:p>
            <w:pPr>
              <w:pStyle w:val="TableContents"/>
              <w:bidi w:val="0"/>
              <w:spacing w:before="0" w:after="283"/>
              <w:jc w:val="left"/>
              <w:rPr/>
            </w:pPr>
            <w:r>
              <w:rPr/>
              <w:t>  </w:t>
            </w:r>
          </w:p>
        </w:tc>
        <w:tc>
          <w:tcPr>
            <w:tcW w:w="3087" w:type="dxa"/>
            <w:tcBorders/>
          </w:tcPr>
          <w:p>
            <w:pPr>
              <w:pStyle w:val="TableContents"/>
              <w:bidi w:val="0"/>
              <w:spacing w:before="0" w:after="0"/>
              <w:jc w:val="both"/>
              <w:rPr>
                <w:rFonts w:ascii="Times New Roman" w:hAnsi="Times New Roman"/>
                <w:color w:val="0000FF"/>
                <w:sz w:val="24"/>
                <w:u w:val="single"/>
                <w:bdr w:val="double" w:sz="2" w:space="1" w:color="000000"/>
              </w:rPr>
            </w:pPr>
            <w:r>
              <w:rPr>
                <w:rFonts w:ascii="Times New Roman" w:hAnsi="Times New Roman"/>
                <w:color w:val="0000FF"/>
                <w:sz w:val="24"/>
                <w:u w:val="single"/>
                <w:bdr w:val="double" w:sz="2" w:space="1" w:color="000000"/>
              </w:rPr>
              <w:t>&gt; A / A2 /A</w:t>
            </w:r>
          </w:p>
        </w:tc>
        <w:tc>
          <w:tcPr>
            <w:tcW w:w="121" w:type="dxa"/>
            <w:tcBorders/>
            <w:vAlign w:val="bottom"/>
          </w:tcPr>
          <w:p>
            <w:pPr>
              <w:pStyle w:val="TableContents"/>
              <w:bidi w:val="0"/>
              <w:spacing w:before="0" w:after="283"/>
              <w:jc w:val="left"/>
              <w:rPr/>
            </w:pPr>
            <w:r>
              <w:rPr/>
              <w:t>  </w:t>
            </w:r>
          </w:p>
        </w:tc>
        <w:tc>
          <w:tcPr>
            <w:tcW w:w="2912" w:type="dxa"/>
            <w:tcBorders/>
          </w:tcPr>
          <w:p>
            <w:pPr>
              <w:pStyle w:val="TableContents"/>
              <w:bidi w:val="0"/>
              <w:spacing w:before="0" w:after="283"/>
              <w:jc w:val="center"/>
              <w:rPr>
                <w:color w:val="0000FF"/>
                <w:u w:val="single"/>
                <w:bdr w:val="double" w:sz="2" w:space="1" w:color="000000"/>
              </w:rPr>
            </w:pPr>
            <w:r>
              <w:rPr>
                <w:color w:val="0000FF"/>
                <w:u w:val="single"/>
                <w:bdr w:val="double" w:sz="2" w:space="1" w:color="000000"/>
              </w:rPr>
              <w:t>0.625%</w:t>
            </w:r>
          </w:p>
        </w:tc>
        <w:tc>
          <w:tcPr>
            <w:tcW w:w="121" w:type="dxa"/>
            <w:tcBorders/>
            <w:vAlign w:val="bottom"/>
          </w:tcPr>
          <w:p>
            <w:pPr>
              <w:pStyle w:val="TableContents"/>
              <w:bidi w:val="0"/>
              <w:spacing w:before="0" w:after="283"/>
              <w:jc w:val="left"/>
              <w:rPr/>
            </w:pPr>
            <w:r>
              <w:rPr/>
              <w:t>  </w:t>
            </w:r>
          </w:p>
        </w:tc>
        <w:tc>
          <w:tcPr>
            <w:tcW w:w="2916" w:type="dxa"/>
            <w:tcBorders/>
          </w:tcPr>
          <w:p>
            <w:pPr>
              <w:pStyle w:val="TableContents"/>
              <w:bidi w:val="0"/>
              <w:spacing w:before="0" w:after="283"/>
              <w:jc w:val="center"/>
              <w:rPr>
                <w:color w:val="0000FF"/>
                <w:u w:val="single"/>
                <w:bdr w:val="double" w:sz="2" w:space="1" w:color="000000"/>
              </w:rPr>
            </w:pPr>
            <w:r>
              <w:rPr>
                <w:color w:val="0000FF"/>
                <w:u w:val="single"/>
                <w:bdr w:val="double" w:sz="2" w:space="1" w:color="000000"/>
              </w:rPr>
              <w:t>0.000%</w:t>
            </w:r>
          </w:p>
        </w:tc>
      </w:tr>
      <w:tr>
        <w:trPr/>
        <w:tc>
          <w:tcPr>
            <w:tcW w:w="927"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A</w:t>
            </w:r>
            <w:r>
              <w:rPr>
                <w:rFonts w:ascii="Times New Roman" w:hAnsi="Times New Roman"/>
                <w:color w:val="0000FF"/>
                <w:sz w:val="24"/>
                <w:u w:val="single"/>
                <w:bdr w:val="double" w:sz="2" w:space="1" w:color="000000"/>
              </w:rPr>
              <w:t>B.</w:t>
            </w:r>
          </w:p>
        </w:tc>
        <w:tc>
          <w:tcPr>
            <w:tcW w:w="121" w:type="dxa"/>
            <w:tcBorders/>
            <w:vAlign w:val="bottom"/>
          </w:tcPr>
          <w:p>
            <w:pPr>
              <w:pStyle w:val="TableContents"/>
              <w:bidi w:val="0"/>
              <w:spacing w:before="0" w:after="283"/>
              <w:jc w:val="left"/>
              <w:rPr/>
            </w:pPr>
            <w:r>
              <w:rPr/>
              <w:t>  </w:t>
            </w:r>
          </w:p>
        </w:tc>
        <w:tc>
          <w:tcPr>
            <w:tcW w:w="3087"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 xml:space="preserve">&gt; </w:t>
            </w:r>
            <w:r>
              <w:rPr>
                <w:rFonts w:ascii="Times New Roman" w:hAnsi="Times New Roman"/>
                <w:sz w:val="24"/>
              </w:rPr>
              <w:t>A- / A3 /A-</w:t>
            </w:r>
          </w:p>
        </w:tc>
        <w:tc>
          <w:tcPr>
            <w:tcW w:w="121" w:type="dxa"/>
            <w:tcBorders/>
            <w:vAlign w:val="bottom"/>
          </w:tcPr>
          <w:p>
            <w:pPr>
              <w:pStyle w:val="TableContents"/>
              <w:bidi w:val="0"/>
              <w:spacing w:before="0" w:after="283"/>
              <w:jc w:val="left"/>
              <w:rPr/>
            </w:pPr>
            <w:r>
              <w:rPr/>
              <w:t>  </w:t>
            </w:r>
          </w:p>
        </w:tc>
        <w:tc>
          <w:tcPr>
            <w:tcW w:w="2912" w:type="dxa"/>
            <w:tcBorders/>
          </w:tcPr>
          <w:p>
            <w:pPr>
              <w:pStyle w:val="TableContents"/>
              <w:bidi w:val="0"/>
              <w:spacing w:before="0" w:after="283"/>
              <w:jc w:val="center"/>
              <w:rPr/>
            </w:pPr>
            <w:r>
              <w:rPr/>
              <w:t>0.750%</w:t>
            </w:r>
          </w:p>
        </w:tc>
        <w:tc>
          <w:tcPr>
            <w:tcW w:w="121" w:type="dxa"/>
            <w:tcBorders/>
            <w:vAlign w:val="bottom"/>
          </w:tcPr>
          <w:p>
            <w:pPr>
              <w:pStyle w:val="TableContents"/>
              <w:bidi w:val="0"/>
              <w:spacing w:before="0" w:after="283"/>
              <w:jc w:val="left"/>
              <w:rPr/>
            </w:pPr>
            <w:r>
              <w:rPr/>
              <w:t>  </w:t>
            </w:r>
          </w:p>
        </w:tc>
        <w:tc>
          <w:tcPr>
            <w:tcW w:w="2916" w:type="dxa"/>
            <w:tcBorders/>
          </w:tcPr>
          <w:p>
            <w:pPr>
              <w:pStyle w:val="TableContents"/>
              <w:bidi w:val="0"/>
              <w:spacing w:before="0" w:after="283"/>
              <w:jc w:val="center"/>
              <w:rPr/>
            </w:pPr>
            <w:r>
              <w:rPr/>
              <w:t>0.000%</w:t>
            </w:r>
          </w:p>
        </w:tc>
      </w:tr>
      <w:tr>
        <w:trPr/>
        <w:tc>
          <w:tcPr>
            <w:tcW w:w="927"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B</w:t>
            </w:r>
            <w:r>
              <w:rPr>
                <w:rFonts w:ascii="Times New Roman" w:hAnsi="Times New Roman"/>
                <w:color w:val="0000FF"/>
                <w:sz w:val="24"/>
                <w:u w:val="single"/>
                <w:bdr w:val="double" w:sz="2" w:space="1" w:color="000000"/>
              </w:rPr>
              <w:t>C.</w:t>
            </w:r>
          </w:p>
        </w:tc>
        <w:tc>
          <w:tcPr>
            <w:tcW w:w="121" w:type="dxa"/>
            <w:tcBorders/>
            <w:vAlign w:val="bottom"/>
          </w:tcPr>
          <w:p>
            <w:pPr>
              <w:pStyle w:val="TableContents"/>
              <w:bidi w:val="0"/>
              <w:spacing w:before="0" w:after="283"/>
              <w:jc w:val="left"/>
              <w:rPr/>
            </w:pPr>
            <w:r>
              <w:rPr/>
              <w:t>  </w:t>
            </w:r>
          </w:p>
        </w:tc>
        <w:tc>
          <w:tcPr>
            <w:tcW w:w="3087" w:type="dxa"/>
            <w:tcBorders/>
          </w:tcPr>
          <w:p>
            <w:pPr>
              <w:pStyle w:val="TableContents"/>
              <w:bidi w:val="0"/>
              <w:spacing w:before="0" w:after="0"/>
              <w:jc w:val="both"/>
              <w:rPr>
                <w:rFonts w:ascii="Times New Roman" w:hAnsi="Times New Roman"/>
                <w:sz w:val="24"/>
              </w:rPr>
            </w:pPr>
            <w:r>
              <w:rPr>
                <w:rFonts w:ascii="Times New Roman" w:hAnsi="Times New Roman"/>
                <w:sz w:val="24"/>
              </w:rPr>
              <w:t>BBB+ / Baal/ BBB+</w:t>
            </w:r>
          </w:p>
        </w:tc>
        <w:tc>
          <w:tcPr>
            <w:tcW w:w="121" w:type="dxa"/>
            <w:tcBorders/>
            <w:vAlign w:val="bottom"/>
          </w:tcPr>
          <w:p>
            <w:pPr>
              <w:pStyle w:val="TableContents"/>
              <w:bidi w:val="0"/>
              <w:spacing w:before="0" w:after="283"/>
              <w:jc w:val="left"/>
              <w:rPr/>
            </w:pPr>
            <w:r>
              <w:rPr/>
              <w:t>  </w:t>
            </w:r>
          </w:p>
        </w:tc>
        <w:tc>
          <w:tcPr>
            <w:tcW w:w="2912" w:type="dxa"/>
            <w:tcBorders/>
          </w:tcPr>
          <w:p>
            <w:pPr>
              <w:pStyle w:val="TableContents"/>
              <w:bidi w:val="0"/>
              <w:spacing w:before="0" w:after="283"/>
              <w:jc w:val="center"/>
              <w:rPr/>
            </w:pPr>
            <w:r>
              <w:rPr/>
              <w:t>0.875%</w:t>
            </w:r>
          </w:p>
        </w:tc>
        <w:tc>
          <w:tcPr>
            <w:tcW w:w="121" w:type="dxa"/>
            <w:tcBorders/>
            <w:vAlign w:val="bottom"/>
          </w:tcPr>
          <w:p>
            <w:pPr>
              <w:pStyle w:val="TableContents"/>
              <w:bidi w:val="0"/>
              <w:spacing w:before="0" w:after="283"/>
              <w:jc w:val="left"/>
              <w:rPr/>
            </w:pPr>
            <w:r>
              <w:rPr/>
              <w:t>  </w:t>
            </w:r>
          </w:p>
        </w:tc>
        <w:tc>
          <w:tcPr>
            <w:tcW w:w="2916" w:type="dxa"/>
            <w:tcBorders/>
          </w:tcPr>
          <w:p>
            <w:pPr>
              <w:pStyle w:val="TableContents"/>
              <w:bidi w:val="0"/>
              <w:spacing w:before="0" w:after="283"/>
              <w:jc w:val="center"/>
              <w:rPr/>
            </w:pPr>
            <w:r>
              <w:rPr/>
              <w:t>0.000%</w:t>
            </w:r>
          </w:p>
        </w:tc>
      </w:tr>
      <w:tr>
        <w:trPr/>
        <w:tc>
          <w:tcPr>
            <w:tcW w:w="927"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C</w:t>
            </w:r>
            <w:r>
              <w:rPr>
                <w:rFonts w:ascii="Times New Roman" w:hAnsi="Times New Roman"/>
                <w:color w:val="0000FF"/>
                <w:sz w:val="24"/>
                <w:u w:val="single"/>
                <w:bdr w:val="double" w:sz="2" w:space="1" w:color="000000"/>
              </w:rPr>
              <w:t>D.</w:t>
            </w:r>
          </w:p>
        </w:tc>
        <w:tc>
          <w:tcPr>
            <w:tcW w:w="121" w:type="dxa"/>
            <w:tcBorders/>
            <w:vAlign w:val="bottom"/>
          </w:tcPr>
          <w:p>
            <w:pPr>
              <w:pStyle w:val="TableContents"/>
              <w:bidi w:val="0"/>
              <w:spacing w:before="0" w:after="283"/>
              <w:jc w:val="left"/>
              <w:rPr/>
            </w:pPr>
            <w:r>
              <w:rPr/>
              <w:t>  </w:t>
            </w:r>
          </w:p>
        </w:tc>
        <w:tc>
          <w:tcPr>
            <w:tcW w:w="3087" w:type="dxa"/>
            <w:tcBorders/>
          </w:tcPr>
          <w:p>
            <w:pPr>
              <w:pStyle w:val="TableContents"/>
              <w:bidi w:val="0"/>
              <w:spacing w:before="0" w:after="0"/>
              <w:jc w:val="both"/>
              <w:rPr>
                <w:rFonts w:ascii="Times New Roman" w:hAnsi="Times New Roman"/>
                <w:sz w:val="24"/>
              </w:rPr>
            </w:pPr>
            <w:r>
              <w:rPr>
                <w:rFonts w:ascii="Times New Roman" w:hAnsi="Times New Roman"/>
                <w:sz w:val="24"/>
              </w:rPr>
              <w:t>BBB / Baa2 / BBB</w:t>
            </w:r>
          </w:p>
        </w:tc>
        <w:tc>
          <w:tcPr>
            <w:tcW w:w="121" w:type="dxa"/>
            <w:tcBorders/>
            <w:vAlign w:val="bottom"/>
          </w:tcPr>
          <w:p>
            <w:pPr>
              <w:pStyle w:val="TableContents"/>
              <w:bidi w:val="0"/>
              <w:spacing w:before="0" w:after="283"/>
              <w:jc w:val="left"/>
              <w:rPr/>
            </w:pPr>
            <w:r>
              <w:rPr/>
              <w:t>  </w:t>
            </w:r>
          </w:p>
        </w:tc>
        <w:tc>
          <w:tcPr>
            <w:tcW w:w="2912" w:type="dxa"/>
            <w:tcBorders/>
          </w:tcPr>
          <w:p>
            <w:pPr>
              <w:pStyle w:val="TableContents"/>
              <w:bidi w:val="0"/>
              <w:spacing w:before="0" w:after="283"/>
              <w:jc w:val="center"/>
              <w:rPr/>
            </w:pPr>
            <w:r>
              <w:rPr/>
              <w:t>1.000%</w:t>
            </w:r>
          </w:p>
        </w:tc>
        <w:tc>
          <w:tcPr>
            <w:tcW w:w="121" w:type="dxa"/>
            <w:tcBorders/>
            <w:vAlign w:val="bottom"/>
          </w:tcPr>
          <w:p>
            <w:pPr>
              <w:pStyle w:val="TableContents"/>
              <w:bidi w:val="0"/>
              <w:spacing w:before="0" w:after="283"/>
              <w:jc w:val="left"/>
              <w:rPr/>
            </w:pPr>
            <w:r>
              <w:rPr/>
              <w:t>  </w:t>
            </w:r>
          </w:p>
        </w:tc>
        <w:tc>
          <w:tcPr>
            <w:tcW w:w="2916" w:type="dxa"/>
            <w:tcBorders/>
          </w:tcPr>
          <w:p>
            <w:pPr>
              <w:pStyle w:val="TableContents"/>
              <w:bidi w:val="0"/>
              <w:spacing w:before="0" w:after="283"/>
              <w:jc w:val="center"/>
              <w:rPr/>
            </w:pPr>
            <w:r>
              <w:rPr/>
              <w:t>0.000%</w:t>
            </w:r>
          </w:p>
        </w:tc>
      </w:tr>
      <w:tr>
        <w:trPr/>
        <w:tc>
          <w:tcPr>
            <w:tcW w:w="927"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D</w:t>
            </w:r>
            <w:r>
              <w:rPr>
                <w:rFonts w:ascii="Times New Roman" w:hAnsi="Times New Roman"/>
                <w:color w:val="0000FF"/>
                <w:sz w:val="24"/>
                <w:u w:val="single"/>
                <w:bdr w:val="double" w:sz="2" w:space="1" w:color="000000"/>
              </w:rPr>
              <w:t>E.</w:t>
            </w:r>
          </w:p>
        </w:tc>
        <w:tc>
          <w:tcPr>
            <w:tcW w:w="121" w:type="dxa"/>
            <w:tcBorders/>
            <w:vAlign w:val="bottom"/>
          </w:tcPr>
          <w:p>
            <w:pPr>
              <w:pStyle w:val="TableContents"/>
              <w:bidi w:val="0"/>
              <w:spacing w:before="0" w:after="283"/>
              <w:jc w:val="left"/>
              <w:rPr/>
            </w:pPr>
            <w:r>
              <w:rPr/>
              <w:t>  </w:t>
            </w:r>
          </w:p>
        </w:tc>
        <w:tc>
          <w:tcPr>
            <w:tcW w:w="3087" w:type="dxa"/>
            <w:tcBorders/>
          </w:tcPr>
          <w:p>
            <w:pPr>
              <w:pStyle w:val="TableContents"/>
              <w:bidi w:val="0"/>
              <w:spacing w:before="0" w:after="0"/>
              <w:jc w:val="both"/>
              <w:rPr>
                <w:rFonts w:ascii="Times New Roman" w:hAnsi="Times New Roman"/>
                <w:sz w:val="24"/>
              </w:rPr>
            </w:pPr>
            <w:r>
              <w:rPr>
                <w:rFonts w:ascii="Times New Roman" w:hAnsi="Times New Roman"/>
                <w:sz w:val="24"/>
              </w:rPr>
              <w:t>&lt; BBB / Baa3 / BBB -</w:t>
            </w:r>
          </w:p>
        </w:tc>
        <w:tc>
          <w:tcPr>
            <w:tcW w:w="121" w:type="dxa"/>
            <w:tcBorders/>
            <w:vAlign w:val="bottom"/>
          </w:tcPr>
          <w:p>
            <w:pPr>
              <w:pStyle w:val="TableContents"/>
              <w:bidi w:val="0"/>
              <w:spacing w:before="0" w:after="283"/>
              <w:jc w:val="left"/>
              <w:rPr/>
            </w:pPr>
            <w:r>
              <w:rPr/>
              <w:t>  </w:t>
            </w:r>
          </w:p>
        </w:tc>
        <w:tc>
          <w:tcPr>
            <w:tcW w:w="2912" w:type="dxa"/>
            <w:tcBorders/>
          </w:tcPr>
          <w:p>
            <w:pPr>
              <w:pStyle w:val="TableContents"/>
              <w:bidi w:val="0"/>
              <w:spacing w:before="0" w:after="283"/>
              <w:jc w:val="center"/>
              <w:rPr/>
            </w:pPr>
            <w:r>
              <w:rPr/>
              <w:t>1.125%</w:t>
            </w:r>
          </w:p>
        </w:tc>
        <w:tc>
          <w:tcPr>
            <w:tcW w:w="121" w:type="dxa"/>
            <w:tcBorders/>
            <w:vAlign w:val="bottom"/>
          </w:tcPr>
          <w:p>
            <w:pPr>
              <w:pStyle w:val="TableContents"/>
              <w:bidi w:val="0"/>
              <w:spacing w:before="0" w:after="283"/>
              <w:jc w:val="left"/>
              <w:rPr/>
            </w:pPr>
            <w:r>
              <w:rPr/>
              <w:t>  </w:t>
            </w:r>
          </w:p>
        </w:tc>
        <w:tc>
          <w:tcPr>
            <w:tcW w:w="2916" w:type="dxa"/>
            <w:tcBorders/>
          </w:tcPr>
          <w:p>
            <w:pPr>
              <w:pStyle w:val="TableContents"/>
              <w:bidi w:val="0"/>
              <w:spacing w:before="0" w:after="283"/>
              <w:jc w:val="center"/>
              <w:rPr/>
            </w:pPr>
            <w:r>
              <w:rPr/>
              <w:t>0.125%</w:t>
            </w:r>
          </w:p>
        </w:tc>
      </w:tr>
      <w:tr>
        <w:trPr/>
        <w:tc>
          <w:tcPr>
            <w:tcW w:w="927" w:type="dxa"/>
            <w:tcBorders/>
          </w:tcPr>
          <w:p>
            <w:pPr>
              <w:pStyle w:val="TableContents"/>
              <w:bidi w:val="0"/>
              <w:spacing w:before="0" w:after="0"/>
              <w:jc w:val="both"/>
              <w:rPr>
                <w:rFonts w:ascii="Times New Roman" w:hAnsi="Times New Roman"/>
                <w:strike/>
                <w:color w:val="FF0000"/>
                <w:sz w:val="24"/>
              </w:rPr>
            </w:pPr>
            <w:r>
              <w:rPr>
                <w:rFonts w:ascii="Times New Roman" w:hAnsi="Times New Roman"/>
                <w:strike/>
                <w:color w:val="FF0000"/>
                <w:sz w:val="24"/>
              </w:rPr>
              <w:t>E.</w:t>
            </w:r>
          </w:p>
        </w:tc>
        <w:tc>
          <w:tcPr>
            <w:tcW w:w="121" w:type="dxa"/>
            <w:tcBorders/>
            <w:vAlign w:val="bottom"/>
          </w:tcPr>
          <w:p>
            <w:pPr>
              <w:pStyle w:val="TableContents"/>
              <w:bidi w:val="0"/>
              <w:spacing w:before="0" w:after="283"/>
              <w:jc w:val="left"/>
              <w:rPr/>
            </w:pPr>
            <w:r>
              <w:rPr/>
              <w:t>  </w:t>
            </w:r>
          </w:p>
        </w:tc>
        <w:tc>
          <w:tcPr>
            <w:tcW w:w="3087" w:type="dxa"/>
            <w:tcBorders/>
          </w:tcPr>
          <w:p>
            <w:pPr>
              <w:pStyle w:val="TableContents"/>
              <w:bidi w:val="0"/>
              <w:spacing w:before="0" w:after="0"/>
              <w:jc w:val="both"/>
              <w:rPr>
                <w:rFonts w:ascii="Times New Roman" w:hAnsi="Times New Roman"/>
                <w:strike/>
                <w:color w:val="FF0000"/>
                <w:sz w:val="24"/>
              </w:rPr>
            </w:pPr>
            <w:r>
              <w:rPr>
                <w:rFonts w:ascii="Times New Roman" w:hAnsi="Times New Roman"/>
                <w:strike/>
                <w:color w:val="FF0000"/>
                <w:sz w:val="24"/>
              </w:rPr>
              <w:t>&lt;BB4+ / Bal / BB+</w:t>
            </w:r>
          </w:p>
        </w:tc>
        <w:tc>
          <w:tcPr>
            <w:tcW w:w="121" w:type="dxa"/>
            <w:tcBorders/>
            <w:vAlign w:val="bottom"/>
          </w:tcPr>
          <w:p>
            <w:pPr>
              <w:pStyle w:val="TableContents"/>
              <w:bidi w:val="0"/>
              <w:spacing w:before="0" w:after="283"/>
              <w:jc w:val="left"/>
              <w:rPr/>
            </w:pPr>
            <w:r>
              <w:rPr/>
              <w:t>  </w:t>
            </w:r>
          </w:p>
        </w:tc>
        <w:tc>
          <w:tcPr>
            <w:tcW w:w="2912" w:type="dxa"/>
            <w:tcBorders/>
          </w:tcPr>
          <w:p>
            <w:pPr>
              <w:pStyle w:val="TableContents"/>
              <w:bidi w:val="0"/>
              <w:spacing w:before="0" w:after="283"/>
              <w:jc w:val="center"/>
              <w:rPr>
                <w:strike/>
                <w:color w:val="FF0000"/>
              </w:rPr>
            </w:pPr>
            <w:r>
              <w:rPr>
                <w:strike/>
                <w:color w:val="FF0000"/>
              </w:rPr>
              <w:t>1.375%</w:t>
            </w:r>
          </w:p>
        </w:tc>
        <w:tc>
          <w:tcPr>
            <w:tcW w:w="121" w:type="dxa"/>
            <w:tcBorders/>
            <w:vAlign w:val="bottom"/>
          </w:tcPr>
          <w:p>
            <w:pPr>
              <w:pStyle w:val="TableContents"/>
              <w:bidi w:val="0"/>
              <w:spacing w:before="0" w:after="283"/>
              <w:jc w:val="left"/>
              <w:rPr/>
            </w:pPr>
            <w:r>
              <w:rPr/>
              <w:t>  </w:t>
            </w:r>
          </w:p>
        </w:tc>
        <w:tc>
          <w:tcPr>
            <w:tcW w:w="2916" w:type="dxa"/>
            <w:tcBorders/>
          </w:tcPr>
          <w:p>
            <w:pPr>
              <w:pStyle w:val="TableContents"/>
              <w:bidi w:val="0"/>
              <w:spacing w:before="0" w:after="283"/>
              <w:jc w:val="center"/>
              <w:rPr>
                <w:strike/>
                <w:color w:val="FF0000"/>
              </w:rPr>
            </w:pPr>
            <w:r>
              <w:rPr>
                <w:strike/>
                <w:color w:val="FF0000"/>
              </w:rPr>
              <w:t>0.375%</w:t>
            </w:r>
          </w:p>
        </w:tc>
      </w:tr>
    </w:tbl>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Changes in Applicable Margin: Determination of Debt Rating.</w:t>
      </w:r>
      <w:r>
        <w:rPr>
          <w:rFonts w:ascii="Times New Roman" w:hAnsi="Times New Roman"/>
          <w:sz w:val="24"/>
        </w:rPr>
        <w:t xml:space="preserve"> Changes to the Applicable Margin shall be effective as of the next Business Day after the day on which the Debt Rating changes. Any change to any Debt Rating established by S&amp;P, Moody’s or Fitch shall be effective as of the date on which such change is first announced publicly by the applicable rating agency making such change and on and after that day the changed Debt Rating shall be the Debt Rating of such rating agency for purposes of this Agreement. If none of S&amp;P, Moody’s or Fitch shall have in effect a Debt Rating, the Applicable Margin shall be set in accordance with part E of the table set forth in Section 2.3(f)(i). If S&amp;P, Moody’s or Fitch shall change the basis on which ratings are established, each reference to the Debt Rating announced by S&amp;P, Moody’s or Fitch, as the case may be, shall refer to the then equivalent rating by S&amp;P, Moody’s or Fitch, as the case may be.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sz w:val="24"/>
          <w:u w:val="single"/>
        </w:rPr>
        <w:t>Initial Benchmark Conforming Changes.</w:t>
      </w:r>
      <w:r>
        <w:rPr>
          <w:rFonts w:ascii="Times New Roman" w:hAnsi="Times New Roman"/>
          <w:sz w:val="24"/>
        </w:rPr>
        <w:t xml:space="preserve">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Company and the Lenders of the effectiveness of any Conforming Changes in connection with the use or administration of any Benchmark. </w:t>
      </w:r>
    </w:p>
    <w:p>
      <w:pPr>
        <w:pStyle w:val="TextBody"/>
        <w:bidi w:val="0"/>
        <w:spacing w:before="240" w:after="0"/>
        <w:jc w:val="both"/>
        <w:rPr>
          <w:rFonts w:ascii="Times New Roman" w:hAnsi="Times New Roman"/>
          <w:sz w:val="24"/>
        </w:rPr>
      </w:pPr>
      <w:r>
        <w:rPr>
          <w:rFonts w:ascii="Times New Roman" w:hAnsi="Times New Roman"/>
          <w:sz w:val="24"/>
        </w:rPr>
        <w:t>Section 2.4 </w:t>
      </w:r>
      <w:r>
        <w:rPr>
          <w:rFonts w:ascii="Times New Roman" w:hAnsi="Times New Roman"/>
          <w:sz w:val="24"/>
          <w:u w:val="single"/>
        </w:rPr>
        <w:t>Commitment and Letter of Credit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Commitment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(i) Subject to Section 2.16(a)(iii), the Company agrees to pay to the Administrative Agent for the account of each of the Lenders having a Revolving Loan Commitment in accordance with such Lender’s applicable Commitment Ratio, a commitment fee, in Dollars, on the unused portion of the Available Amount of the Revolving Loan Commitment (and any portion of the Revolving Loan Commitment of a Lender corresponding to the Dollar Equivalent amount of an outstanding Letter of Credit (whether drawn or not) shall be deemed used) for each day from the Effective Date through and including the Maturity Date at the applicable rate set forth below, based upon the Applicable Debt Rating (as such Applicable Debt Rating is determined pursuant to Section 2.4(a)(ii)) in effect on such date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44 </w:t>
      </w:r>
      <w:r>
        <w:br w:type="page"/>
      </w:r>
    </w:p>
    <w:p>
      <w:pPr>
        <w:pStyle w:val="HorizontalLine"/>
        <w:pBdr>
          <w:bottom w:val="double" w:sz="6" w:space="0" w:color="808080"/>
        </w:pBdr>
        <w:bidi w:val="0"/>
        <w:jc w:val="left"/>
        <w:rPr/>
      </w:pPr>
      <w:r>
        <w:rPr/>
      </w:r>
    </w:p>
    <w:tbl>
      <w:tblPr>
        <w:tblW w:w="4000" w:type="pct"/>
        <w:jc w:val="center"/>
        <w:tblInd w:w="0" w:type="dxa"/>
        <w:tblLayout w:type="fixed"/>
        <w:tblCellMar>
          <w:top w:w="0" w:type="dxa"/>
          <w:left w:w="0" w:type="dxa"/>
          <w:bottom w:w="0" w:type="dxa"/>
          <w:right w:w="0" w:type="dxa"/>
        </w:tblCellMar>
      </w:tblPr>
      <w:tblGrid>
        <w:gridCol w:w="1769"/>
        <w:gridCol w:w="122"/>
        <w:gridCol w:w="3159"/>
        <w:gridCol w:w="194"/>
        <w:gridCol w:w="2920"/>
      </w:tblGrid>
      <w:tr>
        <w:trPr/>
        <w:tc>
          <w:tcPr>
            <w:tcW w:w="176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59" w:type="dxa"/>
            <w:tcBorders/>
          </w:tcPr>
          <w:p>
            <w:pPr>
              <w:pStyle w:val="TableContents"/>
              <w:bidi w:val="0"/>
              <w:spacing w:before="0" w:after="283"/>
              <w:jc w:val="center"/>
              <w:rPr>
                <w:u w:val="single"/>
              </w:rPr>
            </w:pPr>
            <w:r>
              <w:rPr>
                <w:u w:val="single"/>
              </w:rPr>
              <w:t>Applicable Debt Rating</w:t>
            </w:r>
          </w:p>
        </w:tc>
        <w:tc>
          <w:tcPr>
            <w:tcW w:w="194" w:type="dxa"/>
            <w:tcBorders/>
            <w:vAlign w:val="bottom"/>
          </w:tcPr>
          <w:p>
            <w:pPr>
              <w:pStyle w:val="TableContents"/>
              <w:bidi w:val="0"/>
              <w:spacing w:before="0" w:after="283"/>
              <w:jc w:val="left"/>
              <w:rPr/>
            </w:pPr>
            <w:r>
              <w:rPr/>
              <w:t>  </w:t>
            </w:r>
          </w:p>
        </w:tc>
        <w:tc>
          <w:tcPr>
            <w:tcW w:w="2920" w:type="dxa"/>
            <w:tcBorders/>
          </w:tcPr>
          <w:p>
            <w:pPr>
              <w:pStyle w:val="TableContents"/>
              <w:bidi w:val="0"/>
              <w:spacing w:before="0" w:after="283"/>
              <w:jc w:val="center"/>
              <w:rPr>
                <w:u w:val="single"/>
              </w:rPr>
            </w:pPr>
            <w:r>
              <w:rPr>
                <w:u w:val="single"/>
              </w:rPr>
              <w:t>Rate per Annum</w:t>
            </w:r>
          </w:p>
        </w:tc>
      </w:tr>
      <w:tr>
        <w:trPr>
          <w:trHeight w:val="120" w:hRule="atLeast"/>
        </w:trPr>
        <w:tc>
          <w:tcPr>
            <w:tcW w:w="1769"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114" w:type="dxa"/>
            <w:gridSpan w:val="2"/>
            <w:tcBorders/>
            <w:vAlign w:val="center"/>
          </w:tcPr>
          <w:p>
            <w:pPr>
              <w:pStyle w:val="TableContents"/>
              <w:bidi w:val="0"/>
              <w:spacing w:before="0" w:after="283"/>
              <w:jc w:val="left"/>
              <w:rPr>
                <w:sz w:val="4"/>
                <w:szCs w:val="4"/>
              </w:rPr>
            </w:pPr>
            <w:r>
              <w:rPr>
                <w:sz w:val="4"/>
                <w:szCs w:val="4"/>
              </w:rPr>
            </w:r>
          </w:p>
        </w:tc>
      </w:tr>
      <w:tr>
        <w:trPr/>
        <w:tc>
          <w:tcPr>
            <w:tcW w:w="1769" w:type="dxa"/>
            <w:tcBorders/>
          </w:tcPr>
          <w:p>
            <w:pPr>
              <w:pStyle w:val="TableContents"/>
              <w:bidi w:val="0"/>
              <w:spacing w:before="0" w:after="0"/>
              <w:jc w:val="both"/>
              <w:rPr>
                <w:rFonts w:ascii="Times New Roman" w:hAnsi="Times New Roman"/>
                <w:color w:val="0000FF"/>
                <w:sz w:val="24"/>
                <w:u w:val="single"/>
                <w:bdr w:val="double" w:sz="2" w:space="1" w:color="000000"/>
              </w:rPr>
            </w:pPr>
            <w:r>
              <w:rPr>
                <w:rFonts w:ascii="Times New Roman" w:hAnsi="Times New Roman"/>
                <w:color w:val="0000FF"/>
                <w:sz w:val="24"/>
                <w:u w:val="single"/>
                <w:bdr w:val="double" w:sz="2" w:space="1" w:color="000000"/>
              </w:rPr>
              <w:t>A.</w:t>
            </w:r>
          </w:p>
        </w:tc>
        <w:tc>
          <w:tcPr>
            <w:tcW w:w="122" w:type="dxa"/>
            <w:tcBorders/>
            <w:vAlign w:val="bottom"/>
          </w:tcPr>
          <w:p>
            <w:pPr>
              <w:pStyle w:val="TableContents"/>
              <w:bidi w:val="0"/>
              <w:spacing w:before="0" w:after="283"/>
              <w:jc w:val="left"/>
              <w:rPr/>
            </w:pPr>
            <w:r>
              <w:rPr/>
              <w:t>  </w:t>
            </w:r>
          </w:p>
        </w:tc>
        <w:tc>
          <w:tcPr>
            <w:tcW w:w="315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&gt; A / A2 / A</w:t>
            </w:r>
          </w:p>
        </w:tc>
        <w:tc>
          <w:tcPr>
            <w:tcW w:w="194" w:type="dxa"/>
            <w:tcBorders/>
            <w:vAlign w:val="bottom"/>
          </w:tcPr>
          <w:p>
            <w:pPr>
              <w:pStyle w:val="TableContents"/>
              <w:bidi w:val="0"/>
              <w:spacing w:before="0" w:after="283"/>
              <w:jc w:val="left"/>
              <w:rPr/>
            </w:pPr>
            <w:r>
              <w:rPr/>
              <w:t>  </w:t>
            </w:r>
          </w:p>
        </w:tc>
        <w:tc>
          <w:tcPr>
            <w:tcW w:w="2920" w:type="dxa"/>
            <w:tcBorders/>
          </w:tcPr>
          <w:p>
            <w:pPr>
              <w:pStyle w:val="TableContents"/>
              <w:bidi w:val="0"/>
              <w:spacing w:before="0" w:after="283"/>
              <w:jc w:val="center"/>
              <w:rPr>
                <w:color w:val="0000FF"/>
                <w:u w:val="single"/>
                <w:bdr w:val="double" w:sz="2" w:space="1" w:color="000000"/>
              </w:rPr>
            </w:pPr>
            <w:r>
              <w:rPr>
                <w:color w:val="0000FF"/>
                <w:u w:val="single"/>
                <w:bdr w:val="double" w:sz="2" w:space="1" w:color="000000"/>
              </w:rPr>
              <w:t>0.060%</w:t>
            </w:r>
          </w:p>
        </w:tc>
      </w:tr>
      <w:tr>
        <w:trPr/>
        <w:tc>
          <w:tcPr>
            <w:tcW w:w="1769"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A</w:t>
            </w:r>
            <w:r>
              <w:rPr>
                <w:rFonts w:ascii="Times New Roman" w:hAnsi="Times New Roman"/>
                <w:color w:val="0000FF"/>
                <w:sz w:val="24"/>
                <w:u w:val="single"/>
                <w:bdr w:val="double" w:sz="2" w:space="1" w:color="000000"/>
              </w:rPr>
              <w:t>B.</w:t>
            </w:r>
          </w:p>
        </w:tc>
        <w:tc>
          <w:tcPr>
            <w:tcW w:w="122" w:type="dxa"/>
            <w:tcBorders/>
            <w:vAlign w:val="bottom"/>
          </w:tcPr>
          <w:p>
            <w:pPr>
              <w:pStyle w:val="TableContents"/>
              <w:bidi w:val="0"/>
              <w:spacing w:before="0" w:after="283"/>
              <w:jc w:val="left"/>
              <w:rPr/>
            </w:pPr>
            <w:r>
              <w:rPr/>
              <w:t>  </w:t>
            </w:r>
          </w:p>
        </w:tc>
        <w:tc>
          <w:tcPr>
            <w:tcW w:w="3159" w:type="dxa"/>
            <w:tcBorders/>
          </w:tcPr>
          <w:p>
            <w:pPr>
              <w:pStyle w:val="TableContents"/>
              <w:bidi w:val="0"/>
              <w:spacing w:before="0" w:after="283"/>
              <w:jc w:val="left"/>
              <w:rPr/>
            </w:pPr>
            <w:r>
              <w:rPr>
                <w:strike/>
                <w:color w:val="FF0000"/>
              </w:rPr>
              <w:t xml:space="preserve">&gt; </w:t>
            </w:r>
            <w:r>
              <w:rPr/>
              <w:t>A / A3 / A-</w:t>
            </w:r>
          </w:p>
        </w:tc>
        <w:tc>
          <w:tcPr>
            <w:tcW w:w="194" w:type="dxa"/>
            <w:tcBorders/>
            <w:vAlign w:val="bottom"/>
          </w:tcPr>
          <w:p>
            <w:pPr>
              <w:pStyle w:val="TableContents"/>
              <w:bidi w:val="0"/>
              <w:spacing w:before="0" w:after="283"/>
              <w:jc w:val="left"/>
              <w:rPr/>
            </w:pPr>
            <w:r>
              <w:rPr/>
              <w:t>  </w:t>
            </w:r>
          </w:p>
        </w:tc>
        <w:tc>
          <w:tcPr>
            <w:tcW w:w="2920" w:type="dxa"/>
            <w:tcBorders/>
          </w:tcPr>
          <w:p>
            <w:pPr>
              <w:pStyle w:val="TableContents"/>
              <w:bidi w:val="0"/>
              <w:spacing w:before="0" w:after="283"/>
              <w:jc w:val="center"/>
              <w:rPr/>
            </w:pPr>
            <w:r>
              <w:rPr>
                <w:strike/>
                <w:color w:val="FF0000"/>
              </w:rPr>
              <w:t xml:space="preserve">0.0800 </w:t>
            </w:r>
            <w:r>
              <w:rPr>
                <w:color w:val="0000FF"/>
                <w:u w:val="single"/>
                <w:bdr w:val="double" w:sz="2" w:space="1" w:color="000000"/>
              </w:rPr>
              <w:t>0.080</w:t>
            </w:r>
            <w:r>
              <w:rPr/>
              <w:t>%</w:t>
            </w:r>
          </w:p>
        </w:tc>
      </w:tr>
      <w:tr>
        <w:trPr/>
        <w:tc>
          <w:tcPr>
            <w:tcW w:w="1769"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B</w:t>
            </w:r>
            <w:r>
              <w:rPr>
                <w:rFonts w:ascii="Times New Roman" w:hAnsi="Times New Roman"/>
                <w:color w:val="0000FF"/>
                <w:sz w:val="24"/>
                <w:u w:val="single"/>
                <w:bdr w:val="double" w:sz="2" w:space="1" w:color="000000"/>
              </w:rPr>
              <w:t>C.</w:t>
            </w:r>
          </w:p>
        </w:tc>
        <w:tc>
          <w:tcPr>
            <w:tcW w:w="122" w:type="dxa"/>
            <w:tcBorders/>
            <w:vAlign w:val="bottom"/>
          </w:tcPr>
          <w:p>
            <w:pPr>
              <w:pStyle w:val="TableContents"/>
              <w:bidi w:val="0"/>
              <w:spacing w:before="0" w:after="283"/>
              <w:jc w:val="left"/>
              <w:rPr/>
            </w:pPr>
            <w:r>
              <w:rPr/>
              <w:t>  </w:t>
            </w:r>
          </w:p>
        </w:tc>
        <w:tc>
          <w:tcPr>
            <w:tcW w:w="3159" w:type="dxa"/>
            <w:tcBorders/>
          </w:tcPr>
          <w:p>
            <w:pPr>
              <w:pStyle w:val="TableContents"/>
              <w:bidi w:val="0"/>
              <w:spacing w:before="0" w:after="283"/>
              <w:jc w:val="left"/>
              <w:rPr/>
            </w:pPr>
            <w:r>
              <w:rPr/>
              <w:t>BBB+ / Baal/ BBB+</w:t>
            </w:r>
          </w:p>
        </w:tc>
        <w:tc>
          <w:tcPr>
            <w:tcW w:w="194" w:type="dxa"/>
            <w:tcBorders/>
            <w:vAlign w:val="bottom"/>
          </w:tcPr>
          <w:p>
            <w:pPr>
              <w:pStyle w:val="TableContents"/>
              <w:bidi w:val="0"/>
              <w:spacing w:before="0" w:after="283"/>
              <w:jc w:val="left"/>
              <w:rPr/>
            </w:pPr>
            <w:r>
              <w:rPr/>
              <w:t>  </w:t>
            </w:r>
          </w:p>
        </w:tc>
        <w:tc>
          <w:tcPr>
            <w:tcW w:w="2920" w:type="dxa"/>
            <w:tcBorders/>
          </w:tcPr>
          <w:p>
            <w:pPr>
              <w:pStyle w:val="TableContents"/>
              <w:bidi w:val="0"/>
              <w:spacing w:before="0" w:after="283"/>
              <w:jc w:val="center"/>
              <w:rPr/>
            </w:pPr>
            <w:r>
              <w:rPr>
                <w:strike/>
                <w:color w:val="FF0000"/>
              </w:rPr>
              <w:t xml:space="preserve">0.1000 </w:t>
            </w:r>
            <w:r>
              <w:rPr>
                <w:color w:val="0000FF"/>
                <w:u w:val="single"/>
                <w:bdr w:val="double" w:sz="2" w:space="1" w:color="000000"/>
              </w:rPr>
              <w:t>0.100</w:t>
            </w:r>
            <w:r>
              <w:rPr/>
              <w:t>%</w:t>
            </w:r>
          </w:p>
        </w:tc>
      </w:tr>
      <w:tr>
        <w:trPr/>
        <w:tc>
          <w:tcPr>
            <w:tcW w:w="1769"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C</w:t>
            </w:r>
            <w:r>
              <w:rPr>
                <w:rFonts w:ascii="Times New Roman" w:hAnsi="Times New Roman"/>
                <w:color w:val="0000FF"/>
                <w:sz w:val="24"/>
                <w:u w:val="single"/>
                <w:bdr w:val="double" w:sz="2" w:space="1" w:color="000000"/>
              </w:rPr>
              <w:t>D.</w:t>
            </w:r>
          </w:p>
        </w:tc>
        <w:tc>
          <w:tcPr>
            <w:tcW w:w="122" w:type="dxa"/>
            <w:tcBorders/>
            <w:vAlign w:val="bottom"/>
          </w:tcPr>
          <w:p>
            <w:pPr>
              <w:pStyle w:val="TableContents"/>
              <w:bidi w:val="0"/>
              <w:spacing w:before="0" w:after="283"/>
              <w:jc w:val="left"/>
              <w:rPr/>
            </w:pPr>
            <w:r>
              <w:rPr/>
              <w:t>  </w:t>
            </w:r>
          </w:p>
        </w:tc>
        <w:tc>
          <w:tcPr>
            <w:tcW w:w="3159" w:type="dxa"/>
            <w:tcBorders/>
          </w:tcPr>
          <w:p>
            <w:pPr>
              <w:pStyle w:val="TableContents"/>
              <w:bidi w:val="0"/>
              <w:spacing w:before="0" w:after="283"/>
              <w:jc w:val="left"/>
              <w:rPr/>
            </w:pPr>
            <w:r>
              <w:rPr/>
              <w:t>BBB / Baa2 / BBB</w:t>
            </w:r>
          </w:p>
        </w:tc>
        <w:tc>
          <w:tcPr>
            <w:tcW w:w="194" w:type="dxa"/>
            <w:tcBorders/>
            <w:vAlign w:val="bottom"/>
          </w:tcPr>
          <w:p>
            <w:pPr>
              <w:pStyle w:val="TableContents"/>
              <w:bidi w:val="0"/>
              <w:spacing w:before="0" w:after="283"/>
              <w:jc w:val="left"/>
              <w:rPr/>
            </w:pPr>
            <w:r>
              <w:rPr/>
              <w:t>  </w:t>
            </w:r>
          </w:p>
        </w:tc>
        <w:tc>
          <w:tcPr>
            <w:tcW w:w="2920" w:type="dxa"/>
            <w:tcBorders/>
          </w:tcPr>
          <w:p>
            <w:pPr>
              <w:pStyle w:val="TableContents"/>
              <w:bidi w:val="0"/>
              <w:spacing w:before="0" w:after="283"/>
              <w:jc w:val="center"/>
              <w:rPr/>
            </w:pPr>
            <w:r>
              <w:rPr>
                <w:strike/>
                <w:color w:val="FF0000"/>
              </w:rPr>
              <w:t xml:space="preserve">0.1100 </w:t>
            </w:r>
            <w:r>
              <w:rPr>
                <w:color w:val="0000FF"/>
                <w:u w:val="single"/>
                <w:bdr w:val="double" w:sz="2" w:space="1" w:color="000000"/>
              </w:rPr>
              <w:t>0.110</w:t>
            </w:r>
            <w:r>
              <w:rPr/>
              <w:t>%</w:t>
            </w:r>
          </w:p>
        </w:tc>
      </w:tr>
      <w:tr>
        <w:trPr/>
        <w:tc>
          <w:tcPr>
            <w:tcW w:w="1769" w:type="dxa"/>
            <w:tcBorders/>
          </w:tcPr>
          <w:p>
            <w:pPr>
              <w:pStyle w:val="TableContents"/>
              <w:bidi w:val="0"/>
              <w:spacing w:before="0" w:after="0"/>
              <w:jc w:val="both"/>
              <w:rPr>
                <w:rFonts w:ascii="Times New Roman" w:hAnsi="Times New Roman"/>
                <w:sz w:val="24"/>
              </w:rPr>
            </w:pPr>
            <w:r>
              <w:rPr>
                <w:rFonts w:ascii="Times New Roman" w:hAnsi="Times New Roman"/>
                <w:strike/>
                <w:color w:val="FF0000"/>
                <w:sz w:val="24"/>
              </w:rPr>
              <w:t>D</w:t>
            </w:r>
            <w:r>
              <w:rPr>
                <w:rFonts w:ascii="Times New Roman" w:hAnsi="Times New Roman"/>
                <w:color w:val="0000FF"/>
                <w:sz w:val="24"/>
                <w:u w:val="single"/>
                <w:bdr w:val="double" w:sz="2" w:space="1" w:color="000000"/>
              </w:rPr>
              <w:t>E.</w:t>
            </w:r>
          </w:p>
        </w:tc>
        <w:tc>
          <w:tcPr>
            <w:tcW w:w="122" w:type="dxa"/>
            <w:tcBorders/>
            <w:vAlign w:val="bottom"/>
          </w:tcPr>
          <w:p>
            <w:pPr>
              <w:pStyle w:val="TableContents"/>
              <w:bidi w:val="0"/>
              <w:spacing w:before="0" w:after="283"/>
              <w:jc w:val="left"/>
              <w:rPr/>
            </w:pPr>
            <w:r>
              <w:rPr/>
              <w:t>  </w:t>
            </w:r>
          </w:p>
        </w:tc>
        <w:tc>
          <w:tcPr>
            <w:tcW w:w="3159" w:type="dxa"/>
            <w:tcBorders/>
          </w:tcPr>
          <w:p>
            <w:pPr>
              <w:pStyle w:val="TableContents"/>
              <w:bidi w:val="0"/>
              <w:spacing w:before="0" w:after="283"/>
              <w:jc w:val="left"/>
              <w:rPr/>
            </w:pPr>
            <w:r>
              <w:rPr/>
              <w:t>&lt;BBB / Baa3 / BBB-</w:t>
            </w:r>
          </w:p>
        </w:tc>
        <w:tc>
          <w:tcPr>
            <w:tcW w:w="194" w:type="dxa"/>
            <w:tcBorders/>
            <w:vAlign w:val="bottom"/>
          </w:tcPr>
          <w:p>
            <w:pPr>
              <w:pStyle w:val="TableContents"/>
              <w:bidi w:val="0"/>
              <w:spacing w:before="0" w:after="283"/>
              <w:jc w:val="left"/>
              <w:rPr/>
            </w:pPr>
            <w:r>
              <w:rPr/>
              <w:t>  </w:t>
            </w:r>
          </w:p>
        </w:tc>
        <w:tc>
          <w:tcPr>
            <w:tcW w:w="2920" w:type="dxa"/>
            <w:tcBorders/>
          </w:tcPr>
          <w:p>
            <w:pPr>
              <w:pStyle w:val="TableContents"/>
              <w:bidi w:val="0"/>
              <w:spacing w:before="0" w:after="283"/>
              <w:jc w:val="center"/>
              <w:rPr/>
            </w:pPr>
            <w:r>
              <w:rPr>
                <w:strike/>
                <w:color w:val="FF0000"/>
              </w:rPr>
              <w:t xml:space="preserve">0.1500 </w:t>
            </w:r>
            <w:r>
              <w:rPr>
                <w:color w:val="0000FF"/>
                <w:u w:val="single"/>
                <w:bdr w:val="double" w:sz="2" w:space="1" w:color="000000"/>
              </w:rPr>
              <w:t>0.150</w:t>
            </w:r>
            <w:r>
              <w:rPr/>
              <w:t>%</w:t>
            </w:r>
          </w:p>
        </w:tc>
      </w:tr>
      <w:tr>
        <w:trPr/>
        <w:tc>
          <w:tcPr>
            <w:tcW w:w="1769" w:type="dxa"/>
            <w:tcBorders/>
          </w:tcPr>
          <w:p>
            <w:pPr>
              <w:pStyle w:val="TableContents"/>
              <w:bidi w:val="0"/>
              <w:spacing w:before="0" w:after="0"/>
              <w:jc w:val="both"/>
              <w:rPr>
                <w:rFonts w:ascii="Times New Roman" w:hAnsi="Times New Roman"/>
                <w:strike/>
                <w:color w:val="FF0000"/>
                <w:sz w:val="24"/>
              </w:rPr>
            </w:pPr>
            <w:r>
              <w:rPr>
                <w:rFonts w:ascii="Times New Roman" w:hAnsi="Times New Roman"/>
                <w:strike/>
                <w:color w:val="FF0000"/>
                <w:sz w:val="24"/>
              </w:rPr>
              <w:t>E.</w:t>
            </w:r>
          </w:p>
        </w:tc>
        <w:tc>
          <w:tcPr>
            <w:tcW w:w="122" w:type="dxa"/>
            <w:tcBorders/>
            <w:vAlign w:val="bottom"/>
          </w:tcPr>
          <w:p>
            <w:pPr>
              <w:pStyle w:val="TableContents"/>
              <w:bidi w:val="0"/>
              <w:spacing w:before="0" w:after="283"/>
              <w:jc w:val="left"/>
              <w:rPr/>
            </w:pPr>
            <w:r>
              <w:rPr/>
              <w:t>  </w:t>
            </w:r>
          </w:p>
        </w:tc>
        <w:tc>
          <w:tcPr>
            <w:tcW w:w="3159" w:type="dxa"/>
            <w:tcBorders/>
          </w:tcPr>
          <w:p>
            <w:pPr>
              <w:pStyle w:val="TableContents"/>
              <w:bidi w:val="0"/>
              <w:spacing w:before="0" w:after="283"/>
              <w:jc w:val="left"/>
              <w:rPr>
                <w:strike/>
                <w:color w:val="FF0000"/>
              </w:rPr>
            </w:pPr>
            <w:r>
              <w:rPr>
                <w:strike/>
                <w:color w:val="FF0000"/>
              </w:rPr>
              <w:t>&lt;BB+ / Bal / BB+</w:t>
            </w:r>
          </w:p>
        </w:tc>
        <w:tc>
          <w:tcPr>
            <w:tcW w:w="194" w:type="dxa"/>
            <w:tcBorders/>
            <w:vAlign w:val="bottom"/>
          </w:tcPr>
          <w:p>
            <w:pPr>
              <w:pStyle w:val="TableContents"/>
              <w:bidi w:val="0"/>
              <w:spacing w:before="0" w:after="283"/>
              <w:jc w:val="left"/>
              <w:rPr/>
            </w:pPr>
            <w:r>
              <w:rPr/>
              <w:t>  </w:t>
            </w:r>
          </w:p>
        </w:tc>
        <w:tc>
          <w:tcPr>
            <w:tcW w:w="2920" w:type="dxa"/>
            <w:tcBorders/>
          </w:tcPr>
          <w:p>
            <w:pPr>
              <w:pStyle w:val="TableContents"/>
              <w:bidi w:val="0"/>
              <w:spacing w:before="0" w:after="283"/>
              <w:jc w:val="center"/>
              <w:rPr>
                <w:strike/>
                <w:color w:val="FF0000"/>
              </w:rPr>
            </w:pPr>
            <w:r>
              <w:rPr>
                <w:strike/>
                <w:color w:val="FF0000"/>
              </w:rPr>
              <w:t>0.2000%</w:t>
            </w:r>
          </w:p>
        </w:tc>
      </w:tr>
    </w:tbl>
    <w:p>
      <w:pPr>
        <w:pStyle w:val="TextBody"/>
        <w:bidi w:val="0"/>
        <w:spacing w:before="240" w:after="0"/>
        <w:jc w:val="both"/>
        <w:rPr>
          <w:rFonts w:ascii="Times New Roman" w:hAnsi="Times New Roman"/>
          <w:sz w:val="24"/>
        </w:rPr>
      </w:pPr>
      <w:r>
        <w:rPr>
          <w:rFonts w:ascii="Times New Roman" w:hAnsi="Times New Roman"/>
          <w:sz w:val="24"/>
        </w:rPr>
        <w:t xml:space="preserve">Such commitment fee shall be computed on the basis of a year of 365/366 days for the actual number of days elapsed, shall be payable quarterly in arrears on the third Business Day after the end of each fiscal quarter commencing December 31, 2021, and shall be fully earned when due and non-refundable when paid. A final payment of any commitment fee then payable with respect to the Revolving Loan Commitment shall be due and payable on the Maturity Date. For the avoidance of doubt, the Outstanding Amount of Swingline Loans shall not be counted towards or considered usage of the Revolving Loan Commitment for purposes of calculating the commitment fee.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Changes in Commitment Fee; Determination of Debt Rating</w:t>
      </w:r>
      <w:r>
        <w:rPr>
          <w:rFonts w:ascii="Times New Roman" w:hAnsi="Times New Roman"/>
          <w:sz w:val="24"/>
        </w:rPr>
        <w:t xml:space="preserve">. Changes to the commitment fee shall be effective as of the next Business Day after the day on which the Debt Rating changes. Any change to any Debt Rating established by S&amp;P, Moody’s or Fitch shall be effective as of the date on which such change is first announced publicly by the applicable rating agency making such change and on and after that day the changed Debt Rating for such rating agency shall be the Debt Rating of such rating agency for purposes of this Agreement. If none of S&amp;P, Moody’s or Fitch shall have in effect a Debt Rating, the commitment fee shall be set in accordance with part E of the table set forth in Section 2.4(a)(i). If S&amp;P, Moody’s or Fitch shall change the basis on which ratings are established, each reference to the Debt Rating announced by S&amp;P, Moody’s or Fitch, as the case may be, shall refer to the then equivalent rating by S&amp;P, Moody’s or Fitch, as the case may be.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Letter of Credit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(i) The Company agrees to pay directly to the applicable Issuing Bank for its own account a fronting fee, in Dollars, with respect to each Letter of Credit issued by such Issuing Bank from the date of issuance through and including the expiration date of each such Letter of Credit at a rate agreed in writing between the Company and such Issuing Bank, which fee shall be computed on the daily amount available to be drawn under such Letter of Credit on the basis of a year of 365/366 days for the actual number of days elapsed, shall be payable quarterly in arrears on the third Business Day after the end of each fiscal quarter commencing December 31, 2021, on the Letter of Credit Expiration Date and thereafter on demand (</w:t>
      </w:r>
      <w:r>
        <w:rPr>
          <w:rFonts w:ascii="Times New Roman" w:hAnsi="Times New Roman"/>
          <w:sz w:val="24"/>
          <w:u w:val="single"/>
        </w:rPr>
        <w:t>provided</w:t>
      </w:r>
      <w:r>
        <w:rPr>
          <w:rFonts w:ascii="Times New Roman" w:hAnsi="Times New Roman"/>
          <w:sz w:val="24"/>
        </w:rPr>
        <w:t xml:space="preserve">, that if such day is not a Business Day, such Letter of Credit fee shall be payable on the next Business Day), and shall be fully earned when due and non-refundable when paid. For purposes of computing the daily amount available to be drawn under any Letter of Credit, the amount of such Letter of Credit shall be determined in accordance with </w:t>
      </w:r>
      <w:r>
        <w:rPr>
          <w:rFonts w:ascii="Times New Roman" w:hAnsi="Times New Roman"/>
          <w:sz w:val="24"/>
          <w:u w:val="single"/>
        </w:rPr>
        <w:t>Section 1.5</w:t>
      </w:r>
      <w:r>
        <w:rPr>
          <w:rFonts w:ascii="Times New Roman" w:hAnsi="Times New Roman"/>
          <w:sz w:val="24"/>
        </w:rPr>
        <w:t xml:space="preserve">. In addition, the Company shall pay directly to the applicable Issuing Bank for its own account the customary issuance, 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amendment and other processing fees, and other standard costs and charges, of such Issuing Bank relating to letters of credit as from time to time in effect. Such customary fees and standard costs and charges are due and payable on demand and are nonrefundable. </w:t>
      </w:r>
    </w:p>
    <w:p>
      <w:pPr>
        <w:pStyle w:val="TextBody"/>
        <w:bidi w:val="0"/>
        <w:spacing w:before="240" w:after="0"/>
        <w:jc w:val="both"/>
        <w:rPr>
          <w:rFonts w:ascii="Times New Roman" w:hAnsi="Times New Roman"/>
          <w:sz w:val="24"/>
        </w:rPr>
      </w:pPr>
      <w:r>
        <w:rPr>
          <w:rFonts w:ascii="Times New Roman" w:hAnsi="Times New Roman"/>
          <w:sz w:val="24"/>
        </w:rPr>
        <w:t>(ii) The Company agrees to pay to the Administrative Agent on behalf of the Lenders having a Revolving Loan Commitment in accordance with their respective Commitment Ratios for the Revolving Loans (and the Administrative Agent shall promptly pay to the Lenders having a Revolving Loan Commitment), a fee (the “</w:t>
      </w:r>
      <w:r>
        <w:rPr>
          <w:rFonts w:ascii="Times New Roman" w:hAnsi="Times New Roman"/>
          <w:sz w:val="24"/>
          <w:u w:val="single"/>
        </w:rPr>
        <w:t>Letter of Credit Fee</w:t>
      </w:r>
      <w:r>
        <w:rPr>
          <w:rFonts w:ascii="Times New Roman" w:hAnsi="Times New Roman"/>
          <w:sz w:val="24"/>
        </w:rPr>
        <w:t xml:space="preserve">”), in Dollars, on the stated amount (reduced by the amount of any draws) of any outstanding Letters of Credit for each day from the date of issuance thereof through the expiration date for each such Letter of Credit at a rate equal to the Applicable Margin for Term Rate Advances under the Revolving Loan Commitments;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(x) any Letter of Credit Fees otherwise payable for the account of a Defaulting Lender with respect to any Letter of Credit as to which such Defaulting Lender or the Company has not provided Cash Collateral reasonably satisfactory to the Issuing Bank pursuant to Section</w:t>
      </w:r>
      <w:r>
        <w:rPr>
          <w:rFonts w:ascii="Times New Roman" w:hAnsi="Times New Roman"/>
          <w:sz w:val="24"/>
          <w:u w:val="single"/>
        </w:rPr>
        <w:t> 2.15(a)</w:t>
      </w:r>
      <w:r>
        <w:rPr>
          <w:rFonts w:ascii="Times New Roman" w:hAnsi="Times New Roman"/>
          <w:sz w:val="24"/>
        </w:rPr>
        <w:t xml:space="preserve"> shall be payable, to the maximum extent permitted by Applicable Law, to the other Lenders in accordance with the upward adjustments in their respective Commitment Ratios allocable to such Letter of Credit pursuant to </w:t>
      </w:r>
      <w:r>
        <w:rPr>
          <w:rFonts w:ascii="Times New Roman" w:hAnsi="Times New Roman"/>
          <w:sz w:val="24"/>
          <w:u w:val="single"/>
        </w:rPr>
        <w:t>Section 2.16(a)(iv)</w:t>
      </w:r>
      <w:r>
        <w:rPr>
          <w:rFonts w:ascii="Times New Roman" w:hAnsi="Times New Roman"/>
          <w:sz w:val="24"/>
        </w:rPr>
        <w:t xml:space="preserve">, with the balance of such fee, if any, payable to the applicable Issuing Bank for its own account and (y) no Letter of Credit Fees shall accrue or be payable under an outstanding Letter of Credit to the extent that the Company has provided Cash Collateral sufficient to eliminate the applicable Fronting Exposure of a Defaulting Lender. For purposes of computing the daily amount available to be drawn under any Letter of Credit, the amount of such Letter of Credit shall be determined in accordance with </w:t>
      </w:r>
      <w:r>
        <w:rPr>
          <w:rFonts w:ascii="Times New Roman" w:hAnsi="Times New Roman"/>
          <w:sz w:val="24"/>
          <w:u w:val="single"/>
        </w:rPr>
        <w:t>Section 1.5</w:t>
      </w:r>
      <w:r>
        <w:rPr>
          <w:rFonts w:ascii="Times New Roman" w:hAnsi="Times New Roman"/>
          <w:sz w:val="24"/>
        </w:rPr>
        <w:t xml:space="preserve">. Such Letter of Credit Fee shall be computed on the basis of a year of 365/366 days for the actual number of days elapsed, shall be payable quarterly in arrears for each quarter on the third Business Day after the end of each fiscal quarter commencing December 31, 2021, on the Letter of Credit Expiration Date and thereafter on demand, and shall be fully earned when due and non-refundable when paid. The Letter of Credit Fee set forth in this Section 2.4(b)(ii) shall be subject to increase and decrease on the dates and in the amounts set forth in Section 2.3(f)(i) hereof in the same manner as the adjustment of the Applicable Margin with respect to Term Rate Advances. Notwithstanding anything to the contrary contained herein, upon the request of the Majority Lenders, while any Event of Default exists, all Letter of Credit Fees shall accrue at the Default Rate. </w:t>
      </w:r>
    </w:p>
    <w:p>
      <w:pPr>
        <w:pStyle w:val="TextBody"/>
        <w:bidi w:val="0"/>
        <w:spacing w:before="240" w:after="0"/>
        <w:jc w:val="both"/>
        <w:rPr>
          <w:rFonts w:ascii="Times New Roman" w:hAnsi="Times New Roman"/>
          <w:sz w:val="24"/>
        </w:rPr>
      </w:pPr>
      <w:r>
        <w:rPr>
          <w:rFonts w:ascii="Times New Roman" w:hAnsi="Times New Roman"/>
          <w:sz w:val="24"/>
        </w:rPr>
        <w:t>Section 2.5 </w:t>
      </w:r>
      <w:r>
        <w:rPr>
          <w:rFonts w:ascii="Times New Roman" w:hAnsi="Times New Roman"/>
          <w:sz w:val="24"/>
          <w:u w:val="single"/>
        </w:rPr>
        <w:t>Voluntary Commitment Reductions</w:t>
      </w:r>
      <w:r>
        <w:rPr>
          <w:rFonts w:ascii="Times New Roman" w:hAnsi="Times New Roman"/>
          <w:sz w:val="24"/>
        </w:rPr>
        <w:t xml:space="preserve">. The Company shall have the right, at any time and from time to time after the Effective Date and prior to the Maturity Date, upon at least three (3) Business Days’ prior written notice to the Administrative Agent, without premium or penalty, to cancel or reduce permanently all or a portion of the Revolving Loan Commitments;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such partial reduction shall be made in an amount not less than $5,000,000.00 and in an integral multiple of $1,000,000.00. As of the date of cancellation or reduction set forth in such notice, the Revolving Loan Commitments shall be permanently reduced to the amount stated in such notice for all purposes herein, and the Company and any relevant Subsidiary Borrower shall pay to the Administrative Agent for the applicable Lenders the amount necessary to reduce the Dollar Equivalent of the aggregate principal amount of all Revolving Loans, all Swingline Loans and all L/C Obligations then outstanding under the Revolving Loan Commitments to not more than the amount of Revolving Loan Commitments 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so reduced, together with accrued interest on the amount so prepaid and any commitment fees accrued through the date of the reduction with respect to the amount reduced. </w:t>
      </w:r>
    </w:p>
    <w:p>
      <w:pPr>
        <w:pStyle w:val="TextBody"/>
        <w:bidi w:val="0"/>
        <w:spacing w:before="240" w:after="0"/>
        <w:jc w:val="both"/>
        <w:rPr>
          <w:rFonts w:ascii="Times New Roman" w:hAnsi="Times New Roman"/>
          <w:sz w:val="24"/>
        </w:rPr>
      </w:pPr>
      <w:r>
        <w:rPr>
          <w:rFonts w:ascii="Times New Roman" w:hAnsi="Times New Roman"/>
          <w:sz w:val="24"/>
        </w:rPr>
        <w:t>Section 2.6 </w:t>
      </w:r>
      <w:r>
        <w:rPr>
          <w:rFonts w:ascii="Times New Roman" w:hAnsi="Times New Roman"/>
          <w:sz w:val="24"/>
          <w:u w:val="single"/>
        </w:rPr>
        <w:t>Prepayments and Repayments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Prepayment</w:t>
      </w:r>
      <w:r>
        <w:rPr>
          <w:rFonts w:ascii="Times New Roman" w:hAnsi="Times New Roman"/>
          <w:sz w:val="24"/>
        </w:rPr>
        <w:t>. (i)</w:t>
      </w:r>
      <w:r>
        <w:rPr>
          <w:rFonts w:ascii="Times New Roman" w:hAnsi="Times New Roman"/>
          <w:sz w:val="24"/>
          <w:u w:val="single"/>
        </w:rPr>
        <w:t> Optional</w:t>
      </w:r>
      <w:r>
        <w:rPr>
          <w:rFonts w:ascii="Times New Roman" w:hAnsi="Times New Roman"/>
          <w:sz w:val="24"/>
        </w:rPr>
        <w:t xml:space="preserve">. The principal amount of any Base Rate Advance, including any Swingline Loan, may be prepaid in full or ratably in part at any time, without premium or penalty and without regard to the Payment Date for such Advance. The principal amount of any Term Rate Advance may be prepaid in full or ratably in part, upon three (3) Business Days’ prior written notice (in the case of any Term Rate Advance denominated in Dollars) or upon four (4) Business Days (or five, in the case of prepayment of Loans denominated in Special Notice Currencies) prior written notice (in the case of any Term Rate Advance denominated in an Alternative Currency), or telephonic notice followed immediately by written notice, to the Administrative Agent, without premium or penalty;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to the extent prepaid prior to the applicable Payment Date for such Term Rate Advance, the Company or the relevant Subsidiary Borrower shall reimburse the applicable Lenders, on the earlier of demand by the applicable Lender or the Maturity Date, for any loss or out-of-pocket expense incurred by any such Lender in connection with such prepayment, as set forth in Section 2.9 hereof; and </w:t>
      </w:r>
      <w:r>
        <w:rPr>
          <w:rFonts w:ascii="Times New Roman" w:hAnsi="Times New Roman"/>
          <w:sz w:val="24"/>
          <w:u w:val="single"/>
        </w:rPr>
        <w:t>provided further</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 the Company’s or any relevant Subsidiary Borrower’s failure to confirm any telephonic notice with a written notice shall not invalidate any notice so given if acted upon by the Administrative Agent and (ii) any notice of prepayment given hereunder may be revoked by the relevant Borrower at any time. The principal amount of any SONIA Rate Advance may be prepaid in full or ratably in part, upon five (5) Business Days prior written notice to the Administrative Agent, without premium or penalty. Any prepayment hereunder shall be in amounts of not less than $2,000,000.00 and in an integral multiple of $1,000,000.00. Amounts prepaid pursuant to this Section 2.6(a), with respect to the Revolving Loans or Swingline Loans, shall be fully revolving and accordingly may be reborrowed, subject to the terms and conditions hereof. Amounts prepaid shall be paid together with accrued interest on the amount so prepaid.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Mandatory</w:t>
      </w:r>
      <w:r>
        <w:rPr>
          <w:rFonts w:ascii="Times New Roman" w:hAnsi="Times New Roman"/>
          <w:sz w:val="24"/>
        </w:rPr>
        <w:t xml:space="preserve">. (x) If, on any date, the Administrative Agent notifies the Company that, on any interest payment date, the sum of (A) the aggregate principal amount of all Advances denominated in Dollars plus the aggregate amount of all Letters of Credit then outstanding denominated in Dollars plus (B) the Dollar Equivalent (determined on the third Business Day prior to such interest payment date) of the aggregate principal amount of all Advances denominated in Alternative Currencies plus the aggregate amount of all Letters of Credit then outstanding denominated in Alternative Currencies then outstanding exceeds 105% of the aggregate Revolving Loan Commitments of the Lenders on such date, the Borrowers shall, as soon as practicable and in any event within two Business Days after receipt of such notice, prepay the outstanding principal amount of any Advances owing by the Borrowers in an aggregate amount sufficient to reduce such sum to an amount not to exceed 100% of the aggregate Revolving Loan Commitments of the Lenders on such date, together with any accrued interest and fees with respect thereto; provided that if the Borrowers have Cash Collateralized Letters of Credit in accordance with Section 2.15(a), the amount of the outstanding Letters of Credit shall be deemed to have been reduced by the amount of such Cash Collateral. (y) If, on any date, the Administrative Agent notifies the Company that, on any interest payment date, the Dollar Equivalent (determined on the third Business Day prior to such interest payment date) of the aggregate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all Advances denominated in Alternative Currencies plus the aggregate amount of all Letters of Credit then outstanding denominated in Alternative Currencies then outstanding exceeds the Alternative Currency Sublimit, the Borrowers shall, as soon as practicable and in any event within two Business Days after receipt of such notice, prepay the outstanding principal amount of any such Advances owing by the Borrowers in an aggregate amount sufficient to reduce such sum to an amount not to exceed the Alternative Currency Sublimit, together with any accrued interest and fees with respect thereto; provided that if the Borrowers have Cash Collateralized Letters of Credit in accordance with Section 2.15(a), the amount of the outstanding Letters of Credit shall be deemed to have been reduced by the amount of such Cash Collateral. </w:t>
      </w:r>
    </w:p>
    <w:p>
      <w:pPr>
        <w:pStyle w:val="TextBody"/>
        <w:bidi w:val="0"/>
        <w:spacing w:before="240" w:after="0"/>
        <w:jc w:val="both"/>
        <w:rPr>
          <w:rFonts w:ascii="Times New Roman" w:hAnsi="Times New Roman"/>
          <w:sz w:val="24"/>
        </w:rPr>
      </w:pPr>
      <w:r>
        <w:rPr>
          <w:rFonts w:ascii="Times New Roman" w:hAnsi="Times New Roman"/>
          <w:sz w:val="24"/>
        </w:rPr>
        <w:t xml:space="preserve">The Administrative Agent shall give prompt notice of any prepayment required under this Section 2.6(a)(ii) to the Company and the Lenders, and shall provide prompt notice to the Company of any such notice of required prepayment received by it from any Lender.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Repayments</w:t>
      </w:r>
      <w:r>
        <w:rPr>
          <w:rFonts w:ascii="Times New Roman" w:hAnsi="Times New Roman"/>
          <w:sz w:val="24"/>
        </w:rPr>
        <w:t xml:space="preserve">. The Borrowers shall repay the Loans as follows: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Swingline Loans</w:t>
      </w:r>
      <w:r>
        <w:rPr>
          <w:rFonts w:ascii="Times New Roman" w:hAnsi="Times New Roman"/>
          <w:sz w:val="24"/>
        </w:rPr>
        <w:t xml:space="preserve">. The relevant Borrower shall repay each Swingline Loan on the earlier to occur of (i) the date ten (10) Business Days after such Swingline Loan is made and (ii) the Maturity Date.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Maturity Date</w:t>
      </w:r>
      <w:r>
        <w:rPr>
          <w:rFonts w:ascii="Times New Roman" w:hAnsi="Times New Roman"/>
          <w:sz w:val="24"/>
        </w:rPr>
        <w:t xml:space="preserve">. In addition to the foregoing, a final payment of all Loans, together with accrued interest and fees with respect thereto, shall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Section 2.7 </w:t>
      </w:r>
      <w:r>
        <w:rPr>
          <w:rFonts w:ascii="Times New Roman" w:hAnsi="Times New Roman"/>
          <w:sz w:val="24"/>
          <w:u w:val="single"/>
        </w:rPr>
        <w:t>Notes; Loan Accounts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Loans shall be repayable in accordance with the terms and provisions set forth herein. If requested by a Lender, one (1) Revolving Loan Note duly executed and delivered by one or more Authorized Signatories of the relevant Borrower, shall be issued by the relevant Borrower and payable to such Lender in accordance with such Lender’s applicable Commitment Ratio for Revolving Loans. </w:t>
      </w:r>
    </w:p>
    <w:p>
      <w:pPr>
        <w:pStyle w:val="TextBody"/>
        <w:bidi w:val="0"/>
        <w:spacing w:before="240" w:after="0"/>
        <w:jc w:val="both"/>
        <w:rPr>
          <w:rFonts w:ascii="Times New Roman" w:hAnsi="Times New Roman"/>
          <w:sz w:val="24"/>
        </w:rPr>
      </w:pPr>
      <w:r>
        <w:rPr>
          <w:rFonts w:ascii="Times New Roman" w:hAnsi="Times New Roman"/>
          <w:sz w:val="24"/>
        </w:rPr>
        <w:t xml:space="preserve">(b) Each Lender may open and maintain on its books in the name of the relevant Borrower a loan account with respect to its portion of the Loans and interest thereon. Each Lender which opens such a loan account shall debit such loan account for the principal amount of its portion of each Advance made by it and accrued interest thereon, and shall credit such loan account for each payment on account of principal of or interest on its Loans. The records of a Lender with respect to the loan account maintained by it shall be prima facie evidence of its portion of the Loans and accrued interest thereon absent manifest error, but the failure of any Lender to make any such notations or any error or mistake in such notations shall not affect the relevant Borrower’s repayment obligations with respect to such Loans. </w:t>
      </w:r>
    </w:p>
    <w:p>
      <w:pPr>
        <w:pStyle w:val="TextBody"/>
        <w:bidi w:val="0"/>
        <w:spacing w:before="240" w:after="0"/>
        <w:jc w:val="both"/>
        <w:rPr>
          <w:rFonts w:ascii="Times New Roman" w:hAnsi="Times New Roman"/>
          <w:sz w:val="24"/>
        </w:rPr>
      </w:pPr>
      <w:r>
        <w:rPr>
          <w:rFonts w:ascii="Times New Roman" w:hAnsi="Times New Roman"/>
          <w:sz w:val="24"/>
        </w:rPr>
        <w:t>Section 2.8 </w:t>
      </w:r>
      <w:r>
        <w:rPr>
          <w:rFonts w:ascii="Times New Roman" w:hAnsi="Times New Roman"/>
          <w:sz w:val="24"/>
          <w:u w:val="single"/>
        </w:rPr>
        <w:t>Manner of Payment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payment (including, without limitation, any prepayment) by any Borrower (except with respect to principal of and interest on, Advances denominated in an Alternative Currency) shall be made not later than 1:00 p.m. New York City time on the date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specified for payment under this Agreement to the Administrative Agent at the Administrative Agent’s Office, for the account of the Lenders or the Administrative Agent, as the case may be, in lawful money of the United States of America in immediately available funds. Each payment (including, without limitation, any prepayment) by any Borrower with respect to principal of and interest on, Advances denominated in an Alternative Currency shall be made not later than 1:00 p.m. New York City time on the date specified for payment under this Agreement to the Administrative Agent at the Administrative Agent’s Office, for the account of the Lenders or the Administrative Agent, as the case may be, in such Alternative Currency in same day funds. Any payment received by the Administrative Agent after 1:00 p.m. New York City time shall be deemed received on the next Business Day. Receipt by the Administrative Agent of any payment intended for any Lender or Lenders hereunder prior to 1:00 p.m. New York City time on any Business Day shall be deemed to constitute receipt by such Lender or Lenders on such Business Day. In the case of a payment for the account of a Lender, the Administrative Agent will promptly, but no later than the close of business on the date such payment is deemed received, thereafter distribute the amount so received in like funds to such Lender. If the Administrative Agent shall not have received any payment from the relevant Borrower as and when due, the Administrative Agent will promptly notify the applicable Lenders accordingly. In the event that the Administrative Agent shall fail to make distribution to any Lender as required under this Section 2.8, the Administrative Agent agrees to pay such Lender interest from the date such payment was due until paid at the Federal Funds Rate. </w:t>
      </w:r>
    </w:p>
    <w:p>
      <w:pPr>
        <w:pStyle w:val="TextBody"/>
        <w:bidi w:val="0"/>
        <w:spacing w:before="240" w:after="0"/>
        <w:jc w:val="both"/>
        <w:rPr>
          <w:rFonts w:ascii="Times New Roman" w:hAnsi="Times New Roman"/>
          <w:sz w:val="24"/>
        </w:rPr>
      </w:pPr>
      <w:r>
        <w:rPr>
          <w:rFonts w:ascii="Times New Roman" w:hAnsi="Times New Roman"/>
          <w:sz w:val="24"/>
        </w:rPr>
        <w:t xml:space="preserve">(b) Each Borrower agrees to pay principal, interest, fees and all other amounts due hereunder or under the Notes without set-off or counterclaim or any deduction whatsoever, except as provided in Section 10.3 hereof. </w:t>
      </w:r>
    </w:p>
    <w:p>
      <w:pPr>
        <w:pStyle w:val="TextBody"/>
        <w:bidi w:val="0"/>
        <w:spacing w:before="240" w:after="0"/>
        <w:jc w:val="both"/>
        <w:rPr>
          <w:rFonts w:ascii="Times New Roman" w:hAnsi="Times New Roman"/>
          <w:sz w:val="24"/>
        </w:rPr>
      </w:pPr>
      <w:r>
        <w:rPr>
          <w:rFonts w:ascii="Times New Roman" w:hAnsi="Times New Roman"/>
          <w:sz w:val="24"/>
        </w:rPr>
        <w:t xml:space="preserve">(c) Prior to the acceleration of the Loans under Section 8.2 hereof, if some but less than all amounts due from any Borrower are received by the Administrative Agent with respect to the Obligations, the Administrative Agent shall distribute such amounts in the following order of priority, all on a pro rata basis to the Lenders: (i) to the payment on a pro rata basis of any fees or expenses then due and payable to the Administrative Agent and the Issuing Banks, or any of them or expenses then due and payable to the Lenders; (ii) to the payment of interest then due and payable on the Loans on a pro rata basis and of fees then due and payable to the Lenders on a pro rata basis; (iii) to the payment of all other amounts not otherwise referred to in this Section 2.8(c) then due and payable to the Administrative Agent, the Issuing Banks and the Lenders, or any of them, hereunder or under the Notes or any other Loan Document; and (iv) to the payment of principal then due and payable on the Loans on a pro rata basis. </w:t>
      </w:r>
    </w:p>
    <w:p>
      <w:pPr>
        <w:pStyle w:val="TextBody"/>
        <w:bidi w:val="0"/>
        <w:spacing w:before="240" w:after="0"/>
        <w:jc w:val="both"/>
        <w:rPr>
          <w:rFonts w:ascii="Times New Roman" w:hAnsi="Times New Roman"/>
          <w:sz w:val="24"/>
        </w:rPr>
      </w:pPr>
      <w:r>
        <w:rPr>
          <w:rFonts w:ascii="Times New Roman" w:hAnsi="Times New Roman"/>
          <w:sz w:val="24"/>
        </w:rPr>
        <w:t xml:space="preserve">(d) Subject to any contrary provisions in the definition of Interest Period, if any payment under this Agreement or any of the other Loan Documents is specified to be made on a day which is not a Business Day, it shall be made on the next Business Day, and such extension of time shall in such case be included in computing interest and fees, if any, in connection with such payment. </w:t>
      </w:r>
    </w:p>
    <w:p>
      <w:pPr>
        <w:pStyle w:val="TextBody"/>
        <w:bidi w:val="0"/>
        <w:spacing w:before="240" w:after="0"/>
        <w:jc w:val="both"/>
        <w:rPr>
          <w:rFonts w:ascii="Times New Roman" w:hAnsi="Times New Roman"/>
          <w:sz w:val="24"/>
        </w:rPr>
      </w:pPr>
      <w:r>
        <w:rPr>
          <w:rFonts w:ascii="Times New Roman" w:hAnsi="Times New Roman"/>
          <w:sz w:val="24"/>
        </w:rPr>
        <w:t>Section 2.9 </w:t>
      </w:r>
      <w:r>
        <w:rPr>
          <w:rFonts w:ascii="Times New Roman" w:hAnsi="Times New Roman"/>
          <w:sz w:val="24"/>
          <w:u w:val="single"/>
        </w:rPr>
        <w:t>Reimbursement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(a) Whenever any Lender shall sustain or incur any losses or reasonable out-of-pocket expenses in connection with (i) the failure by any Borrower to borrow, Continue,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Convert or prepay any Term Rate Advance after having given notice of its intention to borrow, Continue, Convert or prepay such Advance in accordance with Section 2.2 or 2.6 hereof (whether by reason of the relevant Borrower’s election not to proceed or the non-fulfillment of any of the conditions set forth in Article 3 hereof, but not as a result of a failure of such Lender to make a Loan in accordance with the terms of this Agreement), or (ii) the prepayment other than on the applicable Payment Date (or failure to prepay after giving notice thereof) of any Term Rate Advance in whole or in part for any reason, the relevant Borrower agrees to pay to such Lender, upon such Lender’s demand, an amount sufficient to compensate such Lender for all such losses and out-of-pocket expenses. Such Lender’s good faith determination of the amount of such losses or out-of-pocket expenses, as set forth in writing and accompanied by calculations in reasonable detail demonstrating the basis for its demand, shall be presumptively correct absent manifest error. </w:t>
      </w:r>
    </w:p>
    <w:p>
      <w:pPr>
        <w:pStyle w:val="TextBody"/>
        <w:bidi w:val="0"/>
        <w:spacing w:before="240" w:after="0"/>
        <w:jc w:val="both"/>
        <w:rPr>
          <w:rFonts w:ascii="Times New Roman" w:hAnsi="Times New Roman"/>
          <w:sz w:val="24"/>
        </w:rPr>
      </w:pPr>
      <w:r>
        <w:rPr>
          <w:rFonts w:ascii="Times New Roman" w:hAnsi="Times New Roman"/>
          <w:sz w:val="24"/>
        </w:rPr>
        <w:t xml:space="preserve">(b) Losses subject to reimbursement hereunder shall include, without limiting the generality of the foregoing, reasonable out-of-pocket expenses incurred by any Lender or any participant of such Lender permitted hereunder in connection with the re-employment of funds prepaid, paid, repaid, not borrowed, or not paid, as the case may be, but not losses resulting from lost Applicable Margin or other margin. Losses subject to reimbursement will be payable whether the Maturity Date is changed by virtue of an amendment hereto (unless such amendment expressly waives such payment) or as a result of acceleration of the Loans. </w:t>
      </w:r>
    </w:p>
    <w:p>
      <w:pPr>
        <w:pStyle w:val="TextBody"/>
        <w:bidi w:val="0"/>
        <w:spacing w:before="240" w:after="0"/>
        <w:jc w:val="both"/>
        <w:rPr>
          <w:rFonts w:ascii="Times New Roman" w:hAnsi="Times New Roman"/>
          <w:sz w:val="24"/>
        </w:rPr>
      </w:pPr>
      <w:r>
        <w:rPr>
          <w:rFonts w:ascii="Times New Roman" w:hAnsi="Times New Roman"/>
          <w:sz w:val="24"/>
        </w:rPr>
        <w:t xml:space="preserve">(c) Failure or delay on the part of any Lender to demand compensation pursuant to the foregoing provisions of this Section 2.9 shall not constitute a waiver of such Lender’s right to demand such compensation, provided that the relevant Borrower shall not be required to compensate a Lender pursuant to the foregoing provisions of this Section for any losses or expenses incurred more than six (6) months prior to the date that such Lender notifies the relevant Borrower of the circumstances giving rise to such losses or expenses and of such Lender’s intention to claim compensation therefor. </w:t>
      </w:r>
    </w:p>
    <w:p>
      <w:pPr>
        <w:pStyle w:val="TextBody"/>
        <w:bidi w:val="0"/>
        <w:spacing w:before="240" w:after="0"/>
        <w:jc w:val="both"/>
        <w:rPr>
          <w:rFonts w:ascii="Times New Roman" w:hAnsi="Times New Roman"/>
          <w:sz w:val="24"/>
        </w:rPr>
      </w:pPr>
      <w:r>
        <w:rPr>
          <w:rFonts w:ascii="Times New Roman" w:hAnsi="Times New Roman"/>
          <w:sz w:val="24"/>
        </w:rPr>
        <w:t>Section 2.10 </w:t>
      </w:r>
      <w:r>
        <w:rPr>
          <w:rFonts w:ascii="Times New Roman" w:hAnsi="Times New Roman"/>
          <w:sz w:val="24"/>
          <w:u w:val="single"/>
        </w:rPr>
        <w:t>Pro Rata Treatment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Advances</w:t>
      </w:r>
      <w:r>
        <w:rPr>
          <w:rFonts w:ascii="Times New Roman" w:hAnsi="Times New Roman"/>
          <w:sz w:val="24"/>
        </w:rPr>
        <w:t xml:space="preserve">. Each Advance under the Revolving Loan Commitments from the Lenders hereunder (other than Swingline Advances) shall be made pro rata on the basis of the applicable Commitment Ratios of the Lenders having a Revolving Loan Commitment.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Payments</w:t>
      </w:r>
      <w:r>
        <w:rPr>
          <w:rFonts w:ascii="Times New Roman" w:hAnsi="Times New Roman"/>
          <w:sz w:val="24"/>
        </w:rPr>
        <w:t xml:space="preserve">. Except as provided in Section 2.16 hereof and Article 10 hereof, each payment and prepayment of principal of, and interest on, the Loans shall be made to the Lenders pro rata on the basis of their respective unpaid principal amounts outstanding under the applicable Loans immediately prior to such payment or prepayment.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Sharing of Payments by Lenders</w:t>
      </w:r>
      <w:r>
        <w:rPr>
          <w:rFonts w:ascii="Times New Roman" w:hAnsi="Times New Roman"/>
          <w:sz w:val="24"/>
        </w:rPr>
        <w:t xml:space="preserve">. If any Lender shall, by exercising any right of setoff or counterclaim or otherwise, obtain payment in respect of any principal of or interest on any of the Loans made by it or the participations in Swingline Loans and L/C Obligations held by it resulting in such Lender’s receiving payment of a proportion of the aggregate amount of such Loans or participations and accrued interest thereon greater than its pro rata share thereof as provided herein, then the Lender receiving such greater proportion shall notify the Administrative Agent of such fact, and (b) purchase (for cash at face value) participations in the Loans and subparticipations in the Swingline Loans and L/C Obligations of the other Lenders,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make such other adjustments as shall be equitable, so that the benefit of all such payments shall be shared by the Lenders ratably in accordance with their respective Commitment Ratios, </w:t>
      </w:r>
      <w:r>
        <w:rPr>
          <w:rFonts w:ascii="Times New Roman" w:hAnsi="Times New Roman"/>
          <w:sz w:val="24"/>
          <w:u w:val="single"/>
        </w:rPr>
        <w:t>provided</w:t>
      </w:r>
      <w:r>
        <w:rPr>
          <w:rFonts w:ascii="Times New Roman" w:hAnsi="Times New Roman"/>
          <w:sz w:val="24"/>
        </w:rPr>
        <w:t xml:space="preserve"> that: </w:t>
      </w:r>
    </w:p>
    <w:p>
      <w:pPr>
        <w:pStyle w:val="TextBody"/>
        <w:bidi w:val="0"/>
        <w:spacing w:before="240" w:after="0"/>
        <w:jc w:val="both"/>
        <w:rPr>
          <w:rFonts w:ascii="Times New Roman" w:hAnsi="Times New Roman"/>
          <w:sz w:val="24"/>
        </w:rPr>
      </w:pPr>
      <w:r>
        <w:rPr>
          <w:rFonts w:ascii="Times New Roman" w:hAnsi="Times New Roman"/>
          <w:sz w:val="24"/>
        </w:rPr>
        <w:t xml:space="preserve">(i) if any such participations or subparticipations are purchased and all or any portion of the payment giving rise thereto is recovered, such participations or subparticipations shall be rescinded and the purchase price restored to the extent of such recovery, without interest; and </w:t>
      </w:r>
    </w:p>
    <w:p>
      <w:pPr>
        <w:pStyle w:val="TextBody"/>
        <w:bidi w:val="0"/>
        <w:spacing w:before="240" w:after="0"/>
        <w:jc w:val="both"/>
        <w:rPr>
          <w:rFonts w:ascii="Times New Roman" w:hAnsi="Times New Roman"/>
          <w:sz w:val="24"/>
        </w:rPr>
      </w:pPr>
      <w:r>
        <w:rPr>
          <w:rFonts w:ascii="Times New Roman" w:hAnsi="Times New Roman"/>
          <w:sz w:val="24"/>
        </w:rPr>
        <w:t xml:space="preserve">(ii) the provisions of this Section shall not be construed to apply to (x) any payment made by or on behalf of any Borrower pursuant to and in accordance with the express terms of this Agreement (including the application of funds arising from the existence of a Defaulting Lender), (y) the application of Cash Collateral provided for in Section 2.15, or (z) any payment obtained by a Lender as consideration for the assignment of or sale of a participation in any of its Loans or subparticipations in the Swingline Loans or L/C Obligations to any assignee or participant. </w:t>
      </w:r>
    </w:p>
    <w:p>
      <w:pPr>
        <w:pStyle w:val="TextBody"/>
        <w:bidi w:val="0"/>
        <w:spacing w:before="240" w:after="0"/>
        <w:jc w:val="both"/>
        <w:rPr>
          <w:rFonts w:ascii="Times New Roman" w:hAnsi="Times New Roman"/>
          <w:sz w:val="24"/>
        </w:rPr>
      </w:pPr>
      <w:r>
        <w:rPr>
          <w:rFonts w:ascii="Times New Roman" w:hAnsi="Times New Roman"/>
          <w:sz w:val="24"/>
        </w:rPr>
        <w:t xml:space="preserve">Each Borrower agrees that any Lender so purchasing a participation from another Lender pursuant to this Section 2.10(c) may, to the fullest extent permitted by law, exercise all its rights of payment (including, without limitation, the right of set-off) with respect to such participation as fully as if such purchasing Lender were the direct creditor of such Borrower in the amount of such participation.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Commitment Reductions</w:t>
      </w:r>
      <w:r>
        <w:rPr>
          <w:rFonts w:ascii="Times New Roman" w:hAnsi="Times New Roman"/>
          <w:sz w:val="24"/>
        </w:rPr>
        <w:t xml:space="preserve">. Any reduction of the Revolving Loan Commitments required or permitted hereunder shall reduce the Revolving Loan Commitment of each Lender having a Revolving Loan Commitment on a pro rata basis based on the Commitment Ratio of such Lender for the Revolving Loan Commitment. </w:t>
      </w:r>
    </w:p>
    <w:p>
      <w:pPr>
        <w:pStyle w:val="TextBody"/>
        <w:bidi w:val="0"/>
        <w:spacing w:before="240" w:after="0"/>
        <w:jc w:val="both"/>
        <w:rPr>
          <w:rFonts w:ascii="Times New Roman" w:hAnsi="Times New Roman"/>
          <w:sz w:val="24"/>
        </w:rPr>
      </w:pPr>
      <w:r>
        <w:rPr>
          <w:rFonts w:ascii="Times New Roman" w:hAnsi="Times New Roman"/>
          <w:sz w:val="24"/>
        </w:rPr>
        <w:t>Section 2.11 </w:t>
      </w:r>
      <w:r>
        <w:rPr>
          <w:rFonts w:ascii="Times New Roman" w:hAnsi="Times New Roman"/>
          <w:sz w:val="24"/>
          <w:u w:val="single"/>
        </w:rPr>
        <w:t>Capital Adequacy</w:t>
      </w:r>
      <w:r>
        <w:rPr>
          <w:rFonts w:ascii="Times New Roman" w:hAnsi="Times New Roman"/>
          <w:sz w:val="24"/>
        </w:rPr>
        <w:t xml:space="preserve">. If after the date hereof, the adoption of any Applicable Law regarding the capital adequacy or liquidity of banks or bank holding companies, or any change in Applicable Law (whether adopted before or after the Effective Date) or any change in the interpretation or administration thereof by any governmental authority, central bank or comparable agency charged with the interpretation or administration thereof, including any such change resulting from the enactment or issuance of any regulation or regulatory interpretation affecting existing Applicable Law, or compliance by such Lender (or the bank holding company of such Lender) with any directive regarding capital adequacy or liquidity (whether or not having the force of law) of any such governmental authority, central bank or comparable agency, has or would have the effect of reducing the rate of return on any Lender’s capital as a consequence of its obligations hereunder with respect to the Loans and the Commitments to a level below that which it could have achieved but for such adoption, change or compliance (taking into consideration such Lender’s policies with respect to capital adequacy or liquidity immediately before such adoption, change or compliance and assuming that such Lender’s (or the bank holding company of such Lender) capital was fully utilized prior to such adoption, change or compliance) by an amount reasonably deemed by such Lender to be material, then, upon demand by such Lender, the relevant Borrower shall promptly pay to such Lender such additional amounts as shall be sufficient to compensate such Lender (on an after-tax basis and without duplication of amounts paid by the relevant Borrower pursuant to Section 10.3) for such reduced return which is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reasonably allocable to this Agreement, together with interest on such amount from the fourth (4th) Business Day after the date of demand or the Maturity Date, as applicable, until payment in full thereof at the Default Rate;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enacted, adopted or issued after the date hereof, regardless of the date enacted, adopted or issued. A certificate of such Lender setting forth the amount to be paid to such Lender by the relevant Borrower as a result of any event referred to in this paragraph and supporting calculations in reasonable detail shall be presumptively correct absent manifest error. Notwithstanding any other provision of this Section 2.11, no Lender shall demand compensation for any increased cost or reduction referred to above if it shall not at the time be the general policy or practice of such Lender to demand such compensation in similar circumstances under comparable provisions of other credit agreements. Failure or delay on the part of any Lender to demand compensation pursuant to the foregoing provisions of this Section 2.11 shall not constitute a waiver of such Lender’s right to demand such compensation, provided that the relevant Borrower shall not be required to compensate a Lender pursuant to the foregoing provisions of this Section for any increased costs incurred or reductions suffered more than six (6) months prior to the date that such Lender notifies the relevant Borrower of the circumstances giving rise to such increased costs or reductions and of such Lender’s intention to claim compensation therefor (except that, if the circumstances giving rise to such increased costs or reductions is retroactive, then the six (6) month period referred to above shall be extended to include the period of retroactive effect thereof). </w:t>
      </w:r>
    </w:p>
    <w:p>
      <w:pPr>
        <w:pStyle w:val="TextBody"/>
        <w:bidi w:val="0"/>
        <w:spacing w:before="240" w:after="0"/>
        <w:jc w:val="both"/>
        <w:rPr>
          <w:rFonts w:ascii="Times New Roman" w:hAnsi="Times New Roman"/>
          <w:sz w:val="24"/>
        </w:rPr>
      </w:pPr>
      <w:r>
        <w:rPr>
          <w:rFonts w:ascii="Times New Roman" w:hAnsi="Times New Roman"/>
          <w:sz w:val="24"/>
        </w:rPr>
        <w:t>Section 2.12 </w:t>
      </w:r>
      <w:r>
        <w:rPr>
          <w:rFonts w:ascii="Times New Roman" w:hAnsi="Times New Roman"/>
          <w:sz w:val="24"/>
          <w:u w:val="single"/>
        </w:rPr>
        <w:t>Lender Tax Forms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(ii)(a) and (ii)(b) of this Section)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(ii) Without limiting the generality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(a) On or prior to the Effective Date and on or prior to the first Business Day of each calendar year thereafter, to the extent it may lawfully do so at such time, each Lender which is a Non-U.S. Person shall provide each of the Administrative Agent, the Company and any relevant Subsidiary Borrower (other than a Foreign Subsidiary Borrower) (A) if such Lender is a “bank” under Section 881(c)(3)(A) of the Code, with a properly executed original of Internal Revenue Service Form W-8BEN (or W-8BEN-E, as applicable) or W-8ECI (or any successor form) prescribed by the Internal Revenue Service or other documents satisfactory to the Borrower and the Administrative Agent, as the case may be, certifying (i) as to such Lender’s status as exempt from United States Federal withholding taxes with respect to all payments to be made to such Lender hereunder and under the Notes or (ii) that all payments to be made to such Lender hereunder and under the Notes are subject to such taxes at a rate reduced to zero by an applicable tax treaty, or (B) if such Lender is not a “bank” within the meaning of Section 881(c)(3)(A) of the Code and intends to claim exemption from U.S. Federal withholding tax under Section 871(h) or 881(c) of the Code with respect to payments of “portfolio interest”, a Form W-8BEN (or W-8BEN-E, as applicable), or any subsequent versions thereof or successors thereto (and, if such Lender delivers a Form W-8BEN (or W-8BEN-E, as applicable), a certificate representing that such Lender is not a bank for purposes of Section 881(c) of the Code, is not a ten-percent (10%) shareholder (within the meaning of Section 871(h)(3)(B) of the Code and is not a controlled foreign corporation related to the Company or any relevant Subsidiary Borrower (within the meaning of Section 864(d)(4) of the Code)), properly completed and duly executed by such Lender, indicating that such Lender is entitled to receive payments under this Agreement without deduction or withholding of any United States Federal income taxes as permitted by the Code. If a payment made to a Lender under this Agreement would be subject to withholding Tax imposed under FATCA if such Lender fails to comply with the applicable reporting requirements of FATCA (including those contained in Section 1471(b) or 1472(b) of the Code, as applicable), such Lender shall deliver to the Administrative Agent, the Company and any relevant Subsidiary Borrower (other than a Foreign Subsidiary Borrower), at the time or times prescribed by law and at such time or times reasonably requested by the Administrative Agent, the Company or any relevant Subsidiary Borrower, such documentation prescribed by Applicable Law (included as prescribed by Section 1471(b)(3)(C)(i) of the Code) and such additional documentation reasonably requested by the Administrative Agent, the Company or any relevant Subsidiary Borrower as may be necessary for the Administrative Agent, the Company or any relevant Subsidiary Borrower to comply with its obligations under FATCA, to determine that such Lender has complied with such Lender’s obligations under FATCA, or to determine the amount to deduct and withhold from such payment. </w:t>
      </w:r>
    </w:p>
    <w:p>
      <w:pPr>
        <w:pStyle w:val="TextBody"/>
        <w:bidi w:val="0"/>
        <w:spacing w:before="240" w:after="0"/>
        <w:jc w:val="both"/>
        <w:rPr>
          <w:rFonts w:ascii="Times New Roman" w:hAnsi="Times New Roman"/>
          <w:sz w:val="24"/>
        </w:rPr>
      </w:pPr>
      <w:r>
        <w:rPr>
          <w:rFonts w:ascii="Times New Roman" w:hAnsi="Times New Roman"/>
          <w:sz w:val="24"/>
        </w:rPr>
        <w:t xml:space="preserve">(b) On or prior to the Effective Date, and to the extent permitted by applicable U.S. Federal law, on or prior to the first (1st) Business Day of each calendar year thereafter, each Lender which is a U.S. Person shall provide the Administrative Agent, the Company and any relevant Subsidiary Borrower a duly completed and executed copy of the Internal Revenue Service Form W-9 or successor form to the effect that it is a U.S. Person.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2.13 </w:t>
      </w:r>
      <w:r>
        <w:rPr>
          <w:rFonts w:ascii="Times New Roman" w:hAnsi="Times New Roman"/>
          <w:sz w:val="24"/>
          <w:u w:val="single"/>
        </w:rPr>
        <w:t>Letters of Credit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The Letter of Credit Commitments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(i) Subject to the terms and conditions set forth herein, (A) each Issuing Bank agrees, in reliance upon the agreements of the Lenders set forth in this Section 2.13 and within the limits of its L/C Commitment, (1) from time to time on any Business Day until the Letter of Credit Expiration Date, to issue Letters of Credit denominated in Dollars or one or more Alternative Currencies for the account of the Company or its Subsidiaries, and to amend or extend Letters of Credit previously issued by it, in accordance with subsection (b) below, and (2) to honor drawings under the Letters of Credit; and (B) the Lenders severally agree to participate in Letters of Credit issued for the account of the Company or its Subsidiaries and any drawings thereunder; </w:t>
      </w:r>
      <w:r>
        <w:rPr>
          <w:rFonts w:ascii="Times New Roman" w:hAnsi="Times New Roman"/>
          <w:sz w:val="24"/>
          <w:u w:val="single"/>
        </w:rPr>
        <w:t>provided</w:t>
      </w:r>
      <w:r>
        <w:rPr>
          <w:rFonts w:ascii="Times New Roman" w:hAnsi="Times New Roman"/>
          <w:sz w:val="24"/>
        </w:rPr>
        <w:t xml:space="preserve"> that after giving effect to any L/C Credit Extension with respect to any Letter of Credit, (1) the Dollar Equivalent of the aggregate Outstanding Amount of all Loans and L/C Obligations shall not exceed the aggregate Revolving Loan Commitments, (2) the Dollar Equivalent of the aggregate Outstanding Amount of the Revolving Loans of any Lender, </w:t>
      </w:r>
      <w:r>
        <w:rPr>
          <w:rFonts w:ascii="Times New Roman" w:hAnsi="Times New Roman"/>
          <w:sz w:val="24"/>
          <w:u w:val="single"/>
        </w:rPr>
        <w:t>plus</w:t>
      </w:r>
      <w:r>
        <w:rPr>
          <w:rFonts w:ascii="Times New Roman" w:hAnsi="Times New Roman"/>
          <w:sz w:val="24"/>
        </w:rPr>
        <w:t xml:space="preserve"> such Lender’s Commitment Ratio of the Dollar Equivalent of the Outstanding Amount of all L/C Obligations plus such Lender’s Commitment Ratio of the Swingline Loans then outstanding shall not exceed such Lender’s Commitment, (3) the Dollar Equivalent of the Outstanding Amount of the L/C Obligations in respect of Letters of Credit issued by such Issuing Bank shall not exceed the Dollar Equivalent of such Issuing Bank’s L/C Commitment, (4) the Dollar Equivalent of the Outstanding Amount of the L/C Obligations shall not exceed the Letter of Credit Sublimit and (5) the Dollar Equivalent of the aggregate outstanding principal amount of Advances and the Outstanding Amount of Letters of Credit, in each case denominated in any Alternative Currency, exceeds the Alternative Currency Sublimit;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w:t>
      </w:r>
      <w:r>
        <w:rPr>
          <w:rFonts w:ascii="Times New Roman" w:hAnsi="Times New Roman"/>
          <w:strike/>
          <w:color w:val="FF0000"/>
          <w:sz w:val="24"/>
        </w:rPr>
        <w:t>none of Barclays Bank PLC,</w:t>
      </w:r>
      <w:r>
        <w:rPr>
          <w:rFonts w:ascii="Times New Roman" w:hAnsi="Times New Roman"/>
          <w:color w:val="0000FF"/>
          <w:sz w:val="24"/>
          <w:u w:val="single"/>
          <w:bdr w:val="double" w:sz="2" w:space="1" w:color="000000"/>
        </w:rPr>
        <w:t>neither of</w:t>
      </w:r>
      <w:r>
        <w:rPr>
          <w:rFonts w:ascii="Times New Roman" w:hAnsi="Times New Roman"/>
          <w:sz w:val="24"/>
        </w:rPr>
        <w:t xml:space="preserve"> Royal Bank of Canada or Morgan Stanley Bank, N.A. shall have any obligation to issue commercial letters of credit. Each request by the Company for the issuance or amendment of a Letter of Credit shall be deemed to be a representation by the Company that the L/C Credit Extension so requested complies with the conditions set forth in the proviso to the preceding sentence. Each letter of credit listed on </w:t>
      </w:r>
      <w:r>
        <w:rPr>
          <w:rFonts w:ascii="Times New Roman" w:hAnsi="Times New Roman"/>
          <w:sz w:val="24"/>
          <w:u w:val="single"/>
        </w:rPr>
        <w:t>Schedule 2</w:t>
      </w:r>
      <w:r>
        <w:rPr>
          <w:rFonts w:ascii="Times New Roman" w:hAnsi="Times New Roman"/>
          <w:sz w:val="24"/>
        </w:rPr>
        <w:t xml:space="preserve"> shall be deemed to constitute a Letter of Credit issued hereunder, and each Lender that is an issuer of such a Letter of Credit shall, for purposes of this Section 2.13, be deemed to be an Issuing Bank for each such letter of credit, provided than any renewal or replacement of any such letter of credit shall be issued by an Issuing Bank pursuant to the terms of this Agreement. Within the foregoing limits, and subject to the terms and conditions hereof, the Company’s ability to obtain Letters of Credit shall be fully revolving, and accordingly the Company may obtain Letters of Credit to replace Letters of Credit that have expired or that have been drawn upon and reimbursed. </w:t>
      </w:r>
    </w:p>
    <w:p>
      <w:pPr>
        <w:pStyle w:val="TextBody"/>
        <w:bidi w:val="0"/>
        <w:spacing w:before="240" w:after="0"/>
        <w:jc w:val="both"/>
        <w:rPr>
          <w:rFonts w:ascii="Times New Roman" w:hAnsi="Times New Roman"/>
          <w:sz w:val="24"/>
        </w:rPr>
      </w:pPr>
      <w:r>
        <w:rPr>
          <w:rFonts w:ascii="Times New Roman" w:hAnsi="Times New Roman"/>
          <w:sz w:val="24"/>
        </w:rPr>
        <w:t xml:space="preserve">(ii) No Issuing Bank shall issue any Letter of Credit, if: </w:t>
      </w:r>
    </w:p>
    <w:p>
      <w:pPr>
        <w:pStyle w:val="TextBody"/>
        <w:bidi w:val="0"/>
        <w:spacing w:before="240" w:after="0"/>
        <w:jc w:val="both"/>
        <w:rPr>
          <w:rFonts w:ascii="Times New Roman" w:hAnsi="Times New Roman"/>
          <w:sz w:val="24"/>
        </w:rPr>
      </w:pPr>
      <w:r>
        <w:rPr>
          <w:rFonts w:ascii="Times New Roman" w:hAnsi="Times New Roman"/>
          <w:sz w:val="24"/>
        </w:rPr>
        <w:t xml:space="preserve">(1) subject to Section 2.13(b)(iii), the expiry date of the requested Letter of Credit would occur more than twelve months after the date of issuance or last extension, unless the Majority Lenders have approved such expiry date; </w:t>
      </w:r>
      <w:r>
        <w:rPr>
          <w:rFonts w:ascii="Times New Roman" w:hAnsi="Times New Roman"/>
          <w:sz w:val="24"/>
          <w:u w:val="single"/>
        </w:rPr>
        <w:t>provided</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that each Auto-Extension Letter of Credit shall not be deemed to have an expiry date longer than twelve (12) months after the date of its issuance; or </w:t>
      </w:r>
    </w:p>
    <w:p>
      <w:pPr>
        <w:pStyle w:val="TextBody"/>
        <w:bidi w:val="0"/>
        <w:spacing w:before="240" w:after="0"/>
        <w:jc w:val="both"/>
        <w:rPr>
          <w:rFonts w:ascii="Times New Roman" w:hAnsi="Times New Roman"/>
          <w:sz w:val="24"/>
        </w:rPr>
      </w:pPr>
      <w:r>
        <w:rPr>
          <w:rFonts w:ascii="Times New Roman" w:hAnsi="Times New Roman"/>
          <w:sz w:val="24"/>
        </w:rPr>
        <w:t xml:space="preserve">(2) the expiry date of the requested Letter of Credit would occur after the Letter of Credit Expiration Date, unless all the Lenders have approved such expiry date. </w:t>
      </w:r>
    </w:p>
    <w:p>
      <w:pPr>
        <w:pStyle w:val="TextBody"/>
        <w:bidi w:val="0"/>
        <w:spacing w:before="240" w:after="0"/>
        <w:jc w:val="both"/>
        <w:rPr>
          <w:rFonts w:ascii="Times New Roman" w:hAnsi="Times New Roman"/>
          <w:sz w:val="24"/>
        </w:rPr>
      </w:pPr>
      <w:r>
        <w:rPr>
          <w:rFonts w:ascii="Times New Roman" w:hAnsi="Times New Roman"/>
          <w:sz w:val="24"/>
        </w:rPr>
        <w:t xml:space="preserve">(iii) No Issuing Bank shall be under any obligation to issue any Letter of Credit if: </w:t>
      </w:r>
    </w:p>
    <w:p>
      <w:pPr>
        <w:pStyle w:val="TextBody"/>
        <w:bidi w:val="0"/>
        <w:spacing w:before="240" w:after="0"/>
        <w:jc w:val="both"/>
        <w:rPr>
          <w:rFonts w:ascii="Times New Roman" w:hAnsi="Times New Roman"/>
          <w:sz w:val="24"/>
        </w:rPr>
      </w:pPr>
      <w:r>
        <w:rPr>
          <w:rFonts w:ascii="Times New Roman" w:hAnsi="Times New Roman"/>
          <w:sz w:val="24"/>
        </w:rPr>
        <w:t xml:space="preserve">(1) any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or liquidity requirement (for which such Issuing Bank is not otherwise compensated hereunder) not in effect on the date hereof, or shall impose upon such Issuing Bank any unreimbursed loss, cost or expense which was not applicable on the Effective Date and which such Issuing Bank in good faith deems material to it;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such circumstance shall not affect such Lender’s obligations pursuant to Section 2.13(c); </w:t>
      </w:r>
    </w:p>
    <w:p>
      <w:pPr>
        <w:pStyle w:val="TextBody"/>
        <w:bidi w:val="0"/>
        <w:spacing w:before="240" w:after="0"/>
        <w:jc w:val="both"/>
        <w:rPr>
          <w:rFonts w:ascii="Times New Roman" w:hAnsi="Times New Roman"/>
          <w:sz w:val="24"/>
        </w:rPr>
      </w:pPr>
      <w:r>
        <w:rPr>
          <w:rFonts w:ascii="Times New Roman" w:hAnsi="Times New Roman"/>
          <w:sz w:val="24"/>
        </w:rPr>
        <w:t xml:space="preserve">(2) the issuance of the Letter of Credit would violate one or more policies of such Issuing Bank applicable to letters of credit generally; </w:t>
      </w:r>
    </w:p>
    <w:p>
      <w:pPr>
        <w:pStyle w:val="TextBody"/>
        <w:bidi w:val="0"/>
        <w:spacing w:before="240" w:after="0"/>
        <w:jc w:val="both"/>
        <w:rPr>
          <w:rFonts w:ascii="Times New Roman" w:hAnsi="Times New Roman"/>
          <w:sz w:val="24"/>
        </w:rPr>
      </w:pPr>
      <w:r>
        <w:rPr>
          <w:rFonts w:ascii="Times New Roman" w:hAnsi="Times New Roman"/>
          <w:sz w:val="24"/>
        </w:rPr>
        <w:t xml:space="preserve">(3) except as otherwise agreed by the Administrative Agent and such Issuing Bank, the Letter of Credit is in an initial stated amount less than $100,000, in the case of a Commercial Letter of Credit, or $500,000, in the case of a standby Letter of Credit; </w:t>
      </w:r>
    </w:p>
    <w:p>
      <w:pPr>
        <w:pStyle w:val="TextBody"/>
        <w:bidi w:val="0"/>
        <w:spacing w:before="240" w:after="0"/>
        <w:jc w:val="both"/>
        <w:rPr>
          <w:rFonts w:ascii="Times New Roman" w:hAnsi="Times New Roman"/>
          <w:sz w:val="24"/>
        </w:rPr>
      </w:pPr>
      <w:r>
        <w:rPr>
          <w:rFonts w:ascii="Times New Roman" w:hAnsi="Times New Roman"/>
          <w:sz w:val="24"/>
        </w:rPr>
        <w:t xml:space="preserve">(4) except as otherwise agreed by the Administrative Agent and such Issuing Bank, the Letter of Credit is to be denominated in a currency other than Dollars or an Alternative Currency; </w:t>
      </w:r>
    </w:p>
    <w:p>
      <w:pPr>
        <w:pStyle w:val="TextBody"/>
        <w:bidi w:val="0"/>
        <w:spacing w:before="240" w:after="0"/>
        <w:jc w:val="both"/>
        <w:rPr>
          <w:rFonts w:ascii="Times New Roman" w:hAnsi="Times New Roman"/>
          <w:sz w:val="24"/>
        </w:rPr>
      </w:pPr>
      <w:r>
        <w:rPr>
          <w:rFonts w:ascii="Times New Roman" w:hAnsi="Times New Roman"/>
          <w:sz w:val="24"/>
        </w:rPr>
        <w:t xml:space="preserve">(5) any Lender is at that time a Defaulting Lender, unless such Issuing Bank has entered into arrangements, including the delivery of Cash Collateral, satisfactory to such Issuing Bank (in its sole discretion) with the Company or such Lender to eliminate such Issuing Bank’s actual or potential Fronting Exposure (after giving effect to </w:t>
      </w:r>
      <w:r>
        <w:rPr>
          <w:rFonts w:ascii="Times New Roman" w:hAnsi="Times New Roman"/>
          <w:sz w:val="24"/>
          <w:u w:val="single"/>
        </w:rPr>
        <w:t>Section 2.16(a)(iv</w:t>
      </w:r>
      <w:r>
        <w:rPr>
          <w:rFonts w:ascii="Times New Roman" w:hAnsi="Times New Roman"/>
          <w:sz w:val="24"/>
        </w:rPr>
        <w:t xml:space="preserve">)) with respect to the Defaulting Lender arising from either the Letter of Credit then proposed to be issued or that Letter of Credit and all other L/C Obligations as to which such Issuing Bank has actual or potential Fronting Exposure, as it may elect in its sole discretion; or </w:t>
      </w:r>
    </w:p>
    <w:p>
      <w:pPr>
        <w:pStyle w:val="TextBody"/>
        <w:bidi w:val="0"/>
        <w:spacing w:before="240" w:after="0"/>
        <w:jc w:val="both"/>
        <w:rPr>
          <w:rFonts w:ascii="Times New Roman" w:hAnsi="Times New Roman"/>
          <w:sz w:val="24"/>
        </w:rPr>
      </w:pPr>
      <w:r>
        <w:rPr>
          <w:rFonts w:ascii="Times New Roman" w:hAnsi="Times New Roman"/>
          <w:sz w:val="24"/>
        </w:rPr>
        <w:t xml:space="preserve">(6) the Letter of Credit contains any provisions for automatic reinstatement of the stated amount after any drawing thereunder.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(i) No Issuing Bank shall amend any Letter of Credit if such Issuing Bank would not be permitted at such time to issue the Letter of Credit in its amended form under the terms hereof. </w:t>
      </w:r>
    </w:p>
    <w:p>
      <w:pPr>
        <w:pStyle w:val="TextBody"/>
        <w:bidi w:val="0"/>
        <w:spacing w:before="240" w:after="0"/>
        <w:jc w:val="both"/>
        <w:rPr>
          <w:rFonts w:ascii="Times New Roman" w:hAnsi="Times New Roman"/>
          <w:sz w:val="24"/>
        </w:rPr>
      </w:pPr>
      <w:r>
        <w:rPr>
          <w:rFonts w:ascii="Times New Roman" w:hAnsi="Times New Roman"/>
          <w:sz w:val="24"/>
        </w:rPr>
        <w:t xml:space="preserve">(ii) No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 </w:t>
      </w:r>
    </w:p>
    <w:p>
      <w:pPr>
        <w:pStyle w:val="TextBody"/>
        <w:bidi w:val="0"/>
        <w:spacing w:before="240" w:after="0"/>
        <w:jc w:val="both"/>
        <w:rPr>
          <w:rFonts w:ascii="Times New Roman" w:hAnsi="Times New Roman"/>
          <w:sz w:val="24"/>
        </w:rPr>
      </w:pPr>
      <w:r>
        <w:rPr>
          <w:rFonts w:ascii="Times New Roman" w:hAnsi="Times New Roman"/>
          <w:sz w:val="24"/>
        </w:rPr>
        <w:t xml:space="preserve">(iii) Each Issuing Bank shall act on behalf of the Lenders with respect to any Letters of Credit issued by it and the documents associated therewith, and each Issuing Bank shall have all of the benefits and immunities (A) provided to the Administrative Agent in </w:t>
      </w:r>
      <w:r>
        <w:rPr>
          <w:rFonts w:ascii="Times New Roman" w:hAnsi="Times New Roman"/>
          <w:sz w:val="24"/>
          <w:u w:val="single"/>
        </w:rPr>
        <w:t>Article 9</w:t>
      </w:r>
      <w:r>
        <w:rPr>
          <w:rFonts w:ascii="Times New Roman" w:hAnsi="Times New Roman"/>
          <w:sz w:val="24"/>
        </w:rPr>
        <w:t xml:space="preserve"> with respect to any acts taken or omissions suffered by such Issuing Bank in connection with Letters of Credit issued by it or proposed to be issued by it and Issuer Documents pertaining to such Letters of Credit as fully as if the term “Administrative Agent” as used in </w:t>
      </w:r>
      <w:r>
        <w:rPr>
          <w:rFonts w:ascii="Times New Roman" w:hAnsi="Times New Roman"/>
          <w:sz w:val="24"/>
          <w:u w:val="single"/>
        </w:rPr>
        <w:t>Article 9</w:t>
      </w:r>
      <w:r>
        <w:rPr>
          <w:rFonts w:ascii="Times New Roman" w:hAnsi="Times New Roman"/>
          <w:sz w:val="24"/>
        </w:rPr>
        <w:t xml:space="preserve"> included such Issuing Bank with respect to such acts or omissions, and (B) as additionally provided herein with respect to the Issuing Banks.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Procedures for Issuance and Amendment of Letters of Credit</w:t>
      </w:r>
      <w:r>
        <w:rPr>
          <w:rFonts w:ascii="Times New Roman" w:hAnsi="Times New Roman"/>
          <w:b/>
          <w:sz w:val="24"/>
          <w:u w:val="single"/>
        </w:rPr>
        <w:t xml:space="preserve">; </w:t>
      </w:r>
      <w:r>
        <w:rPr>
          <w:rFonts w:ascii="Times New Roman" w:hAnsi="Times New Roman"/>
          <w:sz w:val="24"/>
          <w:u w:val="single"/>
        </w:rPr>
        <w:t>Auto-Extension Letters of Credit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(i) Each Letter of Credit shall be issued or amended, as the case may be, upon the request of the Company delivered to the applicable Issuing Bank (with a copy to the Administrative Agent) in the form of a Letter of Credit Application, appropriately completed to the reasonable satisfaction of the applicable Issuing Bank and signed by a responsible officer of the Company. Such Letter of Credit Application must be received by the applicable Issuing Bank and the Administrative Agent not later than 11:00 a.m. at least, in the case of Letters of Credit denominated in Dollars, two (2) Business Days </w:t>
      </w:r>
      <w:r>
        <w:rPr>
          <w:rFonts w:ascii="Times New Roman" w:hAnsi="Times New Roman"/>
          <w:strike/>
          <w:color w:val="FF0000"/>
          <w:sz w:val="24"/>
        </w:rPr>
        <w:t xml:space="preserve">(or, if the Issuing Bank is Barclays Bank PLC or any of its affiliates, three (3) Business Days) </w:t>
      </w:r>
      <w:r>
        <w:rPr>
          <w:rFonts w:ascii="Times New Roman" w:hAnsi="Times New Roman"/>
          <w:sz w:val="24"/>
        </w:rPr>
        <w:t xml:space="preserve">and, in the case of Letters of Credit denominated in an Alternative Currency, four (4) Business Days </w:t>
      </w:r>
      <w:r>
        <w:rPr>
          <w:rFonts w:ascii="Times New Roman" w:hAnsi="Times New Roman"/>
          <w:strike/>
          <w:color w:val="FF0000"/>
          <w:sz w:val="24"/>
        </w:rPr>
        <w:t xml:space="preserve">(or, if the Issuing Bank is Barclays Bank PLC or any of its affiliates, five (5) Business Days) </w:t>
      </w:r>
      <w:r>
        <w:rPr>
          <w:rFonts w:ascii="Times New Roman" w:hAnsi="Times New Roman"/>
          <w:sz w:val="24"/>
        </w:rPr>
        <w:t xml:space="preserve">(or, in each case, such later date and time as the Administrative Agent and such Issuing Bank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 (C) the nature of the proposed amendment; and (D) such other matters 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such Issuing Bank may require. Additionally, the Company shall furnish to the applicable Issuing Bank and the Administrative Agent such other documents and information pertaining to such requested Letter of Credit issuance or amendment, including any Issuer Documents, as such Issuing Bank or the Administrative Agent may require. </w:t>
      </w:r>
    </w:p>
    <w:p>
      <w:pPr>
        <w:pStyle w:val="TextBody"/>
        <w:bidi w:val="0"/>
        <w:spacing w:before="240" w:after="0"/>
        <w:jc w:val="both"/>
        <w:rPr>
          <w:rFonts w:ascii="Times New Roman" w:hAnsi="Times New Roman"/>
          <w:sz w:val="24"/>
        </w:rPr>
      </w:pPr>
      <w:r>
        <w:rPr>
          <w:rFonts w:ascii="Times New Roman" w:hAnsi="Times New Roman"/>
          <w:sz w:val="24"/>
        </w:rPr>
        <w:t xml:space="preserve">(ii) Promptly after receipt of any Letter of Credit Application, the applicable Issuing Bank will confirm with the Administrative Agent (by telephone or in writing) that the Administrative Agent has received a copy of such Letter of Credit Application from the Company and, if not, such Issuing Bank will provide the Administrative Agent with a copy thereof. Unless the applicable Issuing Bank has received written notice from any Lender, the Administrative Agent or the Company, at least one (1) Business Day prior to the requested date of issuance or amendment of the applicable Letter of Credit, that one or more applicable conditions contained in </w:t>
      </w:r>
      <w:r>
        <w:rPr>
          <w:rFonts w:ascii="Times New Roman" w:hAnsi="Times New Roman"/>
          <w:sz w:val="24"/>
          <w:u w:val="single"/>
        </w:rPr>
        <w:t>Article 3</w:t>
      </w:r>
      <w:r>
        <w:rPr>
          <w:rFonts w:ascii="Times New Roman" w:hAnsi="Times New Roman"/>
          <w:sz w:val="24"/>
        </w:rPr>
        <w:t xml:space="preserve"> shall not then be satisfied, then, subject to the terms and conditions hereof, such Issuing Bank shall, on the requested date, issue a Letter of Credit for the account of the Company (or the applicable Subsidiary) or enter into the applicable amendment, as the case may be, in each case in accordance with such Issuing Bank’s usual and customary business practices. Immediately upon the issuance of each Letter of Credit, each Lender shall be deemed to, and hereby irrevocably and unconditionally agrees to, purchase from the applicable Issuing Bank a risk participation in such Letter of Credit in an amount equal to the product of such Lender’s Commitment Ratio </w:t>
      </w:r>
      <w:r>
        <w:rPr>
          <w:rFonts w:ascii="Times New Roman" w:hAnsi="Times New Roman"/>
          <w:sz w:val="24"/>
          <w:u w:val="single"/>
        </w:rPr>
        <w:t>times</w:t>
      </w:r>
      <w:r>
        <w:rPr>
          <w:rFonts w:ascii="Times New Roman" w:hAnsi="Times New Roman"/>
          <w:sz w:val="24"/>
        </w:rPr>
        <w:t xml:space="preserve"> the amount of such Letter of Credit. </w:t>
      </w:r>
    </w:p>
    <w:p>
      <w:pPr>
        <w:pStyle w:val="TextBody"/>
        <w:bidi w:val="0"/>
        <w:spacing w:before="240" w:after="0"/>
        <w:jc w:val="both"/>
        <w:rPr>
          <w:rFonts w:ascii="Times New Roman" w:hAnsi="Times New Roman"/>
          <w:sz w:val="24"/>
        </w:rPr>
      </w:pPr>
      <w:r>
        <w:rPr>
          <w:rFonts w:ascii="Times New Roman" w:hAnsi="Times New Roman"/>
          <w:sz w:val="24"/>
        </w:rPr>
        <w:t>(iii) If the Company so requests in any applicable Letter of Credit Application, the applicable Issuing Bank may, in its sole discretion, agree to issue a Letter of Credit that has automatic extension provisions (each, an “</w:t>
      </w:r>
      <w:r>
        <w:rPr>
          <w:rFonts w:ascii="Times New Roman" w:hAnsi="Times New Roman"/>
          <w:sz w:val="24"/>
          <w:u w:val="single"/>
        </w:rPr>
        <w:t>Auto-Extension Letter of Credit</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Times New Roman" w:hAnsi="Times New Roman"/>
          <w:sz w:val="24"/>
          <w:u w:val="single"/>
        </w:rPr>
        <w:t>Non-Extension Notice Date</w:t>
      </w:r>
      <w:r>
        <w:rPr>
          <w:rFonts w:ascii="Times New Roman" w:hAnsi="Times New Roman"/>
          <w:sz w:val="24"/>
        </w:rPr>
        <w:t xml:space="preserve">”) in each such twelve-month period to be agreed upon at the time such Letter of Credit is issued. Unless otherwise directed by the applicable Issuing Bank, the Company shall not be required to make a specific request to such Issuing Bank for any such extension. Once an Auto-Extension Letter of Credit has been issued, the Lenders shall be deemed to have authorized (but may not require) the applicable Issuing Bank to permit the extension of such Letter of Credit at any time to an expiry date not later than the Letter of Credit Expiration 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Issuing Bank shall not permit any such extension if (A) such Issuing Bank has determined that it would not be permitted, or would have no obligation, at such time to issue such Letter of Credit in its revised form (as extended) under the terms hereof (by reason of the provisions of clause (ii) or (iii) of </w:t>
      </w:r>
      <w:r>
        <w:rPr>
          <w:rFonts w:ascii="Times New Roman" w:hAnsi="Times New Roman"/>
          <w:sz w:val="24"/>
          <w:u w:val="single"/>
        </w:rPr>
        <w:t>Section 2.13(a)</w:t>
      </w:r>
      <w:r>
        <w:rPr>
          <w:rFonts w:ascii="Times New Roman" w:hAnsi="Times New Roman"/>
          <w:sz w:val="24"/>
        </w:rPr>
        <w:t xml:space="preserve"> or otherwise), or (B) it has received notice (which may be by telephone or in writing) on or before the day that is seven (7) Business Days before the Non-Extension Notice Date (1) from the Administrative Agent that the Majority Lenders have elected not to permit such extension or (2) from the Administrative Agent, any Lender or the Company that one or more of the applicable conditions specified in </w:t>
      </w:r>
      <w:r>
        <w:rPr>
          <w:rFonts w:ascii="Times New Roman" w:hAnsi="Times New Roman"/>
          <w:sz w:val="24"/>
          <w:u w:val="single"/>
        </w:rPr>
        <w:t>Section 3.4</w:t>
      </w:r>
      <w:r>
        <w:rPr>
          <w:rFonts w:ascii="Times New Roman" w:hAnsi="Times New Roman"/>
          <w:sz w:val="24"/>
        </w:rPr>
        <w:t xml:space="preserve"> is not then satisfied, and in each such case directing such Issuing Bank not to permit such extension.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(iv) Promptly after its delivery of any Letter of Credit or any amendment to a Letter of Credit to an advising bank with respect thereto or to the beneficiary thereof, the applicable Issuing Bank will also deliver to the Company and the Administrative Agent a true and complete copy of such Letter of Credit or amendment.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Drawings and Reimbursements; Funding of Participations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(i) Upon receipt from the beneficiary of any Letter of Credit of any notice of a drawing under such Letter of Credit, the applicable Issuing Bank shall notify the Company and the Administrative Agent thereof. Not later than 11:00 a.m. on the date of any payment by the applicable Issuing Bank under a Letter of Credit (each such date, an “</w:t>
      </w:r>
      <w:r>
        <w:rPr>
          <w:rFonts w:ascii="Times New Roman" w:hAnsi="Times New Roman"/>
          <w:sz w:val="24"/>
          <w:u w:val="single"/>
        </w:rPr>
        <w:t>Honor Date</w:t>
      </w:r>
      <w:r>
        <w:rPr>
          <w:rFonts w:ascii="Times New Roman" w:hAnsi="Times New Roman"/>
          <w:sz w:val="24"/>
        </w:rPr>
        <w:t>”), the Company shall reimburse such Issuing Bank through the Administrative Agent in an amount equal to the amount of such drawing; provided, however, that in the case of a Letter of Credit denominated in an Alternative Currency, the Company shall reimburse such Issuing Bank in Dollars, and such Issuing Bank shall notify the Company of the Dollar Equivalent of the amount of the drawing promptly following the determination thereof. If the Company fails to so reimburse the applicable Issuing Bank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hAnsi="Times New Roman"/>
          <w:sz w:val="24"/>
          <w:u w:val="single"/>
        </w:rPr>
        <w:t>Unreimbursed Amount</w:t>
      </w:r>
      <w:r>
        <w:rPr>
          <w:rFonts w:ascii="Times New Roman" w:hAnsi="Times New Roman"/>
          <w:sz w:val="24"/>
        </w:rPr>
        <w:t xml:space="preserve">”), and the amount of such Lender’s Commitment Ratio thereof. In such event, the Company shall be deemed to have requested an Advance of Base Rate Advances to be disbursed on the Honor Date in an amount equal to the Unreimbursed Amount, without regard to the minimum and multiples for the principal amount of Base Rate Advances, but subject to the amount of the Available Revolving Loan Commitments and the conditions set forth in </w:t>
      </w:r>
      <w:r>
        <w:rPr>
          <w:rFonts w:ascii="Times New Roman" w:hAnsi="Times New Roman"/>
          <w:sz w:val="24"/>
          <w:u w:val="single"/>
        </w:rPr>
        <w:t>Section 3.3</w:t>
      </w:r>
      <w:r>
        <w:rPr>
          <w:rFonts w:ascii="Times New Roman" w:hAnsi="Times New Roman"/>
          <w:sz w:val="24"/>
        </w:rPr>
        <w:t xml:space="preserve"> (other than the delivery of a Request for Advance). Any notice given by an Issuing Bank or the Administrative Agent pursuant to this Section 2.13(c)(i) may be given by telephone if immediately confirmed in writing; </w:t>
      </w:r>
      <w:r>
        <w:rPr>
          <w:rFonts w:ascii="Times New Roman" w:hAnsi="Times New Roman"/>
          <w:sz w:val="24"/>
          <w:u w:val="single"/>
        </w:rPr>
        <w:t>provided</w:t>
      </w:r>
      <w:r>
        <w:rPr>
          <w:rFonts w:ascii="Times New Roman" w:hAnsi="Times New Roman"/>
          <w:sz w:val="24"/>
        </w:rPr>
        <w:t xml:space="preserve"> that the lack of such an immediate confirmation shall not affect the conclusiveness or binding effect of such notice. </w:t>
      </w:r>
    </w:p>
    <w:p>
      <w:pPr>
        <w:pStyle w:val="TextBody"/>
        <w:bidi w:val="0"/>
        <w:spacing w:before="240" w:after="0"/>
        <w:jc w:val="both"/>
        <w:rPr>
          <w:rFonts w:ascii="Times New Roman" w:hAnsi="Times New Roman"/>
          <w:sz w:val="24"/>
        </w:rPr>
      </w:pPr>
      <w:r>
        <w:rPr>
          <w:rFonts w:ascii="Times New Roman" w:hAnsi="Times New Roman"/>
          <w:sz w:val="24"/>
        </w:rPr>
        <w:t xml:space="preserve">(ii) Each Lender shall upon any notice pursuant to </w:t>
      </w:r>
      <w:r>
        <w:rPr>
          <w:rFonts w:ascii="Times New Roman" w:hAnsi="Times New Roman"/>
          <w:sz w:val="24"/>
          <w:u w:val="single"/>
        </w:rPr>
        <w:t>Section 2.13(c)(i)</w:t>
      </w:r>
      <w:r>
        <w:rPr>
          <w:rFonts w:ascii="Times New Roman" w:hAnsi="Times New Roman"/>
          <w:sz w:val="24"/>
        </w:rPr>
        <w:t xml:space="preserve"> make funds available (and the Administrative Agent may apply Cash Collateral provided for this purpose) for the account of the applicable Issuing Bank at the Administrative Agent’s Office in an amount equal to its Commitment Ratio of the Unreimbursed Amount not later than 1:00 p.m. on the Business Day specified in such notice by the Administrative Agent, whereupon, subject to the provisions of </w:t>
      </w:r>
      <w:r>
        <w:rPr>
          <w:rFonts w:ascii="Times New Roman" w:hAnsi="Times New Roman"/>
          <w:sz w:val="24"/>
          <w:u w:val="single"/>
        </w:rPr>
        <w:t>Section 2.13(c)(iii)</w:t>
      </w:r>
      <w:r>
        <w:rPr>
          <w:rFonts w:ascii="Times New Roman" w:hAnsi="Times New Roman"/>
          <w:sz w:val="24"/>
        </w:rPr>
        <w:t xml:space="preserve">, each Lender that so makes funds available shall be deemed to have made a Base Rate Advances to the Company in such amount. The Administrative Agent shall remit the funds so received to the applicable Issuing Bank. </w:t>
      </w:r>
    </w:p>
    <w:p>
      <w:pPr>
        <w:pStyle w:val="TextBody"/>
        <w:bidi w:val="0"/>
        <w:spacing w:before="240" w:after="0"/>
        <w:jc w:val="both"/>
        <w:rPr>
          <w:rFonts w:ascii="Times New Roman" w:hAnsi="Times New Roman"/>
          <w:sz w:val="24"/>
        </w:rPr>
      </w:pPr>
      <w:r>
        <w:rPr>
          <w:rFonts w:ascii="Times New Roman" w:hAnsi="Times New Roman"/>
          <w:sz w:val="24"/>
        </w:rPr>
        <w:t xml:space="preserve">(iii) With respect to any Unreimbursed Amount that is not fully refinanced by an Advance of Base Rate Advances because the conditions set forth in </w:t>
      </w:r>
      <w:r>
        <w:rPr>
          <w:rFonts w:ascii="Times New Roman" w:hAnsi="Times New Roman"/>
          <w:sz w:val="24"/>
          <w:u w:val="single"/>
        </w:rPr>
        <w:t>Section 3.3</w:t>
      </w:r>
      <w:r>
        <w:rPr>
          <w:rFonts w:ascii="Times New Roman" w:hAnsi="Times New Roman"/>
          <w:sz w:val="24"/>
        </w:rPr>
        <w:t xml:space="preserve"> cannot be satisfied or for any other reason, the Company shall be deemed to have incurred from the applicable Issuing Bank an L/C Advance in the amount of the Unreimbursed Amount that is not so refinanced, which L/C Advance shall be due and payable on demand (together with interest) and shall bear interest at the Default Rate. In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such event, each Lender’s payment to the Administrative Agent for the account of the applicable Issuing Bank pursuant to </w:t>
      </w:r>
      <w:r>
        <w:rPr>
          <w:rFonts w:ascii="Times New Roman" w:hAnsi="Times New Roman"/>
          <w:sz w:val="24"/>
          <w:u w:val="single"/>
        </w:rPr>
        <w:t>Section 2.13(c)(ii)</w:t>
      </w:r>
      <w:r>
        <w:rPr>
          <w:rFonts w:ascii="Times New Roman" w:hAnsi="Times New Roman"/>
          <w:sz w:val="24"/>
        </w:rPr>
        <w:t xml:space="preserve"> shall be deemed payment in respect of its participation in such L/C Advance and shall constitute an L/C Loan from such Lender in satisfaction of its participation obligation under this Section 2.13. </w:t>
      </w:r>
    </w:p>
    <w:p>
      <w:pPr>
        <w:pStyle w:val="TextBody"/>
        <w:bidi w:val="0"/>
        <w:spacing w:before="240" w:after="0"/>
        <w:jc w:val="both"/>
        <w:rPr>
          <w:rFonts w:ascii="Times New Roman" w:hAnsi="Times New Roman"/>
          <w:sz w:val="24"/>
        </w:rPr>
      </w:pPr>
      <w:r>
        <w:rPr>
          <w:rFonts w:ascii="Times New Roman" w:hAnsi="Times New Roman"/>
          <w:sz w:val="24"/>
        </w:rPr>
        <w:t xml:space="preserve">(iv) Until each Lender funds its Revolving Loan or L/C Loan pursuant to this Section 2.13(c) to reimburse the applicable Issuing Bank for any amount drawn under any Letter of Credit issued by it, interest in respect of such Lender’s Commitment Ratio of such amount shall be solely for the account of such Issuing Bank. </w:t>
      </w:r>
    </w:p>
    <w:p>
      <w:pPr>
        <w:pStyle w:val="TextBody"/>
        <w:bidi w:val="0"/>
        <w:spacing w:before="240" w:after="0"/>
        <w:jc w:val="both"/>
        <w:rPr>
          <w:rFonts w:ascii="Times New Roman" w:hAnsi="Times New Roman"/>
          <w:sz w:val="24"/>
        </w:rPr>
      </w:pPr>
      <w:r>
        <w:rPr>
          <w:rFonts w:ascii="Times New Roman" w:hAnsi="Times New Roman"/>
          <w:sz w:val="24"/>
        </w:rPr>
        <w:t xml:space="preserve">(v) Each Lender’s obligation to make Revolving Loans or L/C Loans to reimburse an Issuing Bank for amounts drawn under Letters of Credit, as contemplated by this Section 2.13(c), shall be absolute and unconditional and shall not be affected by any circumstance, including (A) any setoff, counterclaim, recoupment, defense or other right which such Lender may have against such Issuing Bank, the Company or any other Person for any reason whatsoever; (B) the occurrence or continuance of a Default, or (C) any other occurrence, event or condition, whether or not similar to any of the foregoing;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each Lender’s obligation to make Revolving Loans pursuant to this Section 2.13(c) is subject to the conditions set forth in </w:t>
      </w:r>
      <w:r>
        <w:rPr>
          <w:rFonts w:ascii="Times New Roman" w:hAnsi="Times New Roman"/>
          <w:sz w:val="24"/>
          <w:u w:val="single"/>
        </w:rPr>
        <w:t>Section 3.3</w:t>
      </w:r>
      <w:r>
        <w:rPr>
          <w:rFonts w:ascii="Times New Roman" w:hAnsi="Times New Roman"/>
          <w:sz w:val="24"/>
        </w:rPr>
        <w:t xml:space="preserve"> (other than delivery by the Company of a Request for Advance). No such making of an L/C Loan shall relieve or otherwise impair the obligation of the Company to reimburse the applicable Issuing Bank for the amount of any payment made by such Issuing Bank under any Letter of Credit issued by it, together with interest as provided herein. </w:t>
      </w:r>
    </w:p>
    <w:p>
      <w:pPr>
        <w:pStyle w:val="TextBody"/>
        <w:bidi w:val="0"/>
        <w:spacing w:before="240" w:after="0"/>
        <w:jc w:val="both"/>
        <w:rPr>
          <w:rFonts w:ascii="Times New Roman" w:hAnsi="Times New Roman"/>
          <w:sz w:val="24"/>
        </w:rPr>
      </w:pPr>
      <w:r>
        <w:rPr>
          <w:rFonts w:ascii="Times New Roman" w:hAnsi="Times New Roman"/>
          <w:sz w:val="24"/>
        </w:rPr>
        <w:t xml:space="preserve">(vi) If any Lender fails to make available to the Administrative Agent for the account of an Issuing Bank any amount required to be paid by such Lender pursuant to the foregoing provisions of this Section 2.13(c) by the time specified in Section 2.13(c)(ii),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shall constitute such Lender’s Revolving Loan included in the relevant Advance or L/C Loan in respect of the relevant L/C Advance, as the case may be. A certificate of the applicable Issuing Bank submitted to any Lender (through the Administrative Agent) with respect to any amounts owing under this clause (vi) shall be conclusive absent manifest error.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Repayment of Participations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(i) At any time after an Issuing Bank has made a payment under any Letter of Credit issued by it and has received from any Lender such Lender’s L/C Loan in respect of such payment in accordance with </w:t>
      </w:r>
      <w:r>
        <w:rPr>
          <w:rFonts w:ascii="Times New Roman" w:hAnsi="Times New Roman"/>
          <w:sz w:val="24"/>
          <w:u w:val="single"/>
        </w:rPr>
        <w:t>Section 2.13(c)</w:t>
      </w:r>
      <w:r>
        <w:rPr>
          <w:rFonts w:ascii="Times New Roman" w:hAnsi="Times New Roman"/>
          <w:sz w:val="24"/>
        </w:rPr>
        <w:t xml:space="preserve">, if the Administrative Agent receives for the account of such Issuing Bank any payment in respect of the related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Unreimbursed Amount or interest thereon (whether directly from the Company or otherwise, including proceeds of Cash Collateral applied thereto by the Administrative Agent), the Administrative Agent will distribute to such Lender its applicable pro rata share thereof in the same funds as those received by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(ii) If any payment received by the Administrative Agent for the account of an Issuing Bank pursuant to </w:t>
      </w:r>
      <w:r>
        <w:rPr>
          <w:rFonts w:ascii="Times New Roman" w:hAnsi="Times New Roman"/>
          <w:sz w:val="24"/>
          <w:u w:val="single"/>
        </w:rPr>
        <w:t>Section 2.13(c)(i)</w:t>
      </w:r>
      <w:r>
        <w:rPr>
          <w:rFonts w:ascii="Times New Roman" w:hAnsi="Times New Roman"/>
          <w:sz w:val="24"/>
        </w:rPr>
        <w:t xml:space="preserve"> is required to be returned because it is invalidated, declared to be fraudulent or preferential, set aside or required (including pursuant to any settlement entered into by such Issuing Bank in its discretion) to be repaid to a trustee, receiver or any other party in connection with any proceeding under any debtor relief law or otherwise, each Lender shall pay to the Administrative Agent for the account of such Issuing Bank its Commitment Ratio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Obligations Absolute</w:t>
      </w:r>
      <w:r>
        <w:rPr>
          <w:rFonts w:ascii="Times New Roman" w:hAnsi="Times New Roman"/>
          <w:sz w:val="24"/>
        </w:rPr>
        <w:t xml:space="preserve">. The obligation of the Company to reimburse each Issuing Bank for each drawing under each Letter of Credit issued by it and to repay each L/C Loan shall be absolute, unconditional and irrevocable, and shall be paid strictly in accordance with the terms of this Agreement under all circumstances, including the following: </w:t>
      </w:r>
    </w:p>
    <w:p>
      <w:pPr>
        <w:pStyle w:val="TextBody"/>
        <w:bidi w:val="0"/>
        <w:spacing w:before="240" w:after="0"/>
        <w:jc w:val="both"/>
        <w:rPr>
          <w:rFonts w:ascii="Times New Roman" w:hAnsi="Times New Roman"/>
          <w:sz w:val="24"/>
        </w:rPr>
      </w:pPr>
      <w:r>
        <w:rPr>
          <w:rFonts w:ascii="Times New Roman" w:hAnsi="Times New Roman"/>
          <w:sz w:val="24"/>
        </w:rPr>
        <w:t xml:space="preserve">(i) any lack of validity or enforceability of such Letter of Credit, this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 xml:space="preserve">(ii) the existence of any claim, counterclaim, setoff, defense or other right that the Company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 </w:t>
      </w:r>
    </w:p>
    <w:p>
      <w:pPr>
        <w:pStyle w:val="TextBody"/>
        <w:bidi w:val="0"/>
        <w:spacing w:before="240" w:after="0"/>
        <w:jc w:val="both"/>
        <w:rPr>
          <w:rFonts w:ascii="Times New Roman" w:hAnsi="Times New Roman"/>
          <w:sz w:val="24"/>
        </w:rPr>
      </w:pPr>
      <w:r>
        <w:rPr>
          <w:rFonts w:ascii="Times New Roman" w:hAnsi="Times New Roman"/>
          <w:sz w:val="24"/>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240" w:after="0"/>
        <w:jc w:val="both"/>
        <w:rPr>
          <w:rFonts w:ascii="Times New Roman" w:hAnsi="Times New Roman"/>
          <w:sz w:val="24"/>
        </w:rPr>
      </w:pPr>
      <w:r>
        <w:rPr>
          <w:rFonts w:ascii="Times New Roman" w:hAnsi="Times New Roman"/>
          <w:sz w:val="24"/>
        </w:rPr>
        <w:t xml:space="preserve">(iv) any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other debtor relief law;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(v) any other circumstance or happening whatsoever, whether or not similar to any of the foregoing, including any other circumstance that might otherwise constitute a defense available to, or a discharge of, the Company or any Subsidiary. </w:t>
      </w:r>
    </w:p>
    <w:p>
      <w:pPr>
        <w:pStyle w:val="TextBody"/>
        <w:bidi w:val="0"/>
        <w:spacing w:before="240" w:after="0"/>
        <w:jc w:val="both"/>
        <w:rPr>
          <w:rFonts w:ascii="Times New Roman" w:hAnsi="Times New Roman"/>
          <w:sz w:val="24"/>
        </w:rPr>
      </w:pPr>
      <w:r>
        <w:rPr>
          <w:rFonts w:ascii="Times New Roman" w:hAnsi="Times New Roman"/>
          <w:sz w:val="24"/>
        </w:rPr>
        <w:t xml:space="preserve">The Company shall promptly examine a copy of each Letter of Credit and each amendment thereto that is delivered to it and, in the event of any claim of noncompliance with the Company’s instructions or other irregularity, the Company will immediately notify the applicable Issuing Bank. The Company shall be conclusively deemed to have waived any such claim against such Issuing Bank and its correspondents unless such notice is given as aforesaid.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Role of Issuing Bank</w:t>
      </w:r>
      <w:r>
        <w:rPr>
          <w:rFonts w:ascii="Times New Roman" w:hAnsi="Times New Roman"/>
          <w:sz w:val="24"/>
        </w:rPr>
        <w:t xml:space="preserve">. Each Lender and the Company agree that, in paying any drawing under a Letter of Credit, the Issuing Bank that issued such Letter of Credit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 Issuing Bank shall be liable to any Lender for (i) any action taken or omitted in connection herewith at the request or with the approval of the Lenders or the Majority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this assumption is not intended to, and shall not, preclude the Company’s pursuing such rights and remedies as it may have against the beneficiary or transferee at law or under any other agreement. None of the Issuing Banks, the Administrative Agent, any of their respective Related Parties nor any correspondent, participant or assignee of an Issuing Bank shall be liable or responsible for any of the matters described in clauses (i) through (v) of </w:t>
      </w:r>
      <w:r>
        <w:rPr>
          <w:rFonts w:ascii="Times New Roman" w:hAnsi="Times New Roman"/>
          <w:sz w:val="24"/>
          <w:u w:val="single"/>
        </w:rPr>
        <w:t>Section 2.13(e)</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anything in such clauses to the contrary notwithstanding, the Company may have a claim against an Issuing Bank, and an Issuing Bank may be liable to the Company, to the extent, but only to the extent, of any direct, as opposed to consequential or exemplary, damages suffered by the Company which the Company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an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sz w:val="24"/>
          <w:u w:val="single"/>
        </w:rPr>
        <w:t>Applicability of ISP and UCP</w:t>
      </w:r>
      <w:r>
        <w:rPr>
          <w:rFonts w:ascii="Times New Roman" w:hAnsi="Times New Roman"/>
          <w:sz w:val="24"/>
        </w:rPr>
        <w:t xml:space="preserve">. Unless otherwise expressly agreed by the applicable Issuing Bank and the Company when a Letter of Credit is issued, (i) the rules of the ISP shall apply to each standby Letter of Credit, and (ii) the rules of the UCP, as most recently published by the International Chamber of Commerce at the time of issuance shall apply to each Commercial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(h) </w:t>
      </w:r>
      <w:r>
        <w:rPr>
          <w:rFonts w:ascii="Times New Roman" w:hAnsi="Times New Roman"/>
          <w:sz w:val="24"/>
          <w:u w:val="single"/>
        </w:rPr>
        <w:t>Conflict with Issuer Documents</w:t>
      </w:r>
      <w:r>
        <w:rPr>
          <w:rFonts w:ascii="Times New Roman" w:hAnsi="Times New Roman"/>
          <w:sz w:val="24"/>
        </w:rPr>
        <w:t xml:space="preserve">. In the event of any conflict between the terms hereof and the terms of any Issuer Document, the terms hereof shall control.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Letters of Credit Issued for Subsidiaries</w:t>
      </w:r>
      <w:r>
        <w:rPr>
          <w:rFonts w:ascii="Times New Roman" w:hAnsi="Times New Roman"/>
          <w:sz w:val="24"/>
        </w:rPr>
        <w:t xml:space="preserve">. Notwithstanding that a Letter of Credit issued or outstanding hereunder is in support of any obligations of, or is for the account of, a Subsidiary, the Company shall be obligated to reimburse the applicable Issuing Bank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sz w:val="24"/>
          <w:u w:val="single"/>
        </w:rPr>
        <w:t>Company Indemnity</w:t>
      </w:r>
      <w:r>
        <w:rPr>
          <w:rFonts w:ascii="Times New Roman" w:hAnsi="Times New Roman"/>
          <w:sz w:val="24"/>
        </w:rPr>
        <w:t xml:space="preserve">. The Company will indemnify and hold harmless the Administrative Agent, each Issuing Bank and each Lender and each of the foregoing Person’s respective employees, representatives, officers and directors from and against any and all claims, liabilities, obligations, losses (other than loss of profits), damages, penalties, actions, judgments, suits, costs, expenses or disbursements of any kind or nature whatsoever (including reasonable attorneys’ fees, but excluding Taxes, which shall be governed exclusively by Section 10.3) which may be imposed on, incurred by or asserted against the Administrative Agent, any Issuing Bank or any such Lender in any way relating to or arising out of the issuance of a Letter of Credit, except that the Company shall not be liable to the Administrative Agent, any such Issuing Bank or any such Lender for any portion of such claims, liabilities, obligations, losses, damages, penalties, actions, judgments, suits, costs, expenses, or disbursements resulting from the gross negligence or willful misconduct of the Person seeking indemnification as determined by a non-appealable judicial order. This Section 2.13(j) shall survive termination of this Agreement. </w:t>
      </w:r>
    </w:p>
    <w:p>
      <w:pPr>
        <w:pStyle w:val="TextBody"/>
        <w:bidi w:val="0"/>
        <w:spacing w:before="240" w:after="0"/>
        <w:jc w:val="both"/>
        <w:rPr>
          <w:rFonts w:ascii="Times New Roman" w:hAnsi="Times New Roman"/>
          <w:sz w:val="24"/>
        </w:rPr>
      </w:pPr>
      <w:r>
        <w:rPr>
          <w:rFonts w:ascii="Times New Roman" w:hAnsi="Times New Roman"/>
          <w:sz w:val="24"/>
        </w:rPr>
        <w:t>(k) </w:t>
      </w:r>
      <w:r>
        <w:rPr>
          <w:rFonts w:ascii="Times New Roman" w:hAnsi="Times New Roman"/>
          <w:sz w:val="24"/>
          <w:u w:val="single"/>
        </w:rPr>
        <w:t>Letter of Credit Reports</w:t>
      </w:r>
      <w:r>
        <w:rPr>
          <w:rFonts w:ascii="Times New Roman" w:hAnsi="Times New Roman"/>
          <w:sz w:val="24"/>
        </w:rPr>
        <w:t xml:space="preserve">. Within two (2) Business Days after the issuance of a Letter of Credit, the applicable Issuing Bank shall send a written notice to the Administrative Agent setting forth the face amount, the expiration date and the name of the beneficiary with respect to such Letter of Credit. Upon any cancellation or termination of a Letter of Credit prior to its stated expiration date, the applicable Issuing Bank shall notify the Administrative Agent of such termination or cancellation in writing. On the second (2nd) Business Day of each month, each Issuing Bank shall deliver a report to the Administrative Agent identifying (i) each Letter of Credit issued by it during the prior month, and (ii) with respect to each Letter of Credit issued by it that remains outstanding, (A) the face amount thereof as of the end of the prior month and the maximum potential face amount thereof (b) the amount thereof that was drawn in the prior month and (C) the amount thereof that remains undrawn as of the last Business Day of the prior month. </w:t>
      </w:r>
    </w:p>
    <w:p>
      <w:pPr>
        <w:pStyle w:val="TextBody"/>
        <w:bidi w:val="0"/>
        <w:spacing w:before="240" w:after="0"/>
        <w:jc w:val="both"/>
        <w:rPr>
          <w:rFonts w:ascii="Times New Roman" w:hAnsi="Times New Roman"/>
          <w:sz w:val="24"/>
        </w:rPr>
      </w:pPr>
      <w:r>
        <w:rPr>
          <w:rFonts w:ascii="Times New Roman" w:hAnsi="Times New Roman"/>
          <w:sz w:val="24"/>
        </w:rPr>
        <w:t>Section 2.14 </w:t>
      </w:r>
      <w:r>
        <w:rPr>
          <w:rFonts w:ascii="Times New Roman" w:hAnsi="Times New Roman"/>
          <w:sz w:val="24"/>
          <w:u w:val="single"/>
        </w:rPr>
        <w:t>Incremental Commitments</w:t>
      </w:r>
      <w:r>
        <w:rPr>
          <w:rFonts w:ascii="Times New Roman" w:hAnsi="Times New Roman"/>
          <w:sz w:val="24"/>
        </w:rPr>
        <w:t>. The Company may, upon five (5) Business Days’ notice to the Administrative Agent, increase the Revolving Loan Commitment amount by adding one or more lenders or increasing the Revolving Loan Commitment of a Lender, determined by the Company in its sole discretion, subject to the consent of the Administrative Agent, Swingline Lender and Issuing Banks (such consent not to be unreasonably withheld), which lender or lenders are willing to commit to such increase (each such lender, a “</w:t>
      </w:r>
      <w:r>
        <w:rPr>
          <w:rFonts w:ascii="Times New Roman" w:hAnsi="Times New Roman"/>
          <w:sz w:val="24"/>
          <w:u w:val="single"/>
        </w:rPr>
        <w:t>New Lender</w:t>
      </w:r>
      <w:r>
        <w:rPr>
          <w:rFonts w:ascii="Times New Roman" w:hAnsi="Times New Roman"/>
          <w:sz w:val="24"/>
        </w:rPr>
        <w:t>,” and such commitment, the “</w:t>
      </w:r>
      <w:r>
        <w:rPr>
          <w:rFonts w:ascii="Times New Roman" w:hAnsi="Times New Roman"/>
          <w:sz w:val="24"/>
          <w:u w:val="single"/>
        </w:rPr>
        <w:t>Incremental Commitment</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 the Company may not elect any Incremental Commitment after the occurrence and during the continuance of an Event of Default, including, without limitation, any Event of Default that would result after giving effect to any Incremental Commitment, (ii) each Incremental Commitment shall be in an amount not less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than $10,000,000 or an integral multiple of $5,000,000 in excess thereof, (iii) after giving effect to all Incremental Commitments the aggregate Revolving Loan Commitments shall not exceed the Dollar Equivalent of $8,000,000,000 and (iv) on the effective date of the Incremental Commitment, each New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Revolving Loan Commitments. An Incremental Commitment shall become effective upon the execution by each applicable New Lender of a counterpart of this Agreement and delivering such counterpart to the Administrative Agent. Over the term of the Agreement the Company shall increase the Revolving Loan Commitments no more than five (5) times. Notwithstanding anything to the contrary in this Agreement, any Incremental Commitment made pursuant to this Section 2.14 may be effected by adding one or more tranches of Revolving Loan Commitments that are denominated in an Alternative Currency and/or term loan commitments (which shall be deemed to be “Revolving Loan Commitments” for purposes of this Section 2.14 (other than clause (iv) above)), and the Lenders agree that any amendment required to implement an Incremental Commitment may be effected by the consent of the Company and only those Lenders that agree to participate in any such tranche, provided that the aggregate amount of the commitments do not exceed the Dollar Equivalent of $8,000,000,000 at any time. Notwithstanding anything to the contrary herein, no Lender shall be required to increase its Commitment pursuant to this Section 2.14. </w:t>
      </w:r>
    </w:p>
    <w:p>
      <w:pPr>
        <w:pStyle w:val="TextBody"/>
        <w:bidi w:val="0"/>
        <w:spacing w:before="240" w:after="0"/>
        <w:jc w:val="both"/>
        <w:rPr>
          <w:rFonts w:ascii="Times New Roman" w:hAnsi="Times New Roman"/>
          <w:sz w:val="24"/>
        </w:rPr>
      </w:pPr>
      <w:r>
        <w:rPr>
          <w:rFonts w:ascii="Times New Roman" w:hAnsi="Times New Roman"/>
          <w:sz w:val="24"/>
        </w:rPr>
        <w:t>Section 2.15 </w:t>
      </w:r>
      <w:r>
        <w:rPr>
          <w:rFonts w:ascii="Times New Roman" w:hAnsi="Times New Roman"/>
          <w:sz w:val="24"/>
          <w:u w:val="single"/>
        </w:rPr>
        <w:t>Cash Collateral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Certain Credit Support Events</w:t>
      </w:r>
      <w:r>
        <w:rPr>
          <w:rFonts w:ascii="Times New Roman" w:hAnsi="Times New Roman"/>
          <w:sz w:val="24"/>
        </w:rPr>
        <w:t xml:space="preserve">. Upon the request of the Administrative Agent or any Issuing Bank (i) if such Issuing Bank has honored any full or partial drawing request under any Letter of Credit and such drawing has resulted in an L/C Advance, or (ii) if, as of the Letter of Credit Expiration Date, any L/C Obligation for any reason remains outstanding, the Company shall, in each case, immediately Cash Collateralize the then Outstanding Amount of all L/C Obligations. At any time that there shall exist a Defaulting Lender, immediately upon the request of the Administrative Agent or the applicable Issuing Bank, the Company shall deliver to the Administrative Agent Cash Collateral in an amount sufficient to cover all Fronting Exposure (after giving effect to </w:t>
      </w:r>
      <w:r>
        <w:rPr>
          <w:rFonts w:ascii="Times New Roman" w:hAnsi="Times New Roman"/>
          <w:sz w:val="24"/>
          <w:u w:val="single"/>
        </w:rPr>
        <w:t>Section 2.16(a)(iv)</w:t>
      </w:r>
      <w:r>
        <w:rPr>
          <w:rFonts w:ascii="Times New Roman" w:hAnsi="Times New Roman"/>
          <w:sz w:val="24"/>
        </w:rPr>
        <w:t xml:space="preserve"> and any Cash Collateral provided by the Defaulting Lender).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Grant of Security Interest</w:t>
      </w:r>
      <w:r>
        <w:rPr>
          <w:rFonts w:ascii="Times New Roman" w:hAnsi="Times New Roman"/>
          <w:sz w:val="24"/>
        </w:rPr>
        <w:t xml:space="preserve">. All Cash Collateral (other than credit support not constituting funds subject to deposit) shall be maintained in demand deposit bank accounts in U.S. financial institutions that are either member banks of the Federal Reserve system or state-chartered banks regulated by the FDIC. The Company, and to the extent provided by any Lender, such Lender, hereby grants to (and subjects to the control of) the Administrative Agent, for the benefit of the Administrative Agent, the Issuing Banks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hAnsi="Times New Roman"/>
          <w:sz w:val="24"/>
          <w:u w:val="single"/>
        </w:rPr>
        <w:t>Section 2.15(c)</w:t>
      </w:r>
      <w:r>
        <w:rPr>
          <w:rFonts w:ascii="Times New Roman" w:hAnsi="Times New Roman"/>
          <w:sz w:val="24"/>
        </w:rPr>
        <w:t xml:space="preserve">. If at any time the Administrative Agent reasonably determines that the total amount of such Cash Collateral is less than the applicable Fronting Exposure and other obligations secured thereby, the Company or the relevant Defaulting Lender will, promptly upon demand by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Administrative Agent, pay or provide to the Administrative Agent additional Cash Collateral in an amount sufficient to eliminate such deficiency.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Application</w:t>
      </w:r>
      <w:r>
        <w:rPr>
          <w:rFonts w:ascii="Times New Roman" w:hAnsi="Times New Roman"/>
          <w:sz w:val="24"/>
        </w:rPr>
        <w:t xml:space="preserve">. Notwithstanding anything to the contrary contained in this Agreement, Cash Collateral provided under any of this Section 2.15 or Sections 2.6, 2.13, 2.16 or 8.2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Release</w:t>
      </w:r>
      <w:r>
        <w:rPr>
          <w:rFonts w:ascii="Times New Roman" w:hAnsi="Times New Roman"/>
          <w:sz w:val="24"/>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hAnsi="Times New Roman"/>
          <w:sz w:val="24"/>
          <w:u w:val="single"/>
        </w:rPr>
        <w:t>Section 12.4(b)(vi)</w:t>
      </w:r>
      <w:r>
        <w:rPr>
          <w:rFonts w:ascii="Times New Roman" w:hAnsi="Times New Roman"/>
          <w:sz w:val="24"/>
        </w:rPr>
        <w:t xml:space="preserve">)) or (ii) the Administrative Agent’s good faith determination that there exists excess Cash Collateral; </w:t>
      </w:r>
      <w:r>
        <w:rPr>
          <w:rFonts w:ascii="Times New Roman" w:hAnsi="Times New Roman"/>
          <w:sz w:val="24"/>
          <w:u w:val="single"/>
        </w:rPr>
        <w:t>provided</w:t>
      </w:r>
      <w:r>
        <w:rPr>
          <w:rFonts w:ascii="Times New Roman" w:hAnsi="Times New Roman"/>
          <w:sz w:val="24"/>
        </w:rPr>
        <w:t xml:space="preserve">, however, (x) that Cash Collateral furnished by or on behalf of the Company shall not be released after acceleration of the Loans as provided in </w:t>
      </w:r>
      <w:r>
        <w:rPr>
          <w:rFonts w:ascii="Times New Roman" w:hAnsi="Times New Roman"/>
          <w:sz w:val="24"/>
          <w:u w:val="single"/>
        </w:rPr>
        <w:t>Section 8.2(a)</w:t>
      </w:r>
      <w:r>
        <w:rPr>
          <w:rFonts w:ascii="Times New Roman" w:hAnsi="Times New Roman"/>
          <w:sz w:val="24"/>
        </w:rPr>
        <w:t xml:space="preserve"> or </w:t>
      </w:r>
      <w:r>
        <w:rPr>
          <w:rFonts w:ascii="Times New Roman" w:hAnsi="Times New Roman"/>
          <w:sz w:val="24"/>
          <w:u w:val="single"/>
        </w:rPr>
        <w:t>(b)</w:t>
      </w:r>
      <w:r>
        <w:rPr>
          <w:rFonts w:ascii="Times New Roman" w:hAnsi="Times New Roman"/>
          <w:sz w:val="24"/>
        </w:rPr>
        <w:t xml:space="preserve"> until all amounts due in accordance with </w:t>
      </w:r>
      <w:r>
        <w:rPr>
          <w:rFonts w:ascii="Times New Roman" w:hAnsi="Times New Roman"/>
          <w:sz w:val="24"/>
          <w:u w:val="single"/>
        </w:rPr>
        <w:t>Section 8.2(a)</w:t>
      </w:r>
      <w:r>
        <w:rPr>
          <w:rFonts w:ascii="Times New Roman" w:hAnsi="Times New Roman"/>
          <w:sz w:val="24"/>
        </w:rPr>
        <w:t xml:space="preserve"> or </w:t>
      </w:r>
      <w:r>
        <w:rPr>
          <w:rFonts w:ascii="Times New Roman" w:hAnsi="Times New Roman"/>
          <w:sz w:val="24"/>
          <w:u w:val="single"/>
        </w:rPr>
        <w:t>(b)</w:t>
      </w:r>
      <w:r>
        <w:rPr>
          <w:rFonts w:ascii="Times New Roman" w:hAnsi="Times New Roman"/>
          <w:sz w:val="24"/>
        </w:rPr>
        <w:t xml:space="preserve">, as applicable, are paid, and (y) the Company or the applicable Defaulting Lender providing Cash Collateral, as applicable, on the one hand, and the applicable Issuing Bank, on the other hand, may agree that Cash Collateral shall not be released but instead held to support future anticipated Fronting Exposure or other obligations. </w:t>
      </w:r>
    </w:p>
    <w:p>
      <w:pPr>
        <w:pStyle w:val="TextBody"/>
        <w:bidi w:val="0"/>
        <w:spacing w:before="240" w:after="0"/>
        <w:jc w:val="both"/>
        <w:rPr>
          <w:rFonts w:ascii="Times New Roman" w:hAnsi="Times New Roman"/>
          <w:sz w:val="24"/>
        </w:rPr>
      </w:pPr>
      <w:r>
        <w:rPr>
          <w:rFonts w:ascii="Times New Roman" w:hAnsi="Times New Roman"/>
          <w:sz w:val="24"/>
        </w:rPr>
        <w:t>Section 2.16 </w:t>
      </w:r>
      <w:r>
        <w:rPr>
          <w:rFonts w:ascii="Times New Roman" w:hAnsi="Times New Roman"/>
          <w:sz w:val="24"/>
          <w:u w:val="single"/>
        </w:rPr>
        <w:t>Defaulting Lenders</w:t>
      </w:r>
      <w:r>
        <w:rPr>
          <w:rFonts w:ascii="Times New Roman" w:hAnsi="Times New Roman"/>
          <w:sz w:val="24"/>
        </w:rPr>
        <w:t>. (a)</w:t>
      </w:r>
      <w:r>
        <w:rPr>
          <w:rFonts w:ascii="Times New Roman" w:hAnsi="Times New Roman"/>
          <w:sz w:val="24"/>
          <w:u w:val="single"/>
        </w:rPr>
        <w:t> Adjustments</w:t>
      </w:r>
      <w:r>
        <w:rPr>
          <w:rFonts w:ascii="Times New Roman" w:hAnsi="Times New Roman"/>
          <w:sz w:val="24"/>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Waivers and Amendments</w:t>
      </w:r>
      <w:r>
        <w:rPr>
          <w:rFonts w:ascii="Times New Roman" w:hAnsi="Times New Roman"/>
          <w:sz w:val="24"/>
        </w:rPr>
        <w:t xml:space="preserve">. That Defaulting Lender’s right to approve or disapprove any amendment, waiver or consent with respect to this Agreement shall be restricted as set forth in </w:t>
      </w:r>
      <w:r>
        <w:rPr>
          <w:rFonts w:ascii="Times New Roman" w:hAnsi="Times New Roman"/>
          <w:sz w:val="24"/>
          <w:u w:val="single"/>
        </w:rPr>
        <w:t>Section 12.12</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Reallocation of Payments</w:t>
      </w:r>
      <w:r>
        <w:rPr>
          <w:rFonts w:ascii="Times New Roman" w:hAnsi="Times New Roman"/>
          <w:sz w:val="24"/>
        </w:rPr>
        <w:t xml:space="preserve">. Any payment of principal, interest, fees or other amounts received by the Administrative Agent for the account of that Defaulting Lender under this Agreement (whether voluntary or mandatory, at maturity, pursuant to </w:t>
      </w:r>
      <w:r>
        <w:rPr>
          <w:rFonts w:ascii="Times New Roman" w:hAnsi="Times New Roman"/>
          <w:sz w:val="24"/>
          <w:u w:val="single"/>
        </w:rPr>
        <w:t>Article 8</w:t>
      </w:r>
      <w:r>
        <w:rPr>
          <w:rFonts w:ascii="Times New Roman" w:hAnsi="Times New Roman"/>
          <w:sz w:val="24"/>
        </w:rPr>
        <w:t xml:space="preserve"> or otherwise), shall be applied at such time or times as may be determined by the Administrative Agent as follows: </w:t>
      </w:r>
      <w:r>
        <w:rPr>
          <w:rFonts w:ascii="Times New Roman" w:hAnsi="Times New Roman"/>
          <w:i/>
          <w:sz w:val="24"/>
        </w:rPr>
        <w:t>first</w:t>
      </w:r>
      <w:r>
        <w:rPr>
          <w:rFonts w:ascii="Times New Roman" w:hAnsi="Times New Roman"/>
          <w:sz w:val="24"/>
        </w:rPr>
        <w:t xml:space="preserve">, to the payment of any amounts owing by that Defaulting Lender to the Administrative Agent hereunder; </w:t>
      </w:r>
      <w:r>
        <w:rPr>
          <w:rFonts w:ascii="Times New Roman" w:hAnsi="Times New Roman"/>
          <w:i/>
          <w:sz w:val="24"/>
        </w:rPr>
        <w:t>second</w:t>
      </w:r>
      <w:r>
        <w:rPr>
          <w:rFonts w:ascii="Times New Roman" w:hAnsi="Times New Roman"/>
          <w:sz w:val="24"/>
        </w:rPr>
        <w:t xml:space="preserve">, to the payment on a pro rata basis of any amounts owing by that Defaulting Lender to the Issuing Banks or Swingline Lender hereunder; </w:t>
      </w:r>
      <w:r>
        <w:rPr>
          <w:rFonts w:ascii="Times New Roman" w:hAnsi="Times New Roman"/>
          <w:i/>
          <w:sz w:val="24"/>
        </w:rPr>
        <w:t>third</w:t>
      </w:r>
      <w:r>
        <w:rPr>
          <w:rFonts w:ascii="Times New Roman" w:hAnsi="Times New Roman"/>
          <w:sz w:val="24"/>
        </w:rPr>
        <w:t xml:space="preserve">, to repay any Cash Collateral contributed by the Company; </w:t>
      </w:r>
      <w:r>
        <w:rPr>
          <w:rFonts w:ascii="Times New Roman" w:hAnsi="Times New Roman"/>
          <w:i/>
          <w:sz w:val="24"/>
        </w:rPr>
        <w:t>fourth</w:t>
      </w:r>
      <w:r>
        <w:rPr>
          <w:rFonts w:ascii="Times New Roman" w:hAnsi="Times New Roman"/>
          <w:sz w:val="24"/>
        </w:rPr>
        <w:t xml:space="preserve">, as the Company may request (so long as no Default has occurred and is continuing), to fund any Loan in respect of which that Defaulting Lender has failed to fund its portion thereof as required by this Agreement, or to reimburse the Company for any amounts paid by it in satisfaction of that Defaulting Lender’s liabilities under this Agreement in connection with a written agreement between the Company and an assignee of that Defaulting Lender’s interests, rights and obligations in accordance with Section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10.5; </w:t>
      </w:r>
      <w:r>
        <w:rPr>
          <w:rFonts w:ascii="Times New Roman" w:hAnsi="Times New Roman"/>
          <w:i/>
          <w:sz w:val="24"/>
        </w:rPr>
        <w:t>fifth</w:t>
      </w:r>
      <w:r>
        <w:rPr>
          <w:rFonts w:ascii="Times New Roman" w:hAnsi="Times New Roman"/>
          <w:sz w:val="24"/>
        </w:rPr>
        <w:t xml:space="preserve">, if so determined by the Administrative Agent or requested any Issuing Bank, to be held as Cash Collateral for future funding obligations of that Defaulting Lender of any participation in any Letter of Credit; </w:t>
      </w:r>
      <w:r>
        <w:rPr>
          <w:rFonts w:ascii="Times New Roman" w:hAnsi="Times New Roman"/>
          <w:i/>
          <w:sz w:val="24"/>
        </w:rPr>
        <w:t>sixth</w:t>
      </w:r>
      <w:r>
        <w:rPr>
          <w:rFonts w:ascii="Times New Roman" w:hAnsi="Times New Roman"/>
          <w:sz w:val="24"/>
        </w:rPr>
        <w:t xml:space="preserve">, as the Company may request (so long as no Default exists), to the funding of any Advance in respect of which that Defaulting Lender has failed to fund its portion thereof as required by this Agreement, as determined by the Administrative Agent; </w:t>
      </w:r>
      <w:r>
        <w:rPr>
          <w:rFonts w:ascii="Times New Roman" w:hAnsi="Times New Roman"/>
          <w:i/>
          <w:sz w:val="24"/>
        </w:rPr>
        <w:t>seventh</w:t>
      </w:r>
      <w:r>
        <w:rPr>
          <w:rFonts w:ascii="Times New Roman" w:hAnsi="Times New Roman"/>
          <w:sz w:val="24"/>
        </w:rPr>
        <w:t xml:space="preserve">, if so determined by the Administrative Agent and the Company, to be held in a non-interest bearing deposit account and released in order to satisfy obligations of that Defaulting Lender to fund Loans under this Agreement; </w:t>
      </w:r>
      <w:r>
        <w:rPr>
          <w:rFonts w:ascii="Times New Roman" w:hAnsi="Times New Roman"/>
          <w:i/>
          <w:sz w:val="24"/>
        </w:rPr>
        <w:t>eighth</w:t>
      </w:r>
      <w:r>
        <w:rPr>
          <w:rFonts w:ascii="Times New Roman" w:hAnsi="Times New Roman"/>
          <w:sz w:val="24"/>
        </w:rPr>
        <w:t xml:space="preserve">, to the payment of any amounts owing to the Lenders, the Swingline Lender or this Issuing Banks as a result of any judgment of a court of competent jurisdiction obtained by any Lender or Issuing Bank against that Defaulting Lender as a result of that Defaulting Lender’s breach of its obligations under this Agreement; </w:t>
      </w:r>
      <w:r>
        <w:rPr>
          <w:rFonts w:ascii="Times New Roman" w:hAnsi="Times New Roman"/>
          <w:i/>
          <w:sz w:val="24"/>
        </w:rPr>
        <w:t>ninth</w:t>
      </w:r>
      <w:r>
        <w:rPr>
          <w:rFonts w:ascii="Times New Roman" w:hAnsi="Times New Roman"/>
          <w:sz w:val="24"/>
        </w:rPr>
        <w:t xml:space="preserve">, so long as no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Times New Roman" w:hAnsi="Times New Roman"/>
          <w:i/>
          <w:sz w:val="24"/>
        </w:rPr>
        <w:t>tenth</w:t>
      </w:r>
      <w:r>
        <w:rPr>
          <w:rFonts w:ascii="Times New Roman" w:hAnsi="Times New Roman"/>
          <w:sz w:val="24"/>
        </w:rPr>
        <w:t xml:space="preserve">, to that Defaulting Lender or as otherwise directed by a court of competent jurisdiction; </w:t>
      </w:r>
      <w:r>
        <w:rPr>
          <w:rFonts w:ascii="Times New Roman" w:hAnsi="Times New Roman"/>
          <w:sz w:val="24"/>
          <w:u w:val="single"/>
        </w:rPr>
        <w:t>provided</w:t>
      </w:r>
      <w:r>
        <w:rPr>
          <w:rFonts w:ascii="Times New Roman" w:hAnsi="Times New Roman"/>
          <w:sz w:val="24"/>
        </w:rPr>
        <w:t xml:space="preserve"> that if (x) such payment is a payment of the principal amount of any Advances or L/C Advances in respect of which that Defaulting Lender has not fully funded its appropriate share and (y) such Advances or L/C Advances were made at a time when the conditions set forth in </w:t>
      </w:r>
      <w:r>
        <w:rPr>
          <w:rFonts w:ascii="Times New Roman" w:hAnsi="Times New Roman"/>
          <w:sz w:val="24"/>
          <w:u w:val="single"/>
        </w:rPr>
        <w:t>Section 3.3</w:t>
      </w:r>
      <w:r>
        <w:rPr>
          <w:rFonts w:ascii="Times New Roman" w:hAnsi="Times New Roman"/>
          <w:sz w:val="24"/>
        </w:rPr>
        <w:t xml:space="preserve"> were satisfied or waived, such payment shall be applied solely to pay the Loans of, and L/C Loans owed to, all non-Defaulting Lenders on a pro rata basis prior to being applied to the payment of any Loans of, or L/C Loans owed to, that Defaulting Lender. Any payments, prepayments or other amounts paid or payable to a Defaulting Lender that are applied (or held) to pay amounts owed by a Defaulting Lender or to post Cash Collateral pursuant to this </w:t>
      </w:r>
      <w:r>
        <w:rPr>
          <w:rFonts w:ascii="Times New Roman" w:hAnsi="Times New Roman"/>
          <w:sz w:val="24"/>
          <w:u w:val="single"/>
        </w:rPr>
        <w:t>Section 2.16(a)(ii)</w:t>
      </w:r>
      <w:r>
        <w:rPr>
          <w:rFonts w:ascii="Times New Roman" w:hAnsi="Times New Roman"/>
          <w:sz w:val="24"/>
        </w:rPr>
        <w:t xml:space="preserve"> shall be deemed paid to and redirected by that Defaulting Lender, and each Lender irrevocably consents hereto.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Certain Fees</w:t>
      </w:r>
      <w:r>
        <w:rPr>
          <w:rFonts w:ascii="Times New Roman" w:hAnsi="Times New Roman"/>
          <w:sz w:val="24"/>
        </w:rPr>
        <w:t xml:space="preserve">. That Defaulting Lender (x) shall not be entitled to receive any commitment fee pursuant to </w:t>
      </w:r>
      <w:r>
        <w:rPr>
          <w:rFonts w:ascii="Times New Roman" w:hAnsi="Times New Roman"/>
          <w:sz w:val="24"/>
          <w:u w:val="single"/>
        </w:rPr>
        <w:t>Section 2.4(a)</w:t>
      </w:r>
      <w:r>
        <w:rPr>
          <w:rFonts w:ascii="Times New Roman" w:hAnsi="Times New Roman"/>
          <w:sz w:val="24"/>
        </w:rPr>
        <w:t xml:space="preserve"> for any period during which that Lender is a Defaulting Lender (and the Company shall not be required to pay any such fee that otherwise would have been required to have been paid to that Defaulting Lender) and (y) shall be limited in its right to receive Letter of Credit Fees as provided in </w:t>
      </w:r>
      <w:r>
        <w:rPr>
          <w:rFonts w:ascii="Times New Roman" w:hAnsi="Times New Roman"/>
          <w:sz w:val="24"/>
          <w:u w:val="single"/>
        </w:rPr>
        <w:t>Section 2.4(b)(ii)</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Reallocation of Commitment Ratios to Reduce Fronting Exposure</w:t>
      </w:r>
      <w:r>
        <w:rPr>
          <w:rFonts w:ascii="Times New Roman" w:hAnsi="Times New Roman"/>
          <w:sz w:val="24"/>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hAnsi="Times New Roman"/>
          <w:sz w:val="24"/>
          <w:u w:val="single"/>
        </w:rPr>
        <w:t>Sections 2.13</w:t>
      </w:r>
      <w:r>
        <w:rPr>
          <w:rFonts w:ascii="Times New Roman" w:hAnsi="Times New Roman"/>
          <w:sz w:val="24"/>
        </w:rPr>
        <w:t xml:space="preserve"> or Swingline Loans pursuant to </w:t>
      </w:r>
      <w:r>
        <w:rPr>
          <w:rFonts w:ascii="Times New Roman" w:hAnsi="Times New Roman"/>
          <w:sz w:val="24"/>
          <w:u w:val="single"/>
        </w:rPr>
        <w:t>Section 2.17</w:t>
      </w:r>
      <w:r>
        <w:rPr>
          <w:rFonts w:ascii="Times New Roman" w:hAnsi="Times New Roman"/>
          <w:sz w:val="24"/>
        </w:rPr>
        <w:t xml:space="preserve">, the “Commitment Ratio” of each non-Defaulting Lender shall be reallocated by computing such “Commitment Ratio” without giving effect to the Revolving Loan Commitment of that Defaulting Lender; </w:t>
      </w:r>
      <w:r>
        <w:rPr>
          <w:rFonts w:ascii="Times New Roman" w:hAnsi="Times New Roman"/>
          <w:sz w:val="24"/>
          <w:u w:val="single"/>
        </w:rPr>
        <w:t>provided</w:t>
      </w:r>
      <w:r>
        <w:rPr>
          <w:rFonts w:ascii="Times New Roman" w:hAnsi="Times New Roman"/>
          <w:sz w:val="24"/>
        </w:rPr>
        <w:t xml:space="preserve">, that, (i) each such reallocation shall be given effect only if, at the date the applicable Lender becomes a Defaulting Lender, no Default exists; and (ii) the aggregate obligation of each non-Defaulting Lender to acquire, refinance or fund participations in Letters of Credit or Swingline Loans shall not exceed the positive difference, if any, of (1) the Revolving Loan Commitment of that non-Defaulting Lender </w:t>
      </w:r>
      <w:r>
        <w:rPr>
          <w:rFonts w:ascii="Times New Roman" w:hAnsi="Times New Roman"/>
          <w:sz w:val="24"/>
          <w:u w:val="single"/>
        </w:rPr>
        <w:t>minus</w:t>
      </w:r>
      <w:r>
        <w:rPr>
          <w:rFonts w:ascii="Times New Roman" w:hAnsi="Times New Roman"/>
          <w:sz w:val="24"/>
        </w:rPr>
        <w:t xml:space="preserve"> (2) the Dollar Equivalent of the aggregate Outstanding Amount of the Revolving Loans of that Lender.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(b) </w:t>
      </w:r>
      <w:r>
        <w:rPr>
          <w:rFonts w:ascii="Times New Roman" w:hAnsi="Times New Roman"/>
          <w:sz w:val="24"/>
          <w:u w:val="single"/>
        </w:rPr>
        <w:t>Defaulting Lender Cure</w:t>
      </w:r>
      <w:r>
        <w:rPr>
          <w:rFonts w:ascii="Times New Roman" w:hAnsi="Times New Roman"/>
          <w:sz w:val="24"/>
        </w:rPr>
        <w:t xml:space="preserve">. If the Company, the Administrative Agent, the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Loans and funded and unfunded participations in Letters of Credit and Swingline Loans to be held on a pro rata basis by the Lenders in accordance with their Commitment Ratios (without giving effect to </w:t>
      </w:r>
      <w:r>
        <w:rPr>
          <w:rFonts w:ascii="Times New Roman" w:hAnsi="Times New Roman"/>
          <w:sz w:val="24"/>
          <w:u w:val="single"/>
        </w:rPr>
        <w:t>Section 2.16(a)(iv</w:t>
      </w:r>
      <w:r>
        <w:rPr>
          <w:rFonts w:ascii="Times New Roman" w:hAnsi="Times New Roman"/>
          <w:sz w:val="24"/>
        </w:rPr>
        <w:t xml:space="preserve">)), whereupon that Lender will cease to be a Defaulting Lender; </w:t>
      </w:r>
      <w:r>
        <w:rPr>
          <w:rFonts w:ascii="Times New Roman" w:hAnsi="Times New Roman"/>
          <w:sz w:val="24"/>
          <w:u w:val="single"/>
        </w:rPr>
        <w:t>provided</w:t>
      </w:r>
      <w:r>
        <w:rPr>
          <w:rFonts w:ascii="Times New Roman" w:hAnsi="Times New Roman"/>
          <w:sz w:val="24"/>
        </w:rPr>
        <w:t xml:space="preserve"> that no adjustments will be made retroactively with respect to fees accrued or payments made by or on behalf of the Company while that Lender was a Defaulting Lender;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except to the extent otherwise expressly agreed by the affected parties and subject to Section 12.24, no change hereunder from Defaulting Lender to Lender will constitute a waiver or release of any claim of any party hereunder arising from that Lender’s having been a Defaulting Lender. </w:t>
      </w:r>
    </w:p>
    <w:p>
      <w:pPr>
        <w:pStyle w:val="TextBody"/>
        <w:bidi w:val="0"/>
        <w:spacing w:before="240" w:after="0"/>
        <w:jc w:val="both"/>
        <w:rPr>
          <w:rFonts w:ascii="Times New Roman" w:hAnsi="Times New Roman"/>
          <w:sz w:val="24"/>
        </w:rPr>
      </w:pPr>
      <w:r>
        <w:rPr>
          <w:rFonts w:ascii="Times New Roman" w:hAnsi="Times New Roman"/>
          <w:sz w:val="24"/>
        </w:rPr>
        <w:t>Section 2.17 </w:t>
      </w:r>
      <w:r>
        <w:rPr>
          <w:rFonts w:ascii="Times New Roman" w:hAnsi="Times New Roman"/>
          <w:sz w:val="24"/>
          <w:u w:val="single"/>
        </w:rPr>
        <w:t>Swingline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The Swingline</w:t>
      </w:r>
      <w:r>
        <w:rPr>
          <w:rFonts w:ascii="Times New Roman" w:hAnsi="Times New Roman"/>
          <w:sz w:val="24"/>
        </w:rPr>
        <w:t>. Subject to the terms and conditions set forth herein, the Swingline Lender, in reliance upon the agreements of the other Lenders set forth in this Section, shall make loans (each such loan, a “</w:t>
      </w:r>
      <w:r>
        <w:rPr>
          <w:rFonts w:ascii="Times New Roman" w:hAnsi="Times New Roman"/>
          <w:sz w:val="24"/>
          <w:u w:val="single"/>
        </w:rPr>
        <w:t>Swingline Loan</w:t>
      </w:r>
      <w:r>
        <w:rPr>
          <w:rFonts w:ascii="Times New Roman" w:hAnsi="Times New Roman"/>
          <w:sz w:val="24"/>
        </w:rPr>
        <w:t xml:space="preserve">”) from time to time on any Business Day until the Maturity Date. Each such Swingline Loan may be made, subject to the terms and conditions set forth herein, to the Company or any Subsidiary Borrower, in Dollars in an aggregate amount not to exceed at any time outstanding the amount of the Swingline Sublimit, notwithstanding the fact that such Swingline Loans, when aggregated with the Commitment Ratio of the Outstanding Amount of Revolving Loans and L/C Obligations of the Swingline Lender, may exceed the amount of such Lender’s Revolving Loan Commitments;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 after giving effect to any Swingline Loan, (A) the aggregate Outstanding Amount of all Revolving Loans, Swingline Loans and L/C Obligations shall not exceed the aggregate Revolving Loan Commitments, and (B) the aggregate Outstanding Amount of the Revolving Loans of any Lender, </w:t>
      </w:r>
      <w:r>
        <w:rPr>
          <w:rFonts w:ascii="Times New Roman" w:hAnsi="Times New Roman"/>
          <w:sz w:val="24"/>
          <w:u w:val="single"/>
        </w:rPr>
        <w:t>plus</w:t>
      </w:r>
      <w:r>
        <w:rPr>
          <w:rFonts w:ascii="Times New Roman" w:hAnsi="Times New Roman"/>
          <w:sz w:val="24"/>
        </w:rPr>
        <w:t xml:space="preserve"> such Lender’s Commitment Ratio of all Swingline Loans and L/C Obligations shall not exceed such Lender’s Commitment, (ii) no Borrower shall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borrowing may have, Fronting Exposure. Within the foregoing limits, and subject to the other terms and conditions hereof, a Borrower’s ability to obtain Swingline Loans shall be fully revolving, and accordingly any Borrower may borrow under this Section, prepay under Section 2.6, and reborrow under this Section. Each Swingline Advance shall be a Base Rate Advance. Immediately upon the making of a Swingline Loan, each Lender shall be deemed to, and hereby irrevocably and unconditionally agrees to, purchase from the Swingline Lender a risk participation in such Swingline Loan in an amount equal to the product of such Lender’s Commitment Ratio </w:t>
      </w:r>
      <w:r>
        <w:rPr>
          <w:rFonts w:ascii="Times New Roman" w:hAnsi="Times New Roman"/>
          <w:sz w:val="24"/>
          <w:u w:val="single"/>
        </w:rPr>
        <w:t>times</w:t>
      </w:r>
      <w:r>
        <w:rPr>
          <w:rFonts w:ascii="Times New Roman" w:hAnsi="Times New Roman"/>
          <w:sz w:val="24"/>
        </w:rPr>
        <w:t xml:space="preserve"> the amount of such Swingline Loan.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Swingline Loan Advance Procedures</w:t>
      </w:r>
      <w:r>
        <w:rPr>
          <w:rFonts w:ascii="Times New Roman" w:hAnsi="Times New Roman"/>
          <w:sz w:val="24"/>
        </w:rPr>
        <w:t xml:space="preserve">. Each Swingline Advance shall be made upon the relevant Borrower’s irrevocable notice to the Swingline Lender and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Administrative Agent, which may be given by telephone. Each such notice must be received by the Swingline Lender and the Administrative Agent not later than 1:00 p.m. on the requested borrowing date, and shall specify (i) the amount to be borrowed, and (ii) the requested date of the Swingline Advance (which shall be a Business Day). Each such telephonic notice must be confirmed promptly by delivery to the Swingline Lender and the Administrative Agent of a written Swingline Loan Notice;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relevant Borrower’s failure to confirm any telephonic notice with a written Swingline Loan Notice shall not invalidate any notice so given if acted upon by the Swingline Lender.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Advance (A) directing the Swingline Lender not to make such Swingline Loan as a result of the limitations set forth in the first proviso to the first sentence of Section 2.17(a), or (B) that one or more of the applicable conditions specified in Article 3 is not then satisfied, then, subject to the terms and conditions hereof, the Swingline Lender will, not later than 3:00 p.m. on the borrowing date specified in such Swingline Loan Notice, make the amount of its Swingline Loan available to the relevant Borrower.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Refinancing of Swingline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(i) The Swingline Lender at any time in its sole discretion may request, on behalf of the relevant Borrower (which hereby irrevocably authorizes the Swingline Lender to so request on its behalf), that each Lender make a Revolving Loan (in the form of a Base Rate Advance) in an amount equal to such Lender’s Commitment Ratio multiplied by the amount of Swingline Loans then outstanding. Such request shall be made in writing (which written request shall be deemed to be a Request for Advance for purposes hereof) and in accordance with the requirements of Section 2.2, subject to the unutilized portion of the Revolving Loan Commitment and the conditions set forth in Section 3.2. The Swingline Lender shall furnish the relevant Borrower with a copy of the applicable Request for Advance promptly after delivering such notice to the Administrative Agent. Each Lender shall make an amount equal to its Commitment Ratio multiplied by the amount specified in such Request for Advance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Request for Advance, whereupon, subject to Section 2.17(c)(ii), each Lender that so makes funds available shall be deemed to have made a Revolving Loan (in the form of a Base Rate Advance) to the relevant Borrower in such amount. The Administrative Agent shall remit the funds so received to the Swingline Lender. </w:t>
      </w:r>
    </w:p>
    <w:p>
      <w:pPr>
        <w:pStyle w:val="TextBody"/>
        <w:bidi w:val="0"/>
        <w:spacing w:before="240" w:after="0"/>
        <w:jc w:val="both"/>
        <w:rPr>
          <w:rFonts w:ascii="Times New Roman" w:hAnsi="Times New Roman"/>
          <w:sz w:val="24"/>
        </w:rPr>
      </w:pPr>
      <w:r>
        <w:rPr>
          <w:rFonts w:ascii="Times New Roman" w:hAnsi="Times New Roman"/>
          <w:sz w:val="24"/>
        </w:rPr>
        <w:t xml:space="preserve">(ii) If for any reason any Swingline Loan cannot be refinanced by such an Advance in accordance with Section 2.17(c)(i), the request for a Revolving Loan submitted by the Swingline Lender as set forth herein shall be deemed to be a request by the Swingline Lender that each of the Lenders fund its risk participation in the relevant Swingline Loan and each Lender’s payment to the Administrative Agent for the account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the Swingline Lender pursuant to Section 2.17(c)(i) shall be deemed payment in respect of such participation. </w:t>
      </w:r>
    </w:p>
    <w:p>
      <w:pPr>
        <w:pStyle w:val="TextBody"/>
        <w:bidi w:val="0"/>
        <w:spacing w:before="240" w:after="0"/>
        <w:jc w:val="both"/>
        <w:rPr>
          <w:rFonts w:ascii="Times New Roman" w:hAnsi="Times New Roman"/>
          <w:sz w:val="24"/>
        </w:rPr>
      </w:pPr>
      <w:r>
        <w:rPr>
          <w:rFonts w:ascii="Times New Roman" w:hAnsi="Times New Roman"/>
          <w:sz w:val="24"/>
        </w:rPr>
        <w:t xml:space="preserve">(iii) If any Lender fails to make available to the Administrative Agent for the account of the Swingline Lender any amount required to be paid by such Lender pursuant to the foregoing provisions of this Section 2.17(c) by the time specified in Section 2.17(c)(i),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funded participation in the relevant Swingline Loan. A certificate of the Swingline Lender submitted to any Lender (through the Administrative Agent) with respect to any amounts owing under this clause (iii) shall be conclusive absent manifest error. </w:t>
      </w:r>
    </w:p>
    <w:p>
      <w:pPr>
        <w:pStyle w:val="TextBody"/>
        <w:bidi w:val="0"/>
        <w:spacing w:before="240" w:after="0"/>
        <w:jc w:val="both"/>
        <w:rPr>
          <w:rFonts w:ascii="Times New Roman" w:hAnsi="Times New Roman"/>
          <w:sz w:val="24"/>
        </w:rPr>
      </w:pPr>
      <w:r>
        <w:rPr>
          <w:rFonts w:ascii="Times New Roman" w:hAnsi="Times New Roman"/>
          <w:sz w:val="24"/>
        </w:rPr>
        <w:t xml:space="preserve">(iv) Each Lender’s obligation to make Revolving Loans or to purchase and fund risk participations in Swingline Loans pursuant to this Section 2.17(c) shall be absolute and unconditional and shall not be affected by any circumstance, including (A) any setoff, counterclaim, recoupment, defense or other right which such Lender may have against the Swingline Lender, the relevant Borrower or any other Person for any reason whatsoever, (B) the occurrence or continuance of a Default, or (C) any other occurrence, event or condition, whether or not similar to any of the foregoing;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each Lender’s obligation to make Revolving Loans pursuant to this Section 2.17(c) is subject to the conditions set forth in Section 3.2 (other than delivery by the relevant Borrower of a Request for Advance). No such funding of risk participations shall relieve or otherwise impair the obligation of the relevant Borrower to repay Swingline Loans, together with interest as provided herein.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Repayment of Participations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(i) At any time after any Lender has purchased and funded a risk participation in a Swingline Loan, if the Swingline Lender receives any payment on account of such Swingline Loan, the Swingline Lender will distribute to such Lender its Commitment Ratio thereof in the same funds as those received by the Swingline Lender. </w:t>
      </w:r>
    </w:p>
    <w:p>
      <w:pPr>
        <w:pStyle w:val="TextBody"/>
        <w:bidi w:val="0"/>
        <w:spacing w:before="240" w:after="0"/>
        <w:jc w:val="both"/>
        <w:rPr>
          <w:rFonts w:ascii="Times New Roman" w:hAnsi="Times New Roman"/>
          <w:sz w:val="24"/>
        </w:rPr>
      </w:pPr>
      <w:r>
        <w:rPr>
          <w:rFonts w:ascii="Times New Roman" w:hAnsi="Times New Roman"/>
          <w:sz w:val="24"/>
        </w:rPr>
        <w:t xml:space="preserve">(ii) If any payment received by the Swingline Lender in respect of principal or interest on any Swingline Loan is required to be returned by the Swingline Lender because it is invalidated, declared to be fraudulent or preferential, set aside or required to be repaid to a trustee, receiver or any other party in connection with any proceeding under any debtor relief law or otherwise (including pursuant to any settlement entered into by the Swingline Lender in its discretion), each Lender shall pay to the Swingline Lender its Commitment Ratio thereof on demand of the Administrative Agent, plus interest thereon from the date of such demand to the date such amount is returned, at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rate per annum equal to the Federal Funds Rate. The Administrative Agent will make such demand upon the request of the Swingline Lender. The obligations of the Lenders under this clause shall survive the payment in full of the Obligations and the termination of this Agreement.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Interest for Account of Swingline Lender</w:t>
      </w:r>
      <w:r>
        <w:rPr>
          <w:rFonts w:ascii="Times New Roman" w:hAnsi="Times New Roman"/>
          <w:sz w:val="24"/>
        </w:rPr>
        <w:t xml:space="preserve">. The Swingline Lender shall be responsible for invoicing the relevant Borrower for interest on the Swingline Loans. Until each Lender funds its Revolving Loan (in the form of a Base Rate Advance) or risk participation pursuant to this Section to refinance such Lender’s Commitment Ratio of any Swingline Loan, interest in respect of such Commitment Ratio shall be solely for the account of the Swingline Lender.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Payments Directly to Swingline Lender</w:t>
      </w:r>
      <w:r>
        <w:rPr>
          <w:rFonts w:ascii="Times New Roman" w:hAnsi="Times New Roman"/>
          <w:sz w:val="24"/>
        </w:rPr>
        <w:t xml:space="preserve">. The relevant Borrower shall make all payments of principal and interest in respect of the Swingline Loans directly to the Swingline Lender. </w:t>
      </w:r>
    </w:p>
    <w:p>
      <w:pPr>
        <w:pStyle w:val="TextBody"/>
        <w:bidi w:val="0"/>
        <w:spacing w:before="240" w:after="0"/>
        <w:jc w:val="both"/>
        <w:rPr>
          <w:rFonts w:ascii="Times New Roman" w:hAnsi="Times New Roman"/>
          <w:sz w:val="24"/>
        </w:rPr>
      </w:pPr>
      <w:r>
        <w:rPr>
          <w:rFonts w:ascii="Times New Roman" w:hAnsi="Times New Roman"/>
          <w:sz w:val="24"/>
        </w:rPr>
        <w:t>Section 2.18 </w:t>
      </w:r>
      <w:r>
        <w:rPr>
          <w:rFonts w:ascii="Times New Roman" w:hAnsi="Times New Roman"/>
          <w:sz w:val="24"/>
          <w:u w:val="single"/>
        </w:rPr>
        <w:t>Maturity Date Extension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Company may request that the Lenders’ Revolving Loan Commitments be renewed for up to two additional one year periods by providing notice of such request to the Administrative Agent (which shall give prompt notice to the Lenders) no later than the third anniversary of the Effective Date and no more than once per year, and shall specify the date upon which such extension will become effective (the “</w:t>
      </w:r>
      <w:r>
        <w:rPr>
          <w:rFonts w:ascii="Times New Roman" w:hAnsi="Times New Roman"/>
          <w:sz w:val="24"/>
          <w:u w:val="single"/>
        </w:rPr>
        <w:t>Extension Date</w:t>
      </w:r>
      <w:r>
        <w:rPr>
          <w:rFonts w:ascii="Times New Roman" w:hAnsi="Times New Roman"/>
          <w:sz w:val="24"/>
        </w:rPr>
        <w:t>”). If a Lender agrees, in its individual and sole discretion, to renew its Revolving Loan Commitment (an “</w:t>
      </w:r>
      <w:r>
        <w:rPr>
          <w:rFonts w:ascii="Times New Roman" w:hAnsi="Times New Roman"/>
          <w:sz w:val="24"/>
          <w:u w:val="single"/>
        </w:rPr>
        <w:t>Extending Lender</w:t>
      </w:r>
      <w:r>
        <w:rPr>
          <w:rFonts w:ascii="Times New Roman" w:hAnsi="Times New Roman"/>
          <w:sz w:val="24"/>
        </w:rPr>
        <w:t>”), it will notify the Administrative Agent, in writing, of its decision to do so no later than 20 days after receipt of such extension notice. The Administrative Agent shall notify the Company, in writing, of the Lenders’ decisions no later than five days after the date the Lenders are required to respond to such extension notice. As of the Extension Date, the Extending Lenders’ Revolving Loan Commitment will be renewed for an additional one year from the Maturity Date at that time, provided that more than 50% of the Revolving Loan Commitments are extended or otherwise committed to by Extending Lenders and any new Lenders. Any Lender that declines the Company’s request, or does not respond to the Company’s request for a commitment renewal (a “</w:t>
      </w:r>
      <w:r>
        <w:rPr>
          <w:rFonts w:ascii="Times New Roman" w:hAnsi="Times New Roman"/>
          <w:sz w:val="24"/>
          <w:u w:val="single"/>
        </w:rPr>
        <w:t>Non-Extending Lender</w:t>
      </w:r>
      <w:r>
        <w:rPr>
          <w:rFonts w:ascii="Times New Roman" w:hAnsi="Times New Roman"/>
          <w:sz w:val="24"/>
        </w:rPr>
        <w:t xml:space="preserve">”) will have its Revolving Loan Commitment terminated on the Maturity Date then in effect (without regard to any extensions by other Lenders). The Company will have the right to accept commitments from third party financial institutions acceptable to the Administrative Agent, the Issuing Banks and the Swingline Lender in an amount equal to the amount of the Revolving Loan Commitment of any Non-Extending Lender. Notwithstanding anything to the contrary, the Maturity Date shall not extend beyond the fifth anniversary of the Extension Date. </w:t>
      </w:r>
    </w:p>
    <w:p>
      <w:pPr>
        <w:pStyle w:val="TextBody"/>
        <w:bidi w:val="0"/>
        <w:spacing w:before="240" w:after="0"/>
        <w:jc w:val="center"/>
        <w:rPr>
          <w:rFonts w:ascii="Times New Roman" w:hAnsi="Times New Roman"/>
          <w:sz w:val="24"/>
        </w:rPr>
      </w:pPr>
      <w:r>
        <w:rPr>
          <w:rFonts w:ascii="Times New Roman" w:hAnsi="Times New Roman"/>
          <w:sz w:val="24"/>
        </w:rPr>
        <w:t xml:space="preserve">ARTICLE 3 - CONDITIONS PRECEDENT </w:t>
      </w:r>
    </w:p>
    <w:p>
      <w:pPr>
        <w:pStyle w:val="TextBody"/>
        <w:bidi w:val="0"/>
        <w:spacing w:before="240" w:after="0"/>
        <w:jc w:val="both"/>
        <w:rPr>
          <w:rFonts w:ascii="Times New Roman" w:hAnsi="Times New Roman"/>
          <w:sz w:val="24"/>
        </w:rPr>
      </w:pPr>
      <w:r>
        <w:rPr>
          <w:rFonts w:ascii="Times New Roman" w:hAnsi="Times New Roman"/>
          <w:sz w:val="24"/>
        </w:rPr>
        <w:t>Section 3.1 </w:t>
      </w:r>
      <w:r>
        <w:rPr>
          <w:rFonts w:ascii="Times New Roman" w:hAnsi="Times New Roman"/>
          <w:sz w:val="24"/>
          <w:u w:val="single"/>
        </w:rPr>
        <w:t>Conditions Precedent to Effectiveness of this Agreement</w:t>
      </w:r>
      <w:r>
        <w:rPr>
          <w:rFonts w:ascii="Times New Roman" w:hAnsi="Times New Roman"/>
          <w:sz w:val="24"/>
        </w:rPr>
        <w:t xml:space="preserve">. The effectiveness of this Agreement on the Effective Date is subject to the prior or contemporaneous fulfillment (in the reasonable opinion of the Administrative Agent) or, if applicable, receipt by the Administrative Agent (in each case in form and substance reasonably satisfactory to the Administrative Agent and the Lenders) of each of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(a) this Agreement duly executed by all relevant parties; </w:t>
      </w:r>
    </w:p>
    <w:p>
      <w:pPr>
        <w:pStyle w:val="TextBody"/>
        <w:bidi w:val="0"/>
        <w:spacing w:before="240" w:after="0"/>
        <w:jc w:val="both"/>
        <w:rPr>
          <w:rFonts w:ascii="Times New Roman" w:hAnsi="Times New Roman"/>
          <w:sz w:val="24"/>
        </w:rPr>
      </w:pPr>
      <w:r>
        <w:rPr>
          <w:rFonts w:ascii="Times New Roman" w:hAnsi="Times New Roman"/>
          <w:sz w:val="24"/>
        </w:rPr>
        <w:t xml:space="preserve">(b) a loan certificate of the Company dated as of the Effective Date, in substantially the form attached hereto as </w:t>
      </w:r>
      <w:r>
        <w:rPr>
          <w:rFonts w:ascii="Times New Roman" w:hAnsi="Times New Roman"/>
          <w:sz w:val="24"/>
          <w:u w:val="single"/>
        </w:rPr>
        <w:t>Exhibit D</w:t>
      </w:r>
      <w:r>
        <w:rPr>
          <w:rFonts w:ascii="Times New Roman" w:hAnsi="Times New Roman"/>
          <w:sz w:val="24"/>
        </w:rPr>
        <w:t xml:space="preserve">, including a certificate of incumbency with respect to each Authorized Signatory of the Company, together with the following items: (i) a true, complete and correct copy of the articles of incorporation and by-laws of the Company as in effect on the Effective Date, (ii) a certificate of good standing for the Company issued by the Secretary of State of Delaware, and (iii) a true, complete and correct copy of the resolutions of the Company authorizing it to execute, deliver and perform each of the Loan Documents to which it is a party; </w:t>
      </w:r>
    </w:p>
    <w:p>
      <w:pPr>
        <w:pStyle w:val="TextBody"/>
        <w:bidi w:val="0"/>
        <w:spacing w:before="240" w:after="0"/>
        <w:jc w:val="both"/>
        <w:rPr>
          <w:rFonts w:ascii="Times New Roman" w:hAnsi="Times New Roman"/>
          <w:sz w:val="24"/>
        </w:rPr>
      </w:pPr>
      <w:r>
        <w:rPr>
          <w:rFonts w:ascii="Times New Roman" w:hAnsi="Times New Roman"/>
          <w:sz w:val="24"/>
        </w:rPr>
        <w:t xml:space="preserve">(c) legal opinions of (i) Cleary Gottlieb Steen &amp; Hamilton LLP, special counsel to the Company and (ii) Edmund DiSanto, Esq., General Counsel of the Company, addressed to each Lender and the Administrative Agent and dated as of the Effective Date; </w:t>
      </w:r>
    </w:p>
    <w:p>
      <w:pPr>
        <w:pStyle w:val="TextBody"/>
        <w:bidi w:val="0"/>
        <w:spacing w:before="240" w:after="0"/>
        <w:jc w:val="both"/>
        <w:rPr>
          <w:rFonts w:ascii="Times New Roman" w:hAnsi="Times New Roman"/>
          <w:sz w:val="24"/>
        </w:rPr>
      </w:pPr>
      <w:r>
        <w:rPr>
          <w:rFonts w:ascii="Times New Roman" w:hAnsi="Times New Roman"/>
          <w:sz w:val="24"/>
        </w:rPr>
        <w:t xml:space="preserve">(d) receipt by the Company of all Necessary Authorizations, other than Necessary Authorizations the absence of which would not reasonably be expected to have, individually or in the aggregate, a Materially Adverse Effect, including all necessary consents to the closing of this Agreement, that have been obtained or made, are in full force and effect and are not subject to any pending or, to the knowledge of the Company, threatened reversal or cancellation; </w:t>
      </w:r>
    </w:p>
    <w:p>
      <w:pPr>
        <w:pStyle w:val="TextBody"/>
        <w:bidi w:val="0"/>
        <w:spacing w:before="240" w:after="0"/>
        <w:jc w:val="both"/>
        <w:rPr>
          <w:rFonts w:ascii="Times New Roman" w:hAnsi="Times New Roman"/>
          <w:sz w:val="24"/>
        </w:rPr>
      </w:pPr>
      <w:r>
        <w:rPr>
          <w:rFonts w:ascii="Times New Roman" w:hAnsi="Times New Roman"/>
          <w:sz w:val="24"/>
        </w:rPr>
        <w:t xml:space="preserve">(e) each of the representations and warranties in Article 4 hereof are true and correct in all material respects, except for those representations and warranties that are qualified by materiality or Materially Adverse Effect, which shall be true and correct, as of the Effective Date, and no Default then exists; </w:t>
      </w:r>
    </w:p>
    <w:p>
      <w:pPr>
        <w:pStyle w:val="TextBody"/>
        <w:bidi w:val="0"/>
        <w:spacing w:before="240" w:after="0"/>
        <w:jc w:val="both"/>
        <w:rPr>
          <w:rFonts w:ascii="Times New Roman" w:hAnsi="Times New Roman"/>
          <w:sz w:val="24"/>
        </w:rPr>
      </w:pPr>
      <w:r>
        <w:rPr>
          <w:rFonts w:ascii="Times New Roman" w:hAnsi="Times New Roman"/>
          <w:sz w:val="24"/>
        </w:rPr>
        <w:t xml:space="preserve">(f) at least three (3) Business Days prior to the Effective Date, to the extent reasonably requested in writing at least ten (10) Business Days prior to the Effective Date, the documentation that the Administrative Agent and the Lenders are required to obtain from the Company under Section 326 of the USA PATRIOT ACT (P.L. 107-56, 115 Stat. 272 (2001)) and under any other provision of the Patriot Act, the Bank Secrecy Act (P.L. 91-508, 84 Stat. 1118 (1970)) or any regulations under such Act or the Patriot Act that contain document collection requirements that apply to the Administrative Agent and the Lenders and (ii) to the extent the Company qualifies as a “legal entity customer” under the Beneficial Ownership Regulation, the Beneficial Ownership Certification to each Lender that so requests; </w:t>
      </w:r>
    </w:p>
    <w:p>
      <w:pPr>
        <w:pStyle w:val="TextBody"/>
        <w:bidi w:val="0"/>
        <w:spacing w:before="240" w:after="0"/>
        <w:jc w:val="both"/>
        <w:rPr>
          <w:rFonts w:ascii="Times New Roman" w:hAnsi="Times New Roman"/>
          <w:sz w:val="24"/>
        </w:rPr>
      </w:pPr>
      <w:r>
        <w:rPr>
          <w:rFonts w:ascii="Times New Roman" w:hAnsi="Times New Roman"/>
          <w:sz w:val="24"/>
        </w:rPr>
        <w:t xml:space="preserve">(g) all fees and expenses required to be paid in connection with this Agreement to the Administrative Agent, the Joint Lead Arrangers, the Issuing Banks and the Lenders shall have been (or shall be simultaneously) paid in full; </w:t>
      </w:r>
    </w:p>
    <w:p>
      <w:pPr>
        <w:pStyle w:val="TextBody"/>
        <w:bidi w:val="0"/>
        <w:spacing w:before="240" w:after="0"/>
        <w:jc w:val="both"/>
        <w:rPr>
          <w:rFonts w:ascii="Times New Roman" w:hAnsi="Times New Roman"/>
          <w:sz w:val="24"/>
        </w:rPr>
      </w:pPr>
      <w:r>
        <w:rPr>
          <w:rFonts w:ascii="Times New Roman" w:hAnsi="Times New Roman"/>
          <w:sz w:val="24"/>
        </w:rPr>
        <w:t xml:space="preserve">(h) audited consolidated financial statements for the three years ended December 31, 2022, and unaudited consolidated financial statements for each of the three quarters ended June 30, 2022, September 30, 2022 and March 31, 2023, in each case of the Company and its Subsidiaries; </w:t>
      </w:r>
      <w:r>
        <w:rPr>
          <w:rFonts w:ascii="Times New Roman" w:hAnsi="Times New Roman"/>
          <w:sz w:val="24"/>
          <w:u w:val="single"/>
        </w:rPr>
        <w:t>provided</w:t>
      </w:r>
      <w:r>
        <w:rPr>
          <w:rFonts w:ascii="Times New Roman" w:hAnsi="Times New Roman"/>
          <w:sz w:val="24"/>
        </w:rPr>
        <w:t xml:space="preserve"> that financial statements required to be delivered pursuant to this clause (h) shall be deemed to have been delivered on the date on which reports containing such financial statements are made publicly available on the Securities and Exchange Commission’s EDGAR database;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(i) a certificate of the president, chief financial officer or treasurer of the Company as to the financial performance of the Company and its Subsidiaries, substantially in the form of </w:t>
      </w:r>
      <w:r>
        <w:rPr>
          <w:rFonts w:ascii="Times New Roman" w:hAnsi="Times New Roman"/>
          <w:sz w:val="24"/>
          <w:u w:val="single"/>
        </w:rPr>
        <w:t>Exhibit E</w:t>
      </w:r>
      <w:r>
        <w:rPr>
          <w:rFonts w:ascii="Times New Roman" w:hAnsi="Times New Roman"/>
          <w:sz w:val="24"/>
        </w:rPr>
        <w:t xml:space="preserve"> attached hereto, and, to the extent applicable, using information contained in the financial statements delivered pursuant to clause (h) of this Section 3.1 in respect of the quarter ended March 31, 2023; </w:t>
      </w:r>
    </w:p>
    <w:p>
      <w:pPr>
        <w:pStyle w:val="TextBody"/>
        <w:bidi w:val="0"/>
        <w:spacing w:before="240" w:after="0"/>
        <w:jc w:val="both"/>
        <w:rPr>
          <w:rFonts w:ascii="Times New Roman" w:hAnsi="Times New Roman"/>
          <w:sz w:val="24"/>
        </w:rPr>
      </w:pPr>
      <w:r>
        <w:rPr>
          <w:rFonts w:ascii="Times New Roman" w:hAnsi="Times New Roman"/>
          <w:sz w:val="24"/>
        </w:rPr>
        <w:t xml:space="preserve">(j) [reserved;] and </w:t>
      </w:r>
    </w:p>
    <w:p>
      <w:pPr>
        <w:pStyle w:val="TextBody"/>
        <w:bidi w:val="0"/>
        <w:spacing w:before="240" w:after="0"/>
        <w:jc w:val="both"/>
        <w:rPr>
          <w:rFonts w:ascii="Times New Roman" w:hAnsi="Times New Roman"/>
          <w:sz w:val="24"/>
        </w:rPr>
      </w:pPr>
      <w:r>
        <w:rPr>
          <w:rFonts w:ascii="Times New Roman" w:hAnsi="Times New Roman"/>
          <w:sz w:val="24"/>
        </w:rPr>
        <w:t xml:space="preserve">(k) the administrative agent and the lenders under the Existing Multicurrency Credit Agreement shall have received (i) all fees and other amounts due and payable by the Company and the other obligors under the Existing Multicurrency Credit Agreement and (ii) all loans and other outstanding obligations thereunder shall have been paid in full or be deemed to be Obligations under this Agreement on or prior to the Effective Date. </w:t>
      </w:r>
    </w:p>
    <w:p>
      <w:pPr>
        <w:pStyle w:val="TextBody"/>
        <w:bidi w:val="0"/>
        <w:spacing w:before="240" w:after="0"/>
        <w:jc w:val="both"/>
        <w:rPr>
          <w:rFonts w:ascii="Times New Roman" w:hAnsi="Times New Roman"/>
          <w:sz w:val="24"/>
        </w:rPr>
      </w:pPr>
      <w:r>
        <w:rPr>
          <w:rFonts w:ascii="Times New Roman" w:hAnsi="Times New Roman"/>
          <w:sz w:val="24"/>
        </w:rPr>
        <w:t>Section 3.2 </w:t>
      </w:r>
      <w:r>
        <w:rPr>
          <w:rFonts w:ascii="Times New Roman" w:hAnsi="Times New Roman"/>
          <w:sz w:val="24"/>
          <w:u w:val="single"/>
        </w:rPr>
        <w:t>Conditions Precedent to Initial Advance to Each Subsidiary Borrower</w:t>
      </w:r>
      <w:r>
        <w:rPr>
          <w:rFonts w:ascii="Times New Roman" w:hAnsi="Times New Roman"/>
          <w:sz w:val="24"/>
        </w:rPr>
        <w:t xml:space="preserve">. The obligation of each Lender to make an initial Loan to each Subsidiary Borrower is subject to the prior or contemporaneous fulfillment (in the reasonable opinion of the Administrative Agent) or, if applicable, receipt by the Administrative Agent (in each case in form and substance reasonably satisfactory to the Administrative Agent and the Lenders) of each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(a) Certified copies of the resolutions of the Board of Directors of such Subsidiary Borrower (with a certified English translation if the original thereof is not in English) approving this Agreement and the Notes to be delivered by it, and of all documents evidencing other necessary corporate action and governmental approvals, if any, with respect to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(b) A certificate of a proper officer of such Subsidiary Borrower certifying the names and true signatures of the officers of such Subsidiary Borrower authorized to sign its Designation Agreement and the other documents to be delivered by it hereunder. </w:t>
      </w:r>
    </w:p>
    <w:p>
      <w:pPr>
        <w:pStyle w:val="TextBody"/>
        <w:bidi w:val="0"/>
        <w:spacing w:before="240" w:after="0"/>
        <w:jc w:val="both"/>
        <w:rPr>
          <w:rFonts w:ascii="Times New Roman" w:hAnsi="Times New Roman"/>
          <w:sz w:val="24"/>
        </w:rPr>
      </w:pPr>
      <w:r>
        <w:rPr>
          <w:rFonts w:ascii="Times New Roman" w:hAnsi="Times New Roman"/>
          <w:sz w:val="24"/>
        </w:rPr>
        <w:t xml:space="preserve">(c) A certificate signed by a duly authorized officer of the Company, certifying that such Subsidiary Borrower has obtained all governmental and third party authorizations, consents, approvals (including exchange control approvals) and licenses required under applicable laws and regulations necessary for such Subsidiary Borrower to execute and deliver its Designation Agreement and to perform its obligations hereunder other than governmental and third party authorizations, consents, approvals and licenses the absence of which would not reasonably be expected to have, individually or in the aggregate, a Materially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(d) A Designation Agreement duly executed by such Subsidiary Borrower and the Company.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color w:val="0000FF"/>
          <w:sz w:val="24"/>
          <w:u w:val="single"/>
          <w:bdr w:val="double" w:sz="2" w:space="1" w:color="000000"/>
        </w:rPr>
        <w:t>If such Subsidiary Borrower is incorporated in The Netherlands: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w:t>
      </w:r>
      <w:r>
        <w:rPr>
          <w:rFonts w:ascii="Times New Roman" w:hAnsi="Times New Roman"/>
          <w:color w:val="0000FF"/>
          <w:sz w:val="24"/>
          <w:u w:val="single"/>
          <w:bdr w:val="double" w:sz="2" w:space="1" w:color="000000"/>
        </w:rPr>
        <w:t>a copy of the up-to-date constitutional documents of such Subsidiary Borrower;</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(B) </w:t>
      </w:r>
      <w:r>
        <w:rPr>
          <w:rFonts w:ascii="Times New Roman" w:hAnsi="Times New Roman"/>
          <w:color w:val="0000FF"/>
          <w:sz w:val="24"/>
          <w:u w:val="single"/>
          <w:bdr w:val="double" w:sz="2" w:space="1" w:color="000000"/>
        </w:rPr>
        <w:t>a copy of a resolution signed by all the holders of the issued shares in such Subsidiary Borrower and/or by its supervisory board, approving this Agreement and the Notes to be delivered by it, and of all documents evidencing other necessary corporate action and governmental approvals, if any, with respect to this Agreement; 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color w:val="0000FF"/>
          <w:sz w:val="24"/>
          <w:u w:val="single"/>
          <w:bdr w:val="double" w:sz="2" w:space="1" w:color="000000"/>
        </w:rPr>
        <w:t>where required under the Dutch Works Council Act (</w:t>
      </w:r>
      <w:r>
        <w:rPr>
          <w:rFonts w:ascii="Times New Roman" w:hAnsi="Times New Roman"/>
          <w:i/>
          <w:color w:val="0000FF"/>
          <w:sz w:val="24"/>
          <w:u w:val="single"/>
          <w:bdr w:val="double" w:sz="2" w:space="1" w:color="000000"/>
        </w:rPr>
        <w:t>Wet op de ondernemingsraden</w:t>
      </w:r>
      <w:r>
        <w:rPr>
          <w:rFonts w:ascii="Times New Roman" w:hAnsi="Times New Roman"/>
          <w:color w:val="0000FF"/>
          <w:sz w:val="24"/>
          <w:u w:val="single"/>
          <w:bdr w:val="double" w:sz="2" w:space="1" w:color="000000"/>
        </w:rPr>
        <w:t>), a request for advice from the Works Council and the unconditional positive Works Council advice of such Subsidiary Borrower in respect of this Agreement and the Notes to be delivered by it.</w:t>
      </w:r>
      <w:r>
        <w:rPr>
          <w:rFonts w:ascii="Times New Roman" w:hAnsi="Times New Roman"/>
          <w:color w:val="0000FF"/>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trike/>
          <w:color w:val="FF0000"/>
          <w:sz w:val="24"/>
        </w:rPr>
        <w:t xml:space="preserve">(e) </w:t>
      </w:r>
      <w:r>
        <w:rPr>
          <w:rFonts w:ascii="Times New Roman" w:hAnsi="Times New Roman"/>
          <w:sz w:val="24"/>
        </w:rPr>
        <w:t xml:space="preserve">Favorable opinions of counsel (which may be in -house counsel) to such Subsidiary Borrower as to such matters as any Lender through the Administrative Agent may reasonably request.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strike/>
          <w:color w:val="FF0000"/>
          <w:sz w:val="24"/>
        </w:rPr>
        <w:t>(f)</w:t>
      </w:r>
      <w:r>
        <w:rPr>
          <w:rFonts w:ascii="Times New Roman" w:hAnsi="Times New Roman"/>
          <w:sz w:val="24"/>
        </w:rPr>
        <w:t xml:space="preserve"> (i) The Administrative Agent shall have received all documentation and other information regarding such Subsidiary Borrower reasonably requested in connection with applicable “know your customer” and anti -money laundering rules and regulations, including the Patriot Act, to the extent reasonably requested in writing of such Subsidiary Borrower and (ii) to the extent such Subsidiary Borrower qualifies as a “legal entity customer” under the Beneficial Ownership Regulation, any Lender that has requested, in a written notice to such Subsidiary Borrower, a Beneficial Ownership Certification in relation to such Subsidiary Borrower shall have received such Beneficial Ownership Certification. </w:t>
      </w:r>
    </w:p>
    <w:p>
      <w:pPr>
        <w:pStyle w:val="TextBody"/>
        <w:bidi w:val="0"/>
        <w:spacing w:before="240" w:after="0"/>
        <w:jc w:val="both"/>
        <w:rPr>
          <w:rFonts w:ascii="Times New Roman" w:hAnsi="Times New Roman"/>
          <w:sz w:val="24"/>
        </w:rPr>
      </w:pPr>
      <w:r>
        <w:rPr>
          <w:rFonts w:ascii="Times New Roman" w:hAnsi="Times New Roman"/>
          <w:sz w:val="24"/>
        </w:rPr>
        <w:t>(h) </w:t>
      </w:r>
      <w:r>
        <w:rPr>
          <w:rFonts w:ascii="Times New Roman" w:hAnsi="Times New Roman"/>
          <w:strike/>
          <w:color w:val="FF0000"/>
          <w:sz w:val="24"/>
        </w:rPr>
        <w:t xml:space="preserve">(g) </w:t>
      </w:r>
      <w:r>
        <w:rPr>
          <w:rFonts w:ascii="Times New Roman" w:hAnsi="Times New Roman"/>
          <w:sz w:val="24"/>
        </w:rPr>
        <w:t xml:space="preserve">Such other approvals, opinions or documents as any Lender, through the Administrative Agent may reasonably request. </w:t>
      </w:r>
    </w:p>
    <w:p>
      <w:pPr>
        <w:pStyle w:val="TextBody"/>
        <w:bidi w:val="0"/>
        <w:spacing w:before="240" w:after="0"/>
        <w:jc w:val="both"/>
        <w:rPr>
          <w:rFonts w:ascii="Times New Roman" w:hAnsi="Times New Roman"/>
          <w:sz w:val="24"/>
        </w:rPr>
      </w:pPr>
      <w:r>
        <w:rPr>
          <w:rFonts w:ascii="Times New Roman" w:hAnsi="Times New Roman"/>
          <w:sz w:val="24"/>
        </w:rPr>
        <w:t>Section 3.3 </w:t>
      </w:r>
      <w:r>
        <w:rPr>
          <w:rFonts w:ascii="Times New Roman" w:hAnsi="Times New Roman"/>
          <w:sz w:val="24"/>
          <w:u w:val="single"/>
        </w:rPr>
        <w:t>Conditions Precedent to Each Advance (Other than a Certain Funds Advance)</w:t>
      </w:r>
      <w:r>
        <w:rPr>
          <w:rFonts w:ascii="Times New Roman" w:hAnsi="Times New Roman"/>
          <w:sz w:val="24"/>
        </w:rPr>
        <w:t xml:space="preserve">. The obligation of the Lenders to make each Advance </w:t>
      </w:r>
      <w:r>
        <w:rPr>
          <w:rFonts w:ascii="Times New Roman" w:hAnsi="Times New Roman"/>
          <w:color w:val="0000FF"/>
          <w:sz w:val="24"/>
          <w:u w:val="single"/>
          <w:bdr w:val="double" w:sz="2" w:space="1" w:color="000000"/>
        </w:rPr>
        <w:t>(other than a Certain Funds Advance)</w:t>
      </w:r>
      <w:r>
        <w:rPr>
          <w:rFonts w:ascii="Times New Roman" w:hAnsi="Times New Roman"/>
          <w:sz w:val="24"/>
        </w:rPr>
        <w:t xml:space="preserve"> on or after the Effective Date is subject to the fulfillment of each of the following conditions immediately prior to or contemporaneously with such Advance: </w:t>
      </w:r>
    </w:p>
    <w:p>
      <w:pPr>
        <w:pStyle w:val="TextBody"/>
        <w:bidi w:val="0"/>
        <w:spacing w:before="240" w:after="0"/>
        <w:jc w:val="both"/>
        <w:rPr>
          <w:rFonts w:ascii="Times New Roman" w:hAnsi="Times New Roman"/>
          <w:sz w:val="24"/>
        </w:rPr>
      </w:pPr>
      <w:r>
        <w:rPr>
          <w:rFonts w:ascii="Times New Roman" w:hAnsi="Times New Roman"/>
          <w:sz w:val="24"/>
        </w:rPr>
        <w:t xml:space="preserve">(a) (i) all of the representations and warranties of the Company under this Agreement and the other Loan Documents (other than those set forth in Section 4.1(f)(ii) and Section 4.1(i) hereof), which, pursuant to Section 4.2 hereof, are made at and as of the time of such Advance, and additionally, if such Advance shall have been requested by a Subsidiary Borrower, the representations and warranties of such Subsidiary Borrower contained in its Designation Agreement, in each case shall be true and correct at such time in all material respects, except for those representations and warranties that are qualified by materiality or Materially Adverse Effect, which shall be true and correct, both before and after giving effect to the application of the proceeds of such Advance, and after giving effect to any updates to information provided to the Lenders in accordance with the terms of this Agreement except to the extent stated to have been made as of the Effective Date, and (ii) no Default hereunder shall then exist or be caused thereby; </w:t>
      </w:r>
    </w:p>
    <w:p>
      <w:pPr>
        <w:pStyle w:val="TextBody"/>
        <w:bidi w:val="0"/>
        <w:spacing w:before="240" w:after="0"/>
        <w:jc w:val="both"/>
        <w:rPr>
          <w:rFonts w:ascii="Times New Roman" w:hAnsi="Times New Roman"/>
          <w:sz w:val="24"/>
        </w:rPr>
      </w:pPr>
      <w:r>
        <w:rPr>
          <w:rFonts w:ascii="Times New Roman" w:hAnsi="Times New Roman"/>
          <w:sz w:val="24"/>
        </w:rPr>
        <w:t xml:space="preserve">(b) the Administrative Agent shall have received a duly executed Request for Advance for Revolving Loans or, in the case of an Advance of Swingline Loans, the Swingline Lender shall have received a duly executed Swingline Loan Notice for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(c) the incumbency of the Authorized Signatories shall be as stated in the applicable certificate of incumbency contained in the certificate of the Company delivered to the Administrative Agent prior to or on the Effective Date or as subsequently modified and reflected in a certificate of incumbency delivered to the Administrative Agent and the Lenders having a Revolving Loan Commitment; </w:t>
      </w:r>
    </w:p>
    <w:p>
      <w:pPr>
        <w:pStyle w:val="TextBody"/>
        <w:bidi w:val="0"/>
        <w:spacing w:before="240" w:after="0"/>
        <w:jc w:val="both"/>
        <w:rPr>
          <w:rFonts w:ascii="Times New Roman" w:hAnsi="Times New Roman"/>
          <w:sz w:val="24"/>
        </w:rPr>
      </w:pPr>
      <w:r>
        <w:rPr>
          <w:rFonts w:ascii="Times New Roman" w:hAnsi="Times New Roman"/>
          <w:sz w:val="24"/>
        </w:rPr>
        <w:t xml:space="preserve">(d) if such Advance shall have been requested by a Subsidiary Borrower, such Subsidiary Borrower shall not be the subject of any proceeding or action described in Section 8.1(f) or (g); and </w:t>
      </w:r>
    </w:p>
    <w:p>
      <w:pPr>
        <w:pStyle w:val="TextBody"/>
        <w:bidi w:val="0"/>
        <w:spacing w:before="240" w:after="0"/>
        <w:jc w:val="both"/>
        <w:rPr>
          <w:rFonts w:ascii="Times New Roman" w:hAnsi="Times New Roman"/>
          <w:sz w:val="24"/>
        </w:rPr>
      </w:pPr>
      <w:r>
        <w:rPr>
          <w:rFonts w:ascii="Times New Roman" w:hAnsi="Times New Roman"/>
          <w:sz w:val="24"/>
        </w:rPr>
        <w:t xml:space="preserve">(e) if such Advance consists of an Alternative Currency, there shall not have occurred any change in national or international financial, political or economic conditions or currency exchange rates or exchange controls that would make it impracticable for such Advance to be denominated in such Alternative Currency. </w:t>
      </w:r>
    </w:p>
    <w:p>
      <w:pPr>
        <w:pStyle w:val="TextBody"/>
        <w:bidi w:val="0"/>
        <w:spacing w:before="240" w:after="0"/>
        <w:jc w:val="both"/>
        <w:rPr>
          <w:rFonts w:ascii="Times New Roman" w:hAnsi="Times New Roman"/>
          <w:sz w:val="24"/>
        </w:rPr>
      </w:pPr>
      <w:r>
        <w:rPr>
          <w:rFonts w:ascii="Times New Roman" w:hAnsi="Times New Roman"/>
          <w:sz w:val="24"/>
        </w:rPr>
        <w:t>Section 3.4 </w:t>
      </w:r>
      <w:r>
        <w:rPr>
          <w:rFonts w:ascii="Times New Roman" w:hAnsi="Times New Roman"/>
          <w:sz w:val="24"/>
          <w:u w:val="single"/>
        </w:rPr>
        <w:t>Conditions Precedent to Issuance of Letters of Credit</w:t>
      </w:r>
      <w:r>
        <w:rPr>
          <w:rFonts w:ascii="Times New Roman" w:hAnsi="Times New Roman"/>
          <w:sz w:val="24"/>
        </w:rPr>
        <w:t xml:space="preserve">. The obligation of the Issuing Banks to issue any Letter of Credit hereunder is subject to the fulfillment of each of the following conditions immediately prior to or contemporaneously with such issuance: </w:t>
      </w:r>
    </w:p>
    <w:p>
      <w:pPr>
        <w:pStyle w:val="TextBody"/>
        <w:bidi w:val="0"/>
        <w:spacing w:before="240" w:after="0"/>
        <w:jc w:val="both"/>
        <w:rPr>
          <w:rFonts w:ascii="Times New Roman" w:hAnsi="Times New Roman"/>
          <w:sz w:val="24"/>
        </w:rPr>
      </w:pPr>
      <w:r>
        <w:rPr>
          <w:rFonts w:ascii="Times New Roman" w:hAnsi="Times New Roman"/>
          <w:sz w:val="24"/>
        </w:rPr>
        <w:t xml:space="preserve">(a) all of the representations and warranties of the Company under this Agreement (other than those set forth in Section 4.1(i) hereof), which, in accordance with Section 4.2 hereof, are made at and as of the time of an Advance, and additionally, if such Letter of Credit shall have been requested by a Subsidiary Borrower, the representations and warranties of such Subsidiary Borrower contained in its Designation Agreement, in each case shall be true and correct at such time in all material respects, except for those representations and warranties that are qualified by materiality or Materially Adverse Effect, which shall be true and correct, both before and after giving effect to the issuance of such Letter of Credit and after giving effect to any updates to information provided to the Lenders in accordance with the terms of this Agreement except to the extent stated to have been made as of the Effective Date; </w:t>
      </w:r>
    </w:p>
    <w:p>
      <w:pPr>
        <w:pStyle w:val="TextBody"/>
        <w:bidi w:val="0"/>
        <w:spacing w:before="240" w:after="0"/>
        <w:jc w:val="both"/>
        <w:rPr>
          <w:rFonts w:ascii="Times New Roman" w:hAnsi="Times New Roman"/>
          <w:sz w:val="24"/>
        </w:rPr>
      </w:pPr>
      <w:r>
        <w:rPr>
          <w:rFonts w:ascii="Times New Roman" w:hAnsi="Times New Roman"/>
          <w:sz w:val="24"/>
        </w:rPr>
        <w:t xml:space="preserve">(b) the Administrative Agent and the applicable Issuing Bank shall have received a duly executed Letter of Credit Application; </w:t>
      </w:r>
    </w:p>
    <w:p>
      <w:pPr>
        <w:pStyle w:val="TextBody"/>
        <w:bidi w:val="0"/>
        <w:spacing w:before="240" w:after="0"/>
        <w:jc w:val="both"/>
        <w:rPr>
          <w:rFonts w:ascii="Times New Roman" w:hAnsi="Times New Roman"/>
          <w:sz w:val="24"/>
        </w:rPr>
      </w:pPr>
      <w:r>
        <w:rPr>
          <w:rFonts w:ascii="Times New Roman" w:hAnsi="Times New Roman"/>
          <w:sz w:val="24"/>
        </w:rPr>
        <w:t xml:space="preserve">(c) the incumbency of the Authorized Signatories shall be as stated in the applicable certificate of incumbency contained in the certificate of the Company delivered to the Administrative Agent prior to or on the Effective Date or as subsequently modified and reflected in a certificate of incumbency delivered to the Administrative Agent and the Lenders having a Revolving Loan Commitment; </w:t>
      </w:r>
    </w:p>
    <w:p>
      <w:pPr>
        <w:pStyle w:val="TextBody"/>
        <w:bidi w:val="0"/>
        <w:spacing w:before="240" w:after="0"/>
        <w:jc w:val="both"/>
        <w:rPr>
          <w:rFonts w:ascii="Times New Roman" w:hAnsi="Times New Roman"/>
          <w:sz w:val="24"/>
        </w:rPr>
      </w:pPr>
      <w:r>
        <w:rPr>
          <w:rFonts w:ascii="Times New Roman" w:hAnsi="Times New Roman"/>
          <w:sz w:val="24"/>
        </w:rPr>
        <w:t xml:space="preserve">(d) there shall not exist, on the date of the issuance of such Letter of Credit and after giving effect thereto, a Default or an Event of Default hereunder; and </w:t>
      </w:r>
    </w:p>
    <w:p>
      <w:pPr>
        <w:pStyle w:val="TextBody"/>
        <w:bidi w:val="0"/>
        <w:spacing w:before="240" w:after="0"/>
        <w:jc w:val="both"/>
        <w:rPr>
          <w:rFonts w:ascii="Times New Roman" w:hAnsi="Times New Roman"/>
          <w:sz w:val="24"/>
        </w:rPr>
      </w:pPr>
      <w:r>
        <w:rPr>
          <w:rFonts w:ascii="Times New Roman" w:hAnsi="Times New Roman"/>
          <w:sz w:val="24"/>
        </w:rPr>
        <w:t xml:space="preserve">(e) if such Letter of Credit shall have been requested by a Subsidiary Borrower, such Subsidiary Borrower shall not be the subject of any proceeding or action described in Section 8.1(f) or (g). </w:t>
      </w:r>
    </w:p>
    <w:p>
      <w:pPr>
        <w:pStyle w:val="TextBody"/>
        <w:bidi w:val="0"/>
        <w:spacing w:before="240" w:after="0"/>
        <w:jc w:val="both"/>
        <w:rPr>
          <w:rFonts w:ascii="Times New Roman" w:hAnsi="Times New Roman"/>
          <w:sz w:val="24"/>
        </w:rPr>
      </w:pPr>
      <w:r>
        <w:rPr>
          <w:rFonts w:ascii="Times New Roman" w:hAnsi="Times New Roman"/>
          <w:sz w:val="24"/>
        </w:rPr>
        <w:t>Section 3.5 </w:t>
      </w:r>
      <w:r>
        <w:rPr>
          <w:rFonts w:ascii="Times New Roman" w:hAnsi="Times New Roman"/>
          <w:sz w:val="24"/>
          <w:u w:val="single"/>
        </w:rPr>
        <w:t>Conditions Precedent to Certain Funds Advance</w:t>
      </w:r>
      <w:r>
        <w:rPr>
          <w:rFonts w:ascii="Times New Roman" w:hAnsi="Times New Roman"/>
          <w:color w:val="0000FF"/>
          <w:sz w:val="24"/>
          <w:u w:val="single"/>
          <w:bdr w:val="double" w:sz="2" w:space="1" w:color="000000"/>
        </w:rPr>
        <w:t>. The obligation of the Lenders to make a Certain Funds Advance during the Certain Funds Period is subject to the</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color w:val="0000FF"/>
          <w:sz w:val="24"/>
          <w:u w:val="single"/>
          <w:bdr w:val="double" w:sz="2" w:space="1" w:color="000000"/>
        </w:rPr>
        <w:t>fulfillment of each of the following conditions immediately prior to or contemporaneously with such Certain Funds Advance: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color w:val="0000FF"/>
          <w:sz w:val="24"/>
          <w:u w:val="single"/>
          <w:bdr w:val="double" w:sz="2" w:space="1" w:color="000000"/>
        </w:rPr>
        <w:t>The Effective Date shall have occurred.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color w:val="0000FF"/>
          <w:sz w:val="24"/>
          <w:u w:val="single"/>
          <w:bdr w:val="double" w:sz="2" w:space="1" w:color="000000"/>
        </w:rPr>
        <w:t>The applicable Certain Funds Acquisition shall have been consummated, or substantially concurrently with the funding hereunder shall be consummated;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color w:val="0000FF"/>
          <w:sz w:val="24"/>
          <w:u w:val="single"/>
          <w:bdr w:val="double" w:sz="2" w:space="1" w:color="000000"/>
        </w:rPr>
        <w:t>After giving effect to the Certain Funds Acquisition, no Event of Default shall have occurred and be continuing under Section 8.1(b), (f) or (g).</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color w:val="0000FF"/>
          <w:sz w:val="24"/>
          <w:u w:val="single"/>
          <w:bdr w:val="double" w:sz="2" w:space="1" w:color="000000"/>
        </w:rPr>
        <w:t>The Specified Representations shall be true and correct in all material respects.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color w:val="0000FF"/>
          <w:sz w:val="24"/>
          <w:u w:val="single"/>
          <w:bdr w:val="double" w:sz="2" w:space="1" w:color="000000"/>
        </w:rPr>
        <w:t>The Specified Acquisition Agreement Representations shall be true and correct in all material respects on the Closing Date (unless such representations relate to an earlier date, in which case, such representations shall have been true and correct in all material respects as of such earlier date).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color w:val="0000FF"/>
          <w:sz w:val="24"/>
          <w:u w:val="single"/>
          <w:bdr w:val="double" w:sz="2" w:space="1" w:color="000000"/>
        </w:rPr>
        <w:t>The Administrative Agent shall have received in accordance with the provisions of Section 2.2 a duly executed Request for Advance for Revolving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color w:val="0000FF"/>
          <w:sz w:val="24"/>
          <w:u w:val="single"/>
          <w:bdr w:val="double" w:sz="2" w:space="1" w:color="000000"/>
        </w:rPr>
        <w:t>The Administrative Agent shall have received a solvency certificate in substantially the form of Exhibit B.</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(h) </w:t>
      </w:r>
      <w:r>
        <w:rPr>
          <w:rFonts w:ascii="Times New Roman" w:hAnsi="Times New Roman"/>
          <w:color w:val="0000FF"/>
          <w:sz w:val="24"/>
          <w:u w:val="single"/>
          <w:bdr w:val="double" w:sz="2" w:space="1" w:color="000000"/>
        </w:rPr>
        <w:t>To the extent (i) received by the Company pursuant to the definitive agreement for such Certain Funds Acquisition and (ii) required to be filed by the Company pursuant to Rule 3-05 of Regulation S-X, the Administrative Agent shall have received any Target Financials so received by the Company; provided that financial statements required to be delivered pursuant to this clause (h) shall be deemed to have been delivered on the date on which reports containing such financial statements are made publicly available on the Securities and Exchange Commission’s EDGAR database.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color w:val="0000FF"/>
          <w:sz w:val="24"/>
          <w:u w:val="single"/>
          <w:bdr w:val="double" w:sz="2" w:space="1" w:color="000000"/>
        </w:rPr>
        <w:t>All fees and expenses required to be paid in connection with this Agreement to the Administrative Agent, the Joint Lead Arrangers, the Issuing Banks and the Lenders, to the extent invoiced at least two business days prior to the Closing Date, shall have been (or shall be simultaneously) paid in full.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color w:val="0000FF"/>
          <w:sz w:val="24"/>
          <w:u w:val="single"/>
          <w:bdr w:val="double" w:sz="2" w:space="1" w:color="000000"/>
        </w:rPr>
        <w:t>Each submission by the Company to the Administrative Agent of a Request for Advance for Revolving Loans with respect to a Certain Funds Advance and the acceptance by the Company of the proceeds of each such Certain Funds Advance made hereunder shall constitute a representation and warranty by the Company as of the Closing Date in respect of such Certain Funds Advance that the conditions contained in this Section 3.5 have been satisfied.</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4 - REPRESENTATIONS AND WARRANTIES </w:t>
      </w:r>
    </w:p>
    <w:p>
      <w:pPr>
        <w:pStyle w:val="TextBody"/>
        <w:bidi w:val="0"/>
        <w:spacing w:before="240" w:after="0"/>
        <w:jc w:val="both"/>
        <w:rPr>
          <w:rFonts w:ascii="Times New Roman" w:hAnsi="Times New Roman"/>
          <w:sz w:val="24"/>
        </w:rPr>
      </w:pPr>
      <w:r>
        <w:rPr>
          <w:rFonts w:ascii="Times New Roman" w:hAnsi="Times New Roman"/>
          <w:sz w:val="24"/>
        </w:rPr>
        <w:t>Section 4.1 </w:t>
      </w:r>
      <w:r>
        <w:rPr>
          <w:rFonts w:ascii="Times New Roman" w:hAnsi="Times New Roman"/>
          <w:sz w:val="24"/>
          <w:u w:val="single"/>
        </w:rPr>
        <w:t>Representations and Warranties</w:t>
      </w:r>
      <w:r>
        <w:rPr>
          <w:rFonts w:ascii="Times New Roman" w:hAnsi="Times New Roman"/>
          <w:sz w:val="24"/>
        </w:rPr>
        <w:t xml:space="preserve">. The Company hereby represents and warrants in favor of the Administrative Agent and each Lender on the Effective Date and each other date as set forth in Article 3 that: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Organization; Ownership; Power; Qualification</w:t>
      </w:r>
      <w:r>
        <w:rPr>
          <w:rFonts w:ascii="Times New Roman" w:hAnsi="Times New Roman"/>
          <w:sz w:val="24"/>
        </w:rPr>
        <w:t xml:space="preserve">. The Company is a corporation duly organized, validly existing and in good standing under the laws of its jurisdiction of incorporation. The Company has the power and authority to own its properties and to carry on its business as now being and as proposed hereafter to be conducted. The Subsidiaries of the Company and the direct and indirect ownership thereof as of the Effective Date are as set forth on </w:t>
      </w:r>
      <w:r>
        <w:rPr>
          <w:rFonts w:ascii="Times New Roman" w:hAnsi="Times New Roman"/>
          <w:sz w:val="24"/>
          <w:u w:val="single"/>
        </w:rPr>
        <w:t>Schedule 4</w:t>
      </w:r>
      <w:r>
        <w:rPr>
          <w:rFonts w:ascii="Times New Roman" w:hAnsi="Times New Roman"/>
          <w:sz w:val="24"/>
        </w:rPr>
        <w:t xml:space="preserve"> attached hereto. As of the Effective Date and except as would not reasonably be expected to have a Materially Adverse Effect, each Subsidiary of the Company is a corporation, limited liability company, limited partnership or other legal entity duly organized or formed, validly existing and in good standing under the laws of the jurisdiction of its incorporation or formation and has the power and authority to own its properties and to carry on its business as now being and as proposed hereafter to be conducted.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Authorization; Enforceability</w:t>
      </w:r>
      <w:r>
        <w:rPr>
          <w:rFonts w:ascii="Times New Roman" w:hAnsi="Times New Roman"/>
          <w:sz w:val="24"/>
        </w:rPr>
        <w:t xml:space="preserve">. The Company has the corporate power, and has taken all necessary action, to authorize it to borrow hereunder, to execute, deliver and perform this Agreement and each of the other Loan Documents to which it is a party in accordance with their respective terms, and to consummate the transactions contemplated hereby and thereby. This Agreement has been duly executed and delivered by the Company and is, and each of the other Loan Documents to which the Company is party is, a legal, valid and binding obligation of the Company and enforceable against the Company in accordance with its terms, subject to applicable bankruptcy, insolvency, fraudulent conveyance, reorganization, moratorium and similar laws affecting creditors’ rights and remedies generally and subject, as to enforceability, to general principles of equity.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Compliance with Other Loan Documents and Contemplated Transactions</w:t>
      </w:r>
      <w:r>
        <w:rPr>
          <w:rFonts w:ascii="Times New Roman" w:hAnsi="Times New Roman"/>
          <w:sz w:val="24"/>
        </w:rPr>
        <w:t xml:space="preserve">. The execution, delivery and performance, in accordance with their respective terms, by the Company of this Agreement, the Notes, and each of the other Loan Documents, and the consummation of the transactions contemplated hereby and thereby, do not (i) require any consent or approval, governmental or otherwise, not already obtained, (ii) violate any Applicable Law respecting the Company, (iii) conflict with, result in a breach of, or constitute a default under the articles of incorporation or by-laws, as amended, of the Company, or under any indenture, agreement, or other instrument, including without limitation the Licenses, to which the Company is a party or by which the Company or its respective properties is bound that is material to the Company and its Subsidiaries on a consolidated basis or (iv) result in or require the creation or imposition of any Lien upon or with respect to any property now owned or hereafter acquired by the Company or any of the Material Subsidiaries, except for Liens permitted pursuant to Section 7.2 hereof.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Compliance with Law</w:t>
      </w:r>
      <w:r>
        <w:rPr>
          <w:rFonts w:ascii="Times New Roman" w:hAnsi="Times New Roman"/>
          <w:sz w:val="24"/>
        </w:rPr>
        <w:t xml:space="preserve">. The Company and its Subsidiaries are in compliance with all Applicable Law, except where the failure to be in compliance therewith would not individually or in the aggregate have a Materially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(e) </w:t>
      </w:r>
      <w:r>
        <w:rPr>
          <w:rFonts w:ascii="Times New Roman" w:hAnsi="Times New Roman"/>
          <w:sz w:val="24"/>
          <w:u w:val="single"/>
        </w:rPr>
        <w:t>Title to Assets</w:t>
      </w:r>
      <w:r>
        <w:rPr>
          <w:rFonts w:ascii="Times New Roman" w:hAnsi="Times New Roman"/>
          <w:sz w:val="24"/>
        </w:rPr>
        <w:t xml:space="preserve">. As of the Effective Date, the Company and its Subsidiaries have good title to, or a valid leasehold interest in, all of their respective assets, except for such exceptions as would not reasonably be expected to have, individually or in the aggregate, a Materially Adverse Effect. None of the properties or assets of the Company or any Material Subsidiary is subject to any Liens, except for Liens permitted pursuant to Section 7.2 hereof.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Litigation</w:t>
      </w:r>
      <w:r>
        <w:rPr>
          <w:rFonts w:ascii="Times New Roman" w:hAnsi="Times New Roman"/>
          <w:sz w:val="24"/>
        </w:rPr>
        <w:t xml:space="preserve">. There is no action, suit, proceeding or investigation pending against, or, to the knowledge of the Company, threatened against the Company or any of its Subsidiaries or any of their respective properties, including without limitation the Licenses, in any court or before any arbitrator of any kind or before or by any governmental body (including, without limitation, the FCC) that (i) calls into question the validity of this Agreement or any other Loan Document or (ii) as of the Effective Date, would reasonably be expected to have a Materially Adverse Effect, other than as may be disclosed in the public filings of the Company with the Securities and Exchange Commission prior to the Effective Date.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sz w:val="24"/>
          <w:u w:val="single"/>
        </w:rPr>
        <w:t>Taxes</w:t>
      </w:r>
      <w:r>
        <w:rPr>
          <w:rFonts w:ascii="Times New Roman" w:hAnsi="Times New Roman"/>
          <w:sz w:val="24"/>
        </w:rPr>
        <w:t xml:space="preserve">. All Federal income, other material Federal and material state and other tax returns of the Company and its Material Subsidiaries required by law to be filed have been duly filed and all Federal income, other material Federal and material state and other taxes, including, without limitation, withholding taxes, assessments and other governmental charges or levies required to be paid by the Company or any of its Subsidiaries or imposed upon the Company or any of its Subsidiaries or any of their respective properties, income, profits or assets, which are due and payable, have been paid, except any such taxes (i) (x) the payment of which the Company or any of its Subsidiaries is diligently contesting in good faith by appropriate proceedings, (y) for which adequate reserves in accordance with GAAP have been provided on the books of such Person, and (z) as to which no Lien other than a Lien permitted pursuant to Section 7.2 hereof has attached, or (ii) which may result from audits not yet conducted, or (iii) as to which the failure to pay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(h) </w:t>
      </w:r>
      <w:r>
        <w:rPr>
          <w:rFonts w:ascii="Times New Roman" w:hAnsi="Times New Roman"/>
          <w:sz w:val="24"/>
          <w:u w:val="single"/>
        </w:rPr>
        <w:t>Financial Statements</w:t>
      </w:r>
      <w:r>
        <w:rPr>
          <w:rFonts w:ascii="Times New Roman" w:hAnsi="Times New Roman"/>
          <w:sz w:val="24"/>
        </w:rPr>
        <w:t xml:space="preserve">. As of the Effective Date, the Company has furnished or caused to be furnished to the Administrative Agent the audited financial statements for the Company and its Subsidiaries on a consolidated basis for the fiscal year ended December 31, 2020, and the consolidated balance sheet of the Company and its Subsidiaries as at September 30, 2021, and the related consolidated statements of income and cash flows of the Company and its Subsidiaries for the nine months then ended, duly certified by the chief financial officer of the Company, all of which have been prepared in accordance with GAAP and present fairly, subject, in the case of said balance sheet as at September 30, 2021, and said statements of income and cash flows for the nine months then ended, to year-end audit adjustments and the absence of footnotes, in all material respects the financial position of the Company and its Subsidiaries on a consolidated basis, on and as at such dates and the results of operations for the periods then ended. As of the Effective Date, none of the Company or its Subsidiaries has any liabilities, contingent or otherwise, that are material to the Company and its Subsidiaries on a consolidated basis other than as disclosed in the financial statements referred to in the preceding sentence or in the reports filed by the Company with the Securities and Exchange Commission prior to the Effective Date or the Obligations.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No Material Adverse Change</w:t>
      </w:r>
      <w:r>
        <w:rPr>
          <w:rFonts w:ascii="Times New Roman" w:hAnsi="Times New Roman"/>
          <w:sz w:val="24"/>
        </w:rPr>
        <w:t xml:space="preserve">. Other than as may be disclosed in the public filings of the Company with the Securities and Exchange Commission prior to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there has occurred no event since December 31, 2022 which has had or which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sz w:val="24"/>
          <w:u w:val="single"/>
        </w:rPr>
        <w:t>ERISA</w:t>
      </w:r>
      <w:r>
        <w:rPr>
          <w:rFonts w:ascii="Times New Roman" w:hAnsi="Times New Roman"/>
          <w:sz w:val="24"/>
        </w:rPr>
        <w:t xml:space="preserve">. The Company and its Subsidiaries and, to the best of their knowledge, their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reasonably be expected to result in a Materially Adverse Effect. </w:t>
      </w:r>
    </w:p>
    <w:p>
      <w:pPr>
        <w:pStyle w:val="TextBody"/>
        <w:bidi w:val="0"/>
        <w:spacing w:before="240" w:after="0"/>
        <w:jc w:val="both"/>
        <w:rPr>
          <w:rFonts w:ascii="Times New Roman" w:hAnsi="Times New Roman"/>
          <w:sz w:val="24"/>
        </w:rPr>
      </w:pPr>
      <w:r>
        <w:rPr>
          <w:rFonts w:ascii="Times New Roman" w:hAnsi="Times New Roman"/>
          <w:sz w:val="24"/>
        </w:rPr>
        <w:t>(k) </w:t>
      </w:r>
      <w:r>
        <w:rPr>
          <w:rFonts w:ascii="Times New Roman" w:hAnsi="Times New Roman"/>
          <w:sz w:val="24"/>
          <w:u w:val="single"/>
        </w:rPr>
        <w:t>Compliance with Regulations U and X</w:t>
      </w:r>
      <w:r>
        <w:rPr>
          <w:rFonts w:ascii="Times New Roman" w:hAnsi="Times New Roman"/>
          <w:sz w:val="24"/>
        </w:rPr>
        <w:t>. The Company does not own or presently intend to own an amount of “margin stock” as defined in Regulations U and X (12 C.F.R. Parts 221 and 224) of the Board (“</w:t>
      </w:r>
      <w:r>
        <w:rPr>
          <w:rFonts w:ascii="Times New Roman" w:hAnsi="Times New Roman"/>
          <w:sz w:val="24"/>
          <w:u w:val="single"/>
        </w:rPr>
        <w:t>margin stock</w:t>
      </w:r>
      <w:r>
        <w:rPr>
          <w:rFonts w:ascii="Times New Roman" w:hAnsi="Times New Roman"/>
          <w:sz w:val="24"/>
        </w:rPr>
        <w:t xml:space="preserve">”) representing twenty-five percent (25%) or more of the total assets of the Company, as measured on both a consolidated and unconsolidated basis. Neither the making of the Loans nor the use of proceeds thereof will violate, or be inconsistent with, the provisions of any of the above-mentioned regulations. </w:t>
      </w:r>
    </w:p>
    <w:p>
      <w:pPr>
        <w:pStyle w:val="TextBody"/>
        <w:bidi w:val="0"/>
        <w:spacing w:before="240" w:after="0"/>
        <w:jc w:val="both"/>
        <w:rPr>
          <w:rFonts w:ascii="Times New Roman" w:hAnsi="Times New Roman"/>
          <w:sz w:val="24"/>
        </w:rPr>
      </w:pPr>
      <w:r>
        <w:rPr>
          <w:rFonts w:ascii="Times New Roman" w:hAnsi="Times New Roman"/>
          <w:sz w:val="24"/>
        </w:rPr>
        <w:t>(l) </w:t>
      </w:r>
      <w:r>
        <w:rPr>
          <w:rFonts w:ascii="Times New Roman" w:hAnsi="Times New Roman"/>
          <w:sz w:val="24"/>
          <w:u w:val="single"/>
        </w:rPr>
        <w:t>Investment Company Act</w:t>
      </w:r>
      <w:r>
        <w:rPr>
          <w:rFonts w:ascii="Times New Roman" w:hAnsi="Times New Roman"/>
          <w:sz w:val="24"/>
        </w:rPr>
        <w:t xml:space="preserve">. The Company is not required to register under the provisions of the Investment Company Act of 1940, as amended. </w:t>
      </w:r>
    </w:p>
    <w:p>
      <w:pPr>
        <w:pStyle w:val="TextBody"/>
        <w:bidi w:val="0"/>
        <w:spacing w:before="240" w:after="0"/>
        <w:jc w:val="both"/>
        <w:rPr>
          <w:rFonts w:ascii="Times New Roman" w:hAnsi="Times New Roman"/>
          <w:sz w:val="24"/>
        </w:rPr>
      </w:pPr>
      <w:r>
        <w:rPr>
          <w:rFonts w:ascii="Times New Roman" w:hAnsi="Times New Roman"/>
          <w:sz w:val="24"/>
        </w:rPr>
        <w:t>(m) </w:t>
      </w:r>
      <w:r>
        <w:rPr>
          <w:rFonts w:ascii="Times New Roman" w:hAnsi="Times New Roman"/>
          <w:sz w:val="24"/>
          <w:u w:val="single"/>
        </w:rPr>
        <w:t>Solvency</w:t>
      </w:r>
      <w:r>
        <w:rPr>
          <w:rFonts w:ascii="Times New Roman" w:hAnsi="Times New Roman"/>
          <w:sz w:val="24"/>
        </w:rPr>
        <w:t xml:space="preserve">. As of the Effective Date and after giving effect to the transactions contemplated by the Loan Documents, (i) the assets and property of the Company and its Subsidiaries on a consolidated basis, at a fair valuation, will exceed the total amount of liabilities, including contingent liabilities of the Company and its Subsidiaries on a consolidated basis; (ii) the capital of the Company and its Subsidiaries on a consolidated basis will not be unreasonably small to conduct its business as such business is now conducted and expected to be conducted following the Effective Date; (iii) the Company and its Subsidiaries on a consolidated basis will not have incurred debts, or have intended to incur debts, beyond their ability to pay such debts as they mature; and (iv) the present fair salable value of the assets and property of the Company and its Subsidiaries on a consolidated basis will be greater than the amount that will be required to pay their probable liabilities (including debts) as they become absolute and matured. For purposes of this Section, the amount of contingent liabilities at any time will be computed as the amount that, in light of all the facts and circumstances existing as such time, can reasonably be expected to become an actual or matured liability. </w:t>
      </w:r>
    </w:p>
    <w:p>
      <w:pPr>
        <w:pStyle w:val="TextBody"/>
        <w:bidi w:val="0"/>
        <w:spacing w:before="240" w:after="0"/>
        <w:jc w:val="both"/>
        <w:rPr>
          <w:rFonts w:ascii="Times New Roman" w:hAnsi="Times New Roman"/>
          <w:sz w:val="24"/>
        </w:rPr>
      </w:pPr>
      <w:r>
        <w:rPr>
          <w:rFonts w:ascii="Times New Roman" w:hAnsi="Times New Roman"/>
          <w:sz w:val="24"/>
        </w:rPr>
        <w:t>(n) </w:t>
      </w:r>
      <w:r>
        <w:rPr>
          <w:rFonts w:ascii="Times New Roman" w:hAnsi="Times New Roman"/>
          <w:sz w:val="24"/>
          <w:u w:val="single"/>
        </w:rPr>
        <w:t>Designated Persons; Sanctions Laws and Regulations</w:t>
      </w:r>
      <w:r>
        <w:rPr>
          <w:rFonts w:ascii="Times New Roman" w:hAnsi="Times New Roman"/>
          <w:sz w:val="24"/>
        </w:rPr>
        <w:t>. Neither the Company nor any of its Subsidiaries nor, to the knowledge of the Company, any of their respective directors or officers is a Designated Person. The Company, its Subsidiaries and their respective officers and employees and to the knowledge of the Company, its directors, are in compliance with Anti -Corruption Laws and applicable Sanctions Laws and Regulations, in each case, in all material respects</w:t>
      </w:r>
      <w:r>
        <w:rPr>
          <w:rFonts w:ascii="Times New Roman" w:hAnsi="Times New Roman"/>
          <w:strike/>
          <w:color w:val="FF0000"/>
          <w:sz w:val="24"/>
        </w:rPr>
        <w:t>.</w:t>
      </w:r>
      <w:r>
        <w:rPr>
          <w:rFonts w:ascii="Times New Roman" w:hAnsi="Times New Roman"/>
          <w:color w:val="0000FF"/>
          <w:sz w:val="24"/>
          <w:u w:val="single"/>
          <w:bdr w:val="double" w:sz="2" w:space="1" w:color="000000"/>
        </w:rPr>
        <w:t>; provided that this Section 4.1(n) shall not apply to any party hereto to the extent that such application would result in a violation of, or conflict with, Council Regulation (EC) 2271/96 (as amended from time to time) or any similar applicable anti -boycott or blocking law or regulation, or would be unenforceable by reason of Council Regulation (EC) 2271/96 or any such similar applicable law or regulation.</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(o) </w:t>
      </w:r>
      <w:r>
        <w:rPr>
          <w:rFonts w:ascii="Times New Roman" w:hAnsi="Times New Roman"/>
          <w:sz w:val="24"/>
          <w:u w:val="single"/>
        </w:rPr>
        <w:t>Beneficial Ownership Certifications</w:t>
      </w:r>
      <w:r>
        <w:rPr>
          <w:rFonts w:ascii="Times New Roman" w:hAnsi="Times New Roman"/>
          <w:sz w:val="24"/>
        </w:rPr>
        <w:t xml:space="preserve">. As of the date so delivered, to the best knowledge of the applicable Borrower, the information included in the Beneficial Ownership Certification, if any, provided by such Borrower to any Lender in connection with this Agreement is true and correct in all respects. </w:t>
      </w:r>
    </w:p>
    <w:p>
      <w:pPr>
        <w:pStyle w:val="TextBody"/>
        <w:bidi w:val="0"/>
        <w:spacing w:before="240" w:after="0"/>
        <w:jc w:val="both"/>
        <w:rPr>
          <w:rFonts w:ascii="Times New Roman" w:hAnsi="Times New Roman"/>
          <w:sz w:val="24"/>
        </w:rPr>
      </w:pPr>
      <w:r>
        <w:rPr>
          <w:rFonts w:ascii="Times New Roman" w:hAnsi="Times New Roman"/>
          <w:sz w:val="24"/>
        </w:rPr>
        <w:t>Section 4.2 </w:t>
      </w:r>
      <w:r>
        <w:rPr>
          <w:rFonts w:ascii="Times New Roman" w:hAnsi="Times New Roman"/>
          <w:sz w:val="24"/>
          <w:u w:val="single"/>
        </w:rPr>
        <w:t>Survival of Representations and Warranties, Etc</w:t>
      </w:r>
      <w:r>
        <w:rPr>
          <w:rFonts w:ascii="Times New Roman" w:hAnsi="Times New Roman"/>
          <w:sz w:val="24"/>
        </w:rPr>
        <w:t xml:space="preserve">. All representations and warranties made under this Agreement and any other Loan Document (other than those set forth in Section 4.1(f)(ii) hereof and Section 4.1(i) hereof) shall be deemed to be made, and shall be true and correct in all material respects, except for those representations and warranties that are qualified by materiality or Materially Adverse Effect, which shall be true and correct, at and as of the Effective Date and on the date the making of each Advance or the issuance of a Letter of Credit, except to the extent stated to have been made as of the Effective Date. All representations and warranties made under this Agreement and the other Loan Documents shall survive, and not be waived by, the execution hereof by the Lenders and the Administrative Agent, any investigation or inquiry by any Lender or the Administrative Agent, or the making of any Advance under this Agreement. </w:t>
      </w:r>
    </w:p>
    <w:p>
      <w:pPr>
        <w:pStyle w:val="TextBody"/>
        <w:bidi w:val="0"/>
        <w:spacing w:before="240" w:after="0"/>
        <w:jc w:val="center"/>
        <w:rPr>
          <w:rFonts w:ascii="Times New Roman" w:hAnsi="Times New Roman"/>
          <w:sz w:val="24"/>
        </w:rPr>
      </w:pPr>
      <w:r>
        <w:rPr>
          <w:rFonts w:ascii="Times New Roman" w:hAnsi="Times New Roman"/>
          <w:sz w:val="24"/>
        </w:rPr>
        <w:t xml:space="preserve">ARTICLE 5 - GENERAL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or the Lenders have an obligation to fund Advances hereunder or any Issuing Bank has an obligation to issue Letters of Credit hereunder (in each case, whether or not the conditions to borrowing or issuing a Letter of Credit, as applicable, have been or can be fulfilled): </w:t>
      </w:r>
    </w:p>
    <w:p>
      <w:pPr>
        <w:pStyle w:val="TextBody"/>
        <w:bidi w:val="0"/>
        <w:spacing w:before="240" w:after="0"/>
        <w:jc w:val="both"/>
        <w:rPr>
          <w:rFonts w:ascii="Times New Roman" w:hAnsi="Times New Roman"/>
          <w:sz w:val="24"/>
        </w:rPr>
      </w:pPr>
      <w:r>
        <w:rPr>
          <w:rFonts w:ascii="Times New Roman" w:hAnsi="Times New Roman"/>
          <w:sz w:val="24"/>
        </w:rPr>
        <w:t>Section 5.1 </w:t>
      </w:r>
      <w:r>
        <w:rPr>
          <w:rFonts w:ascii="Times New Roman" w:hAnsi="Times New Roman"/>
          <w:sz w:val="24"/>
          <w:u w:val="single"/>
        </w:rPr>
        <w:t>Preservation of Existence and Similar Matters</w:t>
      </w:r>
      <w:r>
        <w:rPr>
          <w:rFonts w:ascii="Times New Roman" w:hAnsi="Times New Roman"/>
          <w:sz w:val="24"/>
        </w:rPr>
        <w:t xml:space="preserve">. Except as permitted under Section 7.3 hereof or to the extent required for the Company or any of its Subsidiaries to maintain its status as a REIT, the Company will, and will cause each of its Subsidiaries to, preserve and maintain its existence, and its material rights, franchises, licenses and privileges in the jurisdiction of its incorporation or formation, including, without limitation, the Licenses and all other Necessary Authorizations, except where the failure to do so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5.2 </w:t>
      </w:r>
      <w:r>
        <w:rPr>
          <w:rFonts w:ascii="Times New Roman" w:hAnsi="Times New Roman"/>
          <w:sz w:val="24"/>
          <w:u w:val="single"/>
        </w:rPr>
        <w:t>Compliance with Applicable Law</w:t>
      </w:r>
      <w:r>
        <w:rPr>
          <w:rFonts w:ascii="Times New Roman" w:hAnsi="Times New Roman"/>
          <w:sz w:val="24"/>
        </w:rPr>
        <w:t xml:space="preserve">. The Company will, and will cause each of its Subsidiaries to comply in all respects with the requirements of all Applicable Law, except when the failure to comply therewith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5.3 </w:t>
      </w:r>
      <w:r>
        <w:rPr>
          <w:rFonts w:ascii="Times New Roman" w:hAnsi="Times New Roman"/>
          <w:sz w:val="24"/>
          <w:u w:val="single"/>
        </w:rPr>
        <w:t>Maintenance of Properties</w:t>
      </w:r>
      <w:r>
        <w:rPr>
          <w:rFonts w:ascii="Times New Roman" w:hAnsi="Times New Roman"/>
          <w:sz w:val="24"/>
        </w:rPr>
        <w:t xml:space="preserve">. The Company will, and will cause each of its Subsidiaries to, maintain or cause to be maintained in the ordinary course of business in good repair, working order and condition (reasonable wear and tear excepted) all properties then used or useful in their respective businesses (whether owned or held under lease) that, individually or in the aggregate, are material to the conduct of the business of the Company and its Subsidiaries on a consolidated basis, except where the failure to maintain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5.4 </w:t>
      </w:r>
      <w:r>
        <w:rPr>
          <w:rFonts w:ascii="Times New Roman" w:hAnsi="Times New Roman"/>
          <w:sz w:val="24"/>
          <w:u w:val="single"/>
        </w:rPr>
        <w:t>Accounting Methods and Financial Records</w:t>
      </w:r>
      <w:r>
        <w:rPr>
          <w:rFonts w:ascii="Times New Roman" w:hAnsi="Times New Roman"/>
          <w:sz w:val="24"/>
        </w:rPr>
        <w:t xml:space="preserve">. The Company will, and will cause each of its Subsidiaries on a consolidated and consolidating basis to, maintain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system of accounting established and administered in accordance with generally accepted accounting principles, keep adequate records and books of account in which complete entries will be made in accordance with generally accepted accounting principles and reflecting all transactions required to be reflected by generally accepted accounting principles, and keep accurate and complete records of their respective properties and assets. </w:t>
      </w:r>
    </w:p>
    <w:p>
      <w:pPr>
        <w:pStyle w:val="TextBody"/>
        <w:bidi w:val="0"/>
        <w:spacing w:before="240" w:after="0"/>
        <w:jc w:val="both"/>
        <w:rPr>
          <w:rFonts w:ascii="Times New Roman" w:hAnsi="Times New Roman"/>
          <w:sz w:val="24"/>
        </w:rPr>
      </w:pPr>
      <w:r>
        <w:rPr>
          <w:rFonts w:ascii="Times New Roman" w:hAnsi="Times New Roman"/>
          <w:sz w:val="24"/>
        </w:rPr>
        <w:t>Section 5.5 </w:t>
      </w:r>
      <w:r>
        <w:rPr>
          <w:rFonts w:ascii="Times New Roman" w:hAnsi="Times New Roman"/>
          <w:sz w:val="24"/>
          <w:u w:val="single"/>
        </w:rPr>
        <w:t>Insurance</w:t>
      </w:r>
      <w:r>
        <w:rPr>
          <w:rFonts w:ascii="Times New Roman" w:hAnsi="Times New Roman"/>
          <w:sz w:val="24"/>
        </w:rPr>
        <w:t xml:space="preserve">. The Company will, and will cause each Material Subsidiary to, maintain insurance (including self-insurance) with respect to its properties and business that are material to the conduct of the business of the Company and its Subsidiaries on a consolidated basis from responsible companies in such amounts and against such risks as are customary for companies engaged in the same or similar business, with all premiums thereon to be paid by the Company and the Material Subsidiaries. </w:t>
      </w:r>
    </w:p>
    <w:p>
      <w:pPr>
        <w:pStyle w:val="TextBody"/>
        <w:bidi w:val="0"/>
        <w:spacing w:before="240" w:after="0"/>
        <w:jc w:val="both"/>
        <w:rPr>
          <w:rFonts w:ascii="Times New Roman" w:hAnsi="Times New Roman"/>
          <w:sz w:val="24"/>
        </w:rPr>
      </w:pPr>
      <w:r>
        <w:rPr>
          <w:rFonts w:ascii="Times New Roman" w:hAnsi="Times New Roman"/>
          <w:sz w:val="24"/>
        </w:rPr>
        <w:t>Section 5.6 </w:t>
      </w:r>
      <w:r>
        <w:rPr>
          <w:rFonts w:ascii="Times New Roman" w:hAnsi="Times New Roman"/>
          <w:sz w:val="24"/>
          <w:u w:val="single"/>
        </w:rPr>
        <w:t>Payment of Taxes and Claims</w:t>
      </w:r>
      <w:r>
        <w:rPr>
          <w:rFonts w:ascii="Times New Roman" w:hAnsi="Times New Roman"/>
          <w:sz w:val="24"/>
        </w:rPr>
        <w:t xml:space="preserve">. The Company will, and will cause each of its Subsidiaries to, pay and discharge all Federal income, other material Federal and material state and other material taxes required to be paid by them or imposed upon them or their income or profits or upon any properties belonging to them, prior to the date on which penalties attach thereto, which, if unpaid, might become a Lien or charge upon any of their properties (other than Liens permitted pursuant to Section 7.2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such tax, assessment, charge, levy or claim need be paid which is being diligently contested in good faith by appropriate proceedings and for which adequate reserves in accordance with GAAP shall have been set aside on the appropriate books or where the failure to pay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5.7 </w:t>
      </w:r>
      <w:r>
        <w:rPr>
          <w:rFonts w:ascii="Times New Roman" w:hAnsi="Times New Roman"/>
          <w:sz w:val="24"/>
          <w:u w:val="single"/>
        </w:rPr>
        <w:t>Visits and Inspections</w:t>
      </w:r>
      <w:r>
        <w:rPr>
          <w:rFonts w:ascii="Times New Roman" w:hAnsi="Times New Roman"/>
          <w:sz w:val="24"/>
        </w:rPr>
        <w:t xml:space="preserve">. The Company will, and will cause each Material Subsidiary to, permit representatives of the Administrative Agent and any of the Lenders, upon reasonable notice, to (a) visit and inspect the properties of the Company or any Material Subsidiary during business hours, (b) inspect and make extracts from and copies of their respective books and records, and (c) discuss with their respective principal officers and accountants (with representatives of the Company participating in such discussions with their accountants) their respective businesses, assets, liabilities, financial positions, results of operations and business prospects, all at such reasonable times and as often as reasonably requested. </w:t>
      </w:r>
    </w:p>
    <w:p>
      <w:pPr>
        <w:pStyle w:val="TextBody"/>
        <w:bidi w:val="0"/>
        <w:spacing w:before="240" w:after="0"/>
        <w:jc w:val="both"/>
        <w:rPr>
          <w:rFonts w:ascii="Times New Roman" w:hAnsi="Times New Roman"/>
          <w:sz w:val="24"/>
        </w:rPr>
      </w:pPr>
      <w:r>
        <w:rPr>
          <w:rFonts w:ascii="Times New Roman" w:hAnsi="Times New Roman"/>
          <w:sz w:val="24"/>
        </w:rPr>
        <w:t>Section 5.8 </w:t>
      </w:r>
      <w:r>
        <w:rPr>
          <w:rFonts w:ascii="Times New Roman" w:hAnsi="Times New Roman"/>
          <w:sz w:val="24"/>
          <w:u w:val="single"/>
        </w:rPr>
        <w:t>Use of Proceeds</w:t>
      </w:r>
      <w:r>
        <w:rPr>
          <w:rFonts w:ascii="Times New Roman" w:hAnsi="Times New Roman"/>
          <w:color w:val="0000FF"/>
          <w:sz w:val="24"/>
          <w:u w:val="single"/>
          <w:bdr w:val="double" w:sz="2" w:space="1" w:color="000000"/>
        </w:rPr>
        <w: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trike/>
          <w:color w:val="FF0000"/>
          <w:sz w:val="24"/>
        </w:rPr>
        <w:t xml:space="preserve">. </w:t>
      </w:r>
      <w:r>
        <w:rPr>
          <w:rFonts w:ascii="Times New Roman" w:hAnsi="Times New Roman"/>
          <w:sz w:val="24"/>
        </w:rPr>
        <w:t xml:space="preserve">Each Borrower will use the aggregate proceeds of all Advances </w:t>
      </w:r>
      <w:r>
        <w:rPr>
          <w:rFonts w:ascii="Times New Roman" w:hAnsi="Times New Roman"/>
          <w:color w:val="0000FF"/>
          <w:sz w:val="24"/>
          <w:u w:val="single"/>
          <w:bdr w:val="double" w:sz="2" w:space="1" w:color="000000"/>
        </w:rPr>
        <w:t>(other than Certain Funds Advances)</w:t>
      </w:r>
      <w:r>
        <w:rPr>
          <w:rFonts w:ascii="Times New Roman" w:hAnsi="Times New Roman"/>
          <w:sz w:val="24"/>
        </w:rPr>
        <w:t xml:space="preserve"> made on or after the Effective Date for working capital needs, to finance acquisitions and other general corporate purposes of such Borrower and its Subsidiaries (including, without limitation, to purchase issued and outstanding Ownership Interests of such Borrower).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color w:val="0000FF"/>
          <w:sz w:val="24"/>
          <w:u w:val="single"/>
          <w:bdr w:val="double" w:sz="2" w:space="1" w:color="000000"/>
        </w:rPr>
        <w:t>The Company will use the aggregate proceeds of all Certain Funds Advances made during any Certain Funds Period</w:t>
      </w:r>
      <w:r>
        <w:rPr>
          <w:rFonts w:ascii="Times New Roman" w:hAnsi="Times New Roman"/>
          <w:sz w:val="24"/>
        </w:rPr>
        <w:t xml:space="preserve"> </w:t>
      </w:r>
      <w:r>
        <w:rPr>
          <w:rFonts w:ascii="Times New Roman" w:hAnsi="Times New Roman"/>
          <w:color w:val="00C000"/>
          <w:sz w:val="24"/>
          <w:u w:val="single"/>
        </w:rPr>
        <w:t>to finance all or a portion of the</w:t>
      </w:r>
      <w:r>
        <w:rPr>
          <w:rFonts w:ascii="Times New Roman" w:hAnsi="Times New Roman"/>
          <w:sz w:val="24"/>
        </w:rPr>
        <w:t xml:space="preserve"> </w:t>
      </w:r>
      <w:r>
        <w:rPr>
          <w:rFonts w:ascii="Times New Roman" w:hAnsi="Times New Roman"/>
          <w:color w:val="0000FF"/>
          <w:sz w:val="24"/>
          <w:u w:val="single"/>
          <w:bdr w:val="double" w:sz="2" w:space="1" w:color="000000"/>
        </w:rPr>
        <w:t>consideration payable in connection with the applicable Certain Funds Acquisition to which such Certain Funds Period relates, to refinance other Indebtedness in connection therewith, and to pay related fees, costs, and expenses.</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5.9 </w:t>
      </w:r>
      <w:r>
        <w:rPr>
          <w:rFonts w:ascii="Times New Roman" w:hAnsi="Times New Roman"/>
          <w:sz w:val="24"/>
          <w:u w:val="single"/>
        </w:rPr>
        <w:t>Maintenance of REIT Status</w:t>
      </w:r>
      <w:r>
        <w:rPr>
          <w:rFonts w:ascii="Times New Roman" w:hAnsi="Times New Roman"/>
          <w:sz w:val="24"/>
        </w:rPr>
        <w:t xml:space="preserve">. The Company will, at all times, conduct its affairs in a manner so as to continue to qualify as a REIT and elect to be treated as a REIT under all Applicable Laws, rules and regulations until such time as the board of directors of the Company deems it in the best interests of the Company and its stockholders not to remain qualified as a REIT. </w:t>
      </w:r>
    </w:p>
    <w:p>
      <w:pPr>
        <w:pStyle w:val="TextBody"/>
        <w:bidi w:val="0"/>
        <w:spacing w:before="240" w:after="0"/>
        <w:jc w:val="both"/>
        <w:rPr>
          <w:rFonts w:ascii="Times New Roman" w:hAnsi="Times New Roman"/>
          <w:sz w:val="24"/>
        </w:rPr>
      </w:pPr>
      <w:r>
        <w:rPr>
          <w:rFonts w:ascii="Times New Roman" w:hAnsi="Times New Roman"/>
          <w:sz w:val="24"/>
        </w:rPr>
        <w:t>Section 5.10 </w:t>
      </w:r>
      <w:r>
        <w:rPr>
          <w:rFonts w:ascii="Times New Roman" w:hAnsi="Times New Roman"/>
          <w:sz w:val="24"/>
          <w:u w:val="single"/>
        </w:rPr>
        <w:t>Senior Credit Facility</w:t>
      </w:r>
      <w:r>
        <w:rPr>
          <w:rFonts w:ascii="Times New Roman" w:hAnsi="Times New Roman"/>
          <w:sz w:val="24"/>
        </w:rPr>
        <w:t>. If the provisions of Articles 7 (Negative Covenants) and/or 8 (Default) (and the definitions of defined terms used therein) of any of the Existing Credit Agreements are proposed to be amended or otherwise modified in a manner that is more restrictive from the Company’s perspective (a “</w:t>
      </w:r>
      <w:r>
        <w:rPr>
          <w:rFonts w:ascii="Times New Roman" w:hAnsi="Times New Roman"/>
          <w:sz w:val="24"/>
          <w:u w:val="single"/>
        </w:rPr>
        <w:t>Restrictive Change</w:t>
      </w:r>
      <w:r>
        <w:rPr>
          <w:rFonts w:ascii="Times New Roman" w:hAnsi="Times New Roman"/>
          <w:sz w:val="24"/>
        </w:rPr>
        <w:t xml:space="preserve">”), the Company covenants and agrees that it shall (a) provide the Lenders with written notice describing such proposed Restrictive Change promptly and in any event prior to the effectiveness of such Restrictive Change, and (b) upon fifteen (15) Business Days prior written notice from the Majority Lenders requesting that such Restrictive Change be effected with respect to this Agreement, take such steps as are necessary to effect a Restrictive Change with respect to this Agreement that is acceptable to the Majority Lenders and the Company; </w:t>
      </w:r>
      <w:r>
        <w:rPr>
          <w:rFonts w:ascii="Times New Roman" w:hAnsi="Times New Roman"/>
          <w:sz w:val="24"/>
          <w:u w:val="single"/>
        </w:rPr>
        <w:t>provided</w:t>
      </w:r>
      <w:r>
        <w:rPr>
          <w:rFonts w:ascii="Times New Roman" w:hAnsi="Times New Roman"/>
          <w:sz w:val="24"/>
        </w:rPr>
        <w:t xml:space="preserve">, that, in the event the Company fails to effect such equivalent Restrictive Change within such fifteen (15) Business Day period, then, such Restrictive Change to such Existing Credit Agreement shall automatically be applied to this Agreement;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 no default or event of default would occur solely by reason of such amendment to this Agreement or any other debt agreement of the Company, and (ii) such Restrictive Change shall not be made if doing so would cause the Company to fail to maintain, or prevent it from being able to elect, REIT status. Notwithstanding the foregoing, any such Restrictive Change made to this Agreement hereunder shall remain in effect until such time as such Existing Credit Agreement has matured or otherwise been terminated, at which point, unless the Company’s Debt Ratings (or their related outlooks) have declined since the date this Agreement was executed, the Administrative Agent, Lenders and the Company will take such steps as are necessary to amend this Agreement to remove entirely any such amendments made under this Section 5.10 to this Agreement; provided, however, that in the event that (A) the applicable Existing Credit Agreement has matured or otherwise been terminated, and (B) the Company’s Debt Ratings (or their related outlooks) have declined since the date this Agreement was executed, the Administrative Agent, the Lenders and the Company shall negotiate in good faith to modify such Restrictive Change with respect to its application for the remainder of this Agreement. </w:t>
      </w:r>
    </w:p>
    <w:p>
      <w:pPr>
        <w:pStyle w:val="TextBody"/>
        <w:bidi w:val="0"/>
        <w:spacing w:before="240" w:after="0"/>
        <w:jc w:val="center"/>
        <w:rPr>
          <w:rFonts w:ascii="Times New Roman" w:hAnsi="Times New Roman"/>
          <w:sz w:val="24"/>
        </w:rPr>
      </w:pPr>
      <w:r>
        <w:rPr>
          <w:rFonts w:ascii="Times New Roman" w:hAnsi="Times New Roman"/>
          <w:sz w:val="24"/>
        </w:rPr>
        <w:t xml:space="preserve">ARTICLE 6 - INFORMATION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or the Lenders have an obligation to fund Advances hereunder or any Issuing Bank has an obligation to issue Letters of Credit hereunder (in each case, whether or not the conditions to borrowing or to issuing a Letter of Credit, as applicable, have been or can be fulfilled), the Company will furnish or cause to be furnished to the Administrative Agent (with the Administrative Agent to make the same available to the Lenders) at its office: </w:t>
      </w:r>
    </w:p>
    <w:p>
      <w:pPr>
        <w:pStyle w:val="TextBody"/>
        <w:bidi w:val="0"/>
        <w:spacing w:before="240" w:after="0"/>
        <w:jc w:val="both"/>
        <w:rPr>
          <w:rFonts w:ascii="Times New Roman" w:hAnsi="Times New Roman"/>
          <w:sz w:val="24"/>
        </w:rPr>
      </w:pPr>
      <w:r>
        <w:rPr>
          <w:rFonts w:ascii="Times New Roman" w:hAnsi="Times New Roman"/>
          <w:sz w:val="24"/>
        </w:rPr>
        <w:t>Section 6.1 </w:t>
      </w:r>
      <w:r>
        <w:rPr>
          <w:rFonts w:ascii="Times New Roman" w:hAnsi="Times New Roman"/>
          <w:sz w:val="24"/>
          <w:u w:val="single"/>
        </w:rPr>
        <w:t>Quarterly Financial Statements and Information</w:t>
      </w:r>
      <w:r>
        <w:rPr>
          <w:rFonts w:ascii="Times New Roman" w:hAnsi="Times New Roman"/>
          <w:sz w:val="24"/>
        </w:rPr>
        <w:t xml:space="preserve">. Within forty-five (45) days after the last day of each of the first three (3) quarters of each fiscal year of the Company, the consolidated balance sheet of the Company and its Subsidiaries at the end of such quarter and as of the end of the preceding fiscal year, and the related consolidated statement of operations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related consolidated statement of cash flows of the Company and its Subsidiaries for such quarter and for the elapsed portion of the year ended with the last day of such quarter, which shall set forth in comparative form such figures as at the end of and for such quarter and appropriate prior period and shall be certified by the chief financial officer of the Company to have been prepared in accordance with generally accepted accounting principles and to present fairly in all material respects the consolidated financial position of the Company and its Subsidiaries as at the end of such period and the results of operations for such period, and for the elapsed portion of the year ended with the last day of such period, subject only to normal year -end and audit adjustments; </w:t>
      </w:r>
      <w:r>
        <w:rPr>
          <w:rFonts w:ascii="Times New Roman" w:hAnsi="Times New Roman"/>
          <w:sz w:val="24"/>
          <w:u w:val="single"/>
        </w:rPr>
        <w:t>provided</w:t>
      </w:r>
      <w:r>
        <w:rPr>
          <w:rFonts w:ascii="Times New Roman" w:hAnsi="Times New Roman"/>
          <w:sz w:val="24"/>
        </w:rPr>
        <w:t xml:space="preserve"> that in the event of any change in generally accepted accounting principles used in the preparation of such financial statements, the Company shall also provide, if necessary for the determination of compliance with Section</w:t>
      </w:r>
      <w:r>
        <w:rPr>
          <w:rFonts w:ascii="Times New Roman" w:hAnsi="Times New Roman"/>
          <w:strike/>
          <w:color w:val="FF0000"/>
          <w:sz w:val="24"/>
        </w:rPr>
        <w:t xml:space="preserve"> 7.5 and </w:t>
      </w:r>
      <w:r>
        <w:rPr>
          <w:rFonts w:ascii="Times New Roman" w:hAnsi="Times New Roman"/>
          <w:sz w:val="24"/>
        </w:rPr>
        <w:t xml:space="preserve">7.6, a statement of reconciliation conforming such financial statements to GAAP; </w:t>
      </w:r>
      <w:r>
        <w:rPr>
          <w:rFonts w:ascii="Times New Roman" w:hAnsi="Times New Roman"/>
          <w:sz w:val="24"/>
          <w:u w:val="single"/>
        </w:rPr>
        <w:t>provided</w:t>
      </w:r>
      <w:r>
        <w:rPr>
          <w:rFonts w:ascii="Times New Roman" w:hAnsi="Times New Roman"/>
          <w:sz w:val="24"/>
        </w:rPr>
        <w:t xml:space="preserve">, further, that notwithstanding anything to the contrary in this Section 6.1, no financial statements delivered pursuant to this Section 6.1 shall be required to include footnotes. </w:t>
      </w:r>
    </w:p>
    <w:p>
      <w:pPr>
        <w:pStyle w:val="TextBody"/>
        <w:bidi w:val="0"/>
        <w:spacing w:before="240" w:after="0"/>
        <w:jc w:val="both"/>
        <w:rPr>
          <w:rFonts w:ascii="Times New Roman" w:hAnsi="Times New Roman"/>
          <w:sz w:val="24"/>
        </w:rPr>
      </w:pPr>
      <w:r>
        <w:rPr>
          <w:rFonts w:ascii="Times New Roman" w:hAnsi="Times New Roman"/>
          <w:sz w:val="24"/>
        </w:rPr>
        <w:t>Section 6.2 </w:t>
      </w:r>
      <w:r>
        <w:rPr>
          <w:rFonts w:ascii="Times New Roman" w:hAnsi="Times New Roman"/>
          <w:sz w:val="24"/>
          <w:u w:val="single"/>
        </w:rPr>
        <w:t>Annual Financial Statements and Information</w:t>
      </w:r>
      <w:r>
        <w:rPr>
          <w:rFonts w:ascii="Times New Roman" w:hAnsi="Times New Roman"/>
          <w:sz w:val="24"/>
        </w:rPr>
        <w:t xml:space="preserve">. As soon as available, but in any event not later than the earlier of (a) the date such deliverables are required (if at all) by the Securities and Exchange Commission and (b) one hundred twenty (120) days after the end of each fiscal year of the Company, the audited consolidated balance sheet of the Company and its Subsidiaries as of the end of such fiscal year and the related audited consolidated statement of operations for such fiscal year and for the previous fiscal year, the related audited consolidated statements of cash flow and stockholders’ equity for such fiscal year and for the previous fiscal year, which shall be accompanied by an opinion of Deloitte &amp; Touche, LLP, or other independent certified public accountants of recognized national standing reasonably acceptable to the Administrative Agent, together with a statement of such accountants (unless the giving of such statement is contrary to accounting practice for the continuing independence of such accountant) that in connection with their audit, nothing came to their attention that caused them to believe that the Company was not in compliance with </w:t>
      </w:r>
      <w:r>
        <w:rPr>
          <w:rFonts w:ascii="Times New Roman" w:hAnsi="Times New Roman"/>
          <w:strike/>
          <w:color w:val="FF0000"/>
          <w:sz w:val="24"/>
        </w:rPr>
        <w:t>Sections 7.5 and</w:t>
      </w:r>
      <w:r>
        <w:rPr>
          <w:rFonts w:ascii="Times New Roman" w:hAnsi="Times New Roman"/>
          <w:color w:val="0000FF"/>
          <w:sz w:val="24"/>
          <w:u w:val="single"/>
          <w:bdr w:val="double" w:sz="2" w:space="1" w:color="000000"/>
        </w:rPr>
        <w:t>Section</w:t>
      </w:r>
      <w:r>
        <w:rPr>
          <w:rFonts w:ascii="Times New Roman" w:hAnsi="Times New Roman"/>
          <w:sz w:val="24"/>
        </w:rPr>
        <w:t xml:space="preserve"> 7.6 hereof insofar as they relate to accounting matters; provided that in the event of any change in generally accepted accounting principles used in the preparation of such financial statements, the Company shall also provide, if necessary for the determination of compliance with Section</w:t>
      </w:r>
      <w:r>
        <w:rPr>
          <w:rFonts w:ascii="Times New Roman" w:hAnsi="Times New Roman"/>
          <w:strike/>
          <w:color w:val="FF0000"/>
          <w:sz w:val="24"/>
        </w:rPr>
        <w:t xml:space="preserve"> 7.5 and </w:t>
      </w:r>
      <w:r>
        <w:rPr>
          <w:rFonts w:ascii="Times New Roman" w:hAnsi="Times New Roman"/>
          <w:sz w:val="24"/>
        </w:rPr>
        <w:t xml:space="preserve">7.6 a statement of reconciliation conforming such financial statements to GAAP. </w:t>
      </w:r>
    </w:p>
    <w:p>
      <w:pPr>
        <w:pStyle w:val="TextBody"/>
        <w:bidi w:val="0"/>
        <w:spacing w:before="240" w:after="0"/>
        <w:jc w:val="both"/>
        <w:rPr>
          <w:rFonts w:ascii="Times New Roman" w:hAnsi="Times New Roman"/>
          <w:sz w:val="24"/>
        </w:rPr>
      </w:pPr>
      <w:r>
        <w:rPr>
          <w:rFonts w:ascii="Times New Roman" w:hAnsi="Times New Roman"/>
          <w:sz w:val="24"/>
        </w:rPr>
        <w:t>Section 6.3 </w:t>
      </w:r>
      <w:r>
        <w:rPr>
          <w:rFonts w:ascii="Times New Roman" w:hAnsi="Times New Roman"/>
          <w:sz w:val="24"/>
          <w:u w:val="single"/>
        </w:rPr>
        <w:t>Performance Certificates</w:t>
      </w:r>
      <w:r>
        <w:rPr>
          <w:rFonts w:ascii="Times New Roman" w:hAnsi="Times New Roman"/>
          <w:sz w:val="24"/>
        </w:rPr>
        <w:t xml:space="preserve">. At the time the financial statements are furnished pursuant to Sections 6.1 and 6.2 hereof, a certificate of the president, chief financial officer or treasurer of the Company as to the financial performance of the Company and its Subsidiaries on a consolidated basis, in substantially the form attached hereto as </w:t>
      </w:r>
      <w:r>
        <w:rPr>
          <w:rFonts w:ascii="Times New Roman" w:hAnsi="Times New Roman"/>
          <w:sz w:val="24"/>
          <w:u w:val="single"/>
        </w:rPr>
        <w:t>Exhibit 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(a) setting forth as and at the end of such quarterly period or fiscal year, as the case may be, the arithmetical calculations required to establish whether or not the Company was in compliance with </w:t>
      </w:r>
      <w:r>
        <w:rPr>
          <w:rFonts w:ascii="Times New Roman" w:hAnsi="Times New Roman"/>
          <w:strike/>
          <w:color w:val="FF0000"/>
          <w:sz w:val="24"/>
        </w:rPr>
        <w:t>Sections 7.5 and</w:t>
      </w:r>
      <w:r>
        <w:rPr>
          <w:rFonts w:ascii="Times New Roman" w:hAnsi="Times New Roman"/>
          <w:color w:val="0000FF"/>
          <w:sz w:val="24"/>
          <w:u w:val="single"/>
          <w:bdr w:val="double" w:sz="2" w:space="1" w:color="000000"/>
        </w:rPr>
        <w:t>Section</w:t>
      </w:r>
      <w:r>
        <w:rPr>
          <w:rFonts w:ascii="Times New Roman" w:hAnsi="Times New Roman"/>
          <w:sz w:val="24"/>
        </w:rPr>
        <w:t xml:space="preserve"> 7.6 hereof; and </w:t>
      </w:r>
    </w:p>
    <w:p>
      <w:pPr>
        <w:pStyle w:val="TextBody"/>
        <w:bidi w:val="0"/>
        <w:spacing w:before="240" w:after="0"/>
        <w:jc w:val="both"/>
        <w:rPr>
          <w:rFonts w:ascii="Times New Roman" w:hAnsi="Times New Roman"/>
          <w:sz w:val="24"/>
        </w:rPr>
      </w:pPr>
      <w:r>
        <w:rPr>
          <w:rFonts w:ascii="Times New Roman" w:hAnsi="Times New Roman"/>
          <w:sz w:val="24"/>
        </w:rPr>
        <w:t xml:space="preserve">(b) stating that, to the best of his or her knowledge, no Default has occurred and is continuing as at the end of such quarterly period or year, as the case may be, or, if a Default has occurred, disclosing each such Default and its nature, when it occurred, whether it is continuing and the steps being taken by the Company with respect to such Default.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6.4 </w:t>
      </w:r>
      <w:r>
        <w:rPr>
          <w:rFonts w:ascii="Times New Roman" w:hAnsi="Times New Roman"/>
          <w:sz w:val="24"/>
          <w:u w:val="single"/>
        </w:rPr>
        <w:t>Copies of Other Reports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(a) Promptly upon receipt thereof, copies of the management letter prepared in connection with the annual audit referred to in Section 6.2 hereof. </w:t>
      </w:r>
    </w:p>
    <w:p>
      <w:pPr>
        <w:pStyle w:val="TextBody"/>
        <w:bidi w:val="0"/>
        <w:spacing w:before="240" w:after="0"/>
        <w:jc w:val="both"/>
        <w:rPr>
          <w:rFonts w:ascii="Times New Roman" w:hAnsi="Times New Roman"/>
          <w:sz w:val="24"/>
        </w:rPr>
      </w:pPr>
      <w:r>
        <w:rPr>
          <w:rFonts w:ascii="Times New Roman" w:hAnsi="Times New Roman"/>
          <w:sz w:val="24"/>
        </w:rPr>
        <w:t xml:space="preserve">(b) Promptly upon receipt thereof, copies of any adverse notice or report regarding any License that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(c) From time to time and promptly upon each request, such data, certificates, reports, statements, documents or further information regarding the business, assets, liabilities, financial position, projections, results of operations or business prospects of the Company and its Subsidiaries, as the Administrative Agent or any Lender may reasonably request. </w:t>
      </w:r>
    </w:p>
    <w:p>
      <w:pPr>
        <w:pStyle w:val="TextBody"/>
        <w:bidi w:val="0"/>
        <w:spacing w:before="240" w:after="0"/>
        <w:jc w:val="both"/>
        <w:rPr>
          <w:rFonts w:ascii="Times New Roman" w:hAnsi="Times New Roman"/>
          <w:sz w:val="24"/>
        </w:rPr>
      </w:pPr>
      <w:r>
        <w:rPr>
          <w:rFonts w:ascii="Times New Roman" w:hAnsi="Times New Roman"/>
          <w:sz w:val="24"/>
        </w:rPr>
        <w:t xml:space="preserve">(d) Promptly after the sending thereof, copies of all statements, reports and other information which the Company sends to public security holders of the Company generally or publicly files with the Securities and Exchange Commission, but solely in the event that any such statement, report or information has not been made publicly available by the Securities and Exchange Commission on the EDGAR or similar system or by the Company on its internet website. </w:t>
      </w:r>
    </w:p>
    <w:p>
      <w:pPr>
        <w:pStyle w:val="TextBody"/>
        <w:bidi w:val="0"/>
        <w:spacing w:before="240" w:after="0"/>
        <w:jc w:val="both"/>
        <w:rPr>
          <w:rFonts w:ascii="Times New Roman" w:hAnsi="Times New Roman"/>
          <w:sz w:val="24"/>
        </w:rPr>
      </w:pPr>
      <w:r>
        <w:rPr>
          <w:rFonts w:ascii="Times New Roman" w:hAnsi="Times New Roman"/>
          <w:sz w:val="24"/>
        </w:rPr>
        <w:t>Section 6.5 </w:t>
      </w:r>
      <w:r>
        <w:rPr>
          <w:rFonts w:ascii="Times New Roman" w:hAnsi="Times New Roman"/>
          <w:sz w:val="24"/>
          <w:u w:val="single"/>
        </w:rPr>
        <w:t>Notice of Litigation and Other Matters</w:t>
      </w:r>
      <w:r>
        <w:rPr>
          <w:rFonts w:ascii="Times New Roman" w:hAnsi="Times New Roman"/>
          <w:sz w:val="24"/>
        </w:rPr>
        <w:t xml:space="preserve">. Unless previously disclosed in the public filings of the Company with the Securities and Exchange Commission, notice specifying the nature and status of any of the following events, promptly, but in any event not later than fifteen (15) days after the occurrence of any of the following events becomes known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(a) the commencement of all proceedings and investigations by or before any governmental body and all actions and proceedings in any court or before any arbitrator against the Company or any of its Subsidiaries or, to the extent known to the Company, threatened in writing against the Company or any of its Subsidiaries, which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(b) any material adverse change with respect to the business, assets, liabilities, financial position, results of operations or business prospects of the Company and its Subsidiaries, taken as a whole, other than changes which have not had and would not reasonably be expected to have a Materially Adverse Effect and other than changes in the industry in which the Company or any of its Subsidiaries operates or the economy or business conditions in general; </w:t>
      </w:r>
    </w:p>
    <w:p>
      <w:pPr>
        <w:pStyle w:val="TextBody"/>
        <w:bidi w:val="0"/>
        <w:spacing w:before="240" w:after="0"/>
        <w:jc w:val="both"/>
        <w:rPr>
          <w:rFonts w:ascii="Times New Roman" w:hAnsi="Times New Roman"/>
          <w:sz w:val="24"/>
        </w:rPr>
      </w:pPr>
      <w:r>
        <w:rPr>
          <w:rFonts w:ascii="Times New Roman" w:hAnsi="Times New Roman"/>
          <w:sz w:val="24"/>
        </w:rPr>
        <w:t xml:space="preserve">(c) any Default, giving a description thereof and specifying the action proposed to be taken with respect thereto; and </w:t>
      </w:r>
    </w:p>
    <w:p>
      <w:pPr>
        <w:pStyle w:val="TextBody"/>
        <w:bidi w:val="0"/>
        <w:spacing w:before="240" w:after="0"/>
        <w:jc w:val="both"/>
        <w:rPr>
          <w:rFonts w:ascii="Times New Roman" w:hAnsi="Times New Roman"/>
          <w:sz w:val="24"/>
        </w:rPr>
      </w:pPr>
      <w:r>
        <w:rPr>
          <w:rFonts w:ascii="Times New Roman" w:hAnsi="Times New Roman"/>
          <w:sz w:val="24"/>
        </w:rPr>
        <w:t xml:space="preserve">(d) the commencement or threatened commencement of any litigation regarding any Plan or naming it or the trustee of any such Plan with respect to such Plan or any action taken by the Company or any of its Subsidiaries or any ERISA Affiliate of the Company to withdraw or partially withdraw from any Plan or to terminate any Plan, that in each case would reasonably be expected to have a Materially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6.6 </w:t>
      </w:r>
      <w:r>
        <w:rPr>
          <w:rFonts w:ascii="Times New Roman" w:hAnsi="Times New Roman"/>
          <w:sz w:val="24"/>
          <w:u w:val="single"/>
        </w:rPr>
        <w:t>Certain Electronic Delivery; Public Information</w:t>
      </w:r>
      <w:r>
        <w:rPr>
          <w:rFonts w:ascii="Times New Roman" w:hAnsi="Times New Roman"/>
          <w:sz w:val="24"/>
        </w:rPr>
        <w:t xml:space="preserve">. Documents required to be delivered pursuant to this Section 6 (to the extent any such documents are included in materials otherwise filed with the Securities and Exchange Commission)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hAnsi="Times New Roman"/>
          <w:sz w:val="24"/>
          <w:u w:val="single"/>
        </w:rPr>
        <w:t>Schedule 5</w:t>
      </w:r>
      <w:r>
        <w:rPr>
          <w:rFonts w:ascii="Times New Roman" w:hAnsi="Times New Roman"/>
          <w:sz w:val="24"/>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hAnsi="Times New Roman"/>
          <w:sz w:val="24"/>
          <w:u w:val="single"/>
        </w:rPr>
        <w:t>provided</w:t>
      </w:r>
      <w:r>
        <w:rPr>
          <w:rFonts w:ascii="Times New Roman" w:hAnsi="Times New Roman"/>
          <w:sz w:val="24"/>
        </w:rPr>
        <w:t xml:space="preserve"> that the Administrative Agent shall receive notice (by telecopier or electronic mail) of the posting of any such documents and shall be provided access (by electronic mail) to electronic versions (i.e., soft copies) of such documents. </w:t>
      </w:r>
    </w:p>
    <w:p>
      <w:pPr>
        <w:pStyle w:val="TextBody"/>
        <w:bidi w:val="0"/>
        <w:spacing w:before="240" w:after="0"/>
        <w:jc w:val="both"/>
        <w:rPr>
          <w:rFonts w:ascii="Times New Roman" w:hAnsi="Times New Roman"/>
          <w:sz w:val="24"/>
        </w:rPr>
      </w:pPr>
      <w:r>
        <w:rPr>
          <w:rFonts w:ascii="Times New Roman" w:hAnsi="Times New Roman"/>
          <w:sz w:val="24"/>
        </w:rPr>
        <w:t>The Company hereby acknowledges that (a) the Administrative Agent will make available to the Lenders and the Issuing Banks materials and/or information provided by or on behalf of the Company hereunder (collectively, the “</w:t>
      </w:r>
      <w:r>
        <w:rPr>
          <w:rFonts w:ascii="Times New Roman" w:hAnsi="Times New Roman"/>
          <w:sz w:val="24"/>
          <w:u w:val="single"/>
        </w:rPr>
        <w:t>Borrower Materials</w:t>
      </w:r>
      <w:r>
        <w:rPr>
          <w:rFonts w:ascii="Times New Roman" w:hAnsi="Times New Roman"/>
          <w:sz w:val="24"/>
        </w:rPr>
        <w:t>”) by posting the Borrower Materials on IntraLinks or another similar electronic system (the “</w:t>
      </w:r>
      <w:r>
        <w:rPr>
          <w:rFonts w:ascii="Times New Roman" w:hAnsi="Times New Roman"/>
          <w:sz w:val="24"/>
          <w:u w:val="single"/>
        </w:rPr>
        <w:t>Platform</w:t>
      </w:r>
      <w:r>
        <w:rPr>
          <w:rFonts w:ascii="Times New Roman" w:hAnsi="Times New Roman"/>
          <w:sz w:val="24"/>
        </w:rPr>
        <w:t>”) and (b) certain of the Lenders (each, a “</w:t>
      </w:r>
      <w:r>
        <w:rPr>
          <w:rFonts w:ascii="Times New Roman" w:hAnsi="Times New Roman"/>
          <w:sz w:val="24"/>
          <w:u w:val="single"/>
        </w:rPr>
        <w:t>Public Lender</w:t>
      </w:r>
      <w:r>
        <w:rPr>
          <w:rFonts w:ascii="Times New Roman" w:hAnsi="Times New Roman"/>
          <w:sz w:val="24"/>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Issuing Banks and the Lenders to treat such Borrower Materials as not containing any material non-public information with respect to the Company or its securities for purposes of United States federal and state securities laws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to the extent such Borrower Materials constitute confidential information, they shall be treated as set forth in Section</w:t>
      </w:r>
      <w:r>
        <w:rPr>
          <w:rFonts w:ascii="Times New Roman" w:hAnsi="Times New Roman"/>
          <w:sz w:val="24"/>
          <w:u w:val="single"/>
        </w:rPr>
        <w:t> 12.19</w:t>
      </w:r>
      <w:r>
        <w:rPr>
          <w:rFonts w:ascii="Times New Roman" w:hAnsi="Times New Roman"/>
          <w:sz w:val="24"/>
        </w:rPr>
        <w:t xml:space="preserve">);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the Company shall be under no obligation to mark any Borrower Materials “PUBLIC.” </w:t>
      </w:r>
    </w:p>
    <w:p>
      <w:pPr>
        <w:pStyle w:val="TextBody"/>
        <w:bidi w:val="0"/>
        <w:spacing w:before="240" w:after="0"/>
        <w:jc w:val="both"/>
        <w:rPr>
          <w:rFonts w:ascii="Times New Roman" w:hAnsi="Times New Roman"/>
          <w:sz w:val="24"/>
        </w:rPr>
      </w:pPr>
      <w:r>
        <w:rPr>
          <w:rFonts w:ascii="Times New Roman" w:hAnsi="Times New Roman"/>
          <w:sz w:val="24"/>
        </w:rPr>
        <w:t>Section 6.7 </w:t>
      </w:r>
      <w:r>
        <w:rPr>
          <w:rFonts w:ascii="Times New Roman" w:hAnsi="Times New Roman"/>
          <w:sz w:val="24"/>
          <w:u w:val="single"/>
        </w:rPr>
        <w:t>Know Your Customer Information</w:t>
      </w:r>
      <w:r>
        <w:rPr>
          <w:rFonts w:ascii="Times New Roman" w:hAnsi="Times New Roman"/>
          <w:sz w:val="24"/>
        </w:rPr>
        <w:t xml:space="preserve">. Upon a merger or consolidation pursuant to Section 7.3(b), the Company (or the relevant Subsidiary Borrower) or the surviving corporation into which the Company (or the relevant Subsidiary Borrower) is merged or consolidated shall deliver for the benefit of the Lenders, the Issuing Banks and the Administrative Agent, such other documents as may reasonably be requested in connection with such merger or consolidation, including, without limitation, information in respect of “know your customer” and similar requirements, an incumbency certificate and an opinion of nationally recognized independent counsel, or other independent counsel reasonably satisfactory to the Majority Lenders, to the effect that all agreements or instruments effecting the assumption of the Obligations of the Company (or the relevant Subsidiary Borrower) under the Notes, this Agreement and the other Loan Documents pursuant to the terms of Section 7.3(b) are enforceable in accordance with their terms and comply with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6.8 </w:t>
      </w:r>
      <w:r>
        <w:rPr>
          <w:rFonts w:ascii="Times New Roman" w:hAnsi="Times New Roman"/>
          <w:sz w:val="24"/>
          <w:u w:val="single"/>
        </w:rPr>
        <w:t>Additional Requested Information</w:t>
      </w:r>
      <w:r>
        <w:rPr>
          <w:rFonts w:ascii="Times New Roman" w:hAnsi="Times New Roman"/>
          <w:sz w:val="24"/>
        </w:rPr>
        <w:t xml:space="preserve">. Promptly upon request, information and documentation reasonably requested by the Administrative Agent or any Lender for purposes of compliance with applicable “know your customer” and anti-money laundering rules and regulations, including the Patriot Act and the Beneficial Ownership Regulation. </w:t>
      </w:r>
    </w:p>
    <w:p>
      <w:pPr>
        <w:pStyle w:val="TextBody"/>
        <w:bidi w:val="0"/>
        <w:spacing w:before="240" w:after="0"/>
        <w:jc w:val="center"/>
        <w:rPr>
          <w:rFonts w:ascii="Times New Roman" w:hAnsi="Times New Roman"/>
          <w:sz w:val="24"/>
        </w:rPr>
      </w:pPr>
      <w:r>
        <w:rPr>
          <w:rFonts w:ascii="Times New Roman" w:hAnsi="Times New Roman"/>
          <w:sz w:val="24"/>
        </w:rPr>
        <w:t xml:space="preserve">ARTICLE 7 - NEGATIVE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or the Lenders have an obligation to fund Advances hereunder or any Issuing Bank has an obligation to issue Letters of Credit hereunder (in each case, whether or not the conditions to borrowing or to issuing a Letter of Credit, as applicable, have been or can be fulfilled): </w:t>
      </w:r>
    </w:p>
    <w:p>
      <w:pPr>
        <w:pStyle w:val="TextBody"/>
        <w:bidi w:val="0"/>
        <w:spacing w:before="240" w:after="0"/>
        <w:jc w:val="both"/>
        <w:rPr>
          <w:rFonts w:ascii="Times New Roman" w:hAnsi="Times New Roman"/>
          <w:sz w:val="24"/>
        </w:rPr>
      </w:pPr>
      <w:r>
        <w:rPr>
          <w:rFonts w:ascii="Times New Roman" w:hAnsi="Times New Roman"/>
          <w:sz w:val="24"/>
        </w:rPr>
        <w:t>Section 7.1 </w:t>
      </w:r>
      <w:r>
        <w:rPr>
          <w:rFonts w:ascii="Times New Roman" w:hAnsi="Times New Roman"/>
          <w:sz w:val="24"/>
          <w:u w:val="single"/>
        </w:rPr>
        <w:t>Indebtedness; Guaranties of the Company and itsCompany’s Subsidiaries</w:t>
      </w:r>
      <w:r>
        <w:rPr>
          <w:rFonts w:ascii="Times New Roman" w:hAnsi="Times New Roman"/>
          <w:sz w:val="24"/>
        </w:rPr>
        <w:t xml:space="preserve">. The Company </w:t>
      </w:r>
      <w:r>
        <w:rPr>
          <w:rFonts w:ascii="Times New Roman" w:hAnsi="Times New Roman"/>
          <w:strike/>
          <w:color w:val="FF0000"/>
          <w:sz w:val="24"/>
        </w:rPr>
        <w:t xml:space="preserve">shall not, and </w:t>
      </w:r>
      <w:r>
        <w:rPr>
          <w:rFonts w:ascii="Times New Roman" w:hAnsi="Times New Roman"/>
          <w:sz w:val="24"/>
        </w:rPr>
        <w:t xml:space="preserve">shall not permit any of its Subsidiaries to, create, assume, incur or otherwise become or remain obligated in respect of, or permit to be outstanding, any Indebtedness (including, without limitation, any Guaranty) except: </w:t>
      </w:r>
    </w:p>
    <w:p>
      <w:pPr>
        <w:pStyle w:val="TextBody"/>
        <w:bidi w:val="0"/>
        <w:spacing w:before="240" w:after="0"/>
        <w:jc w:val="both"/>
        <w:rPr>
          <w:rFonts w:ascii="Times New Roman" w:hAnsi="Times New Roman"/>
          <w:sz w:val="24"/>
        </w:rPr>
      </w:pPr>
      <w:r>
        <w:rPr>
          <w:rFonts w:ascii="Times New Roman" w:hAnsi="Times New Roman"/>
          <w:sz w:val="24"/>
        </w:rPr>
        <w:t xml:space="preserve">(a) Indebtedness existing on the date hereof and disclosed in the public filings of the Company with the Securities and Exchange Commission and any refinancing, extensions, renewals and replacements (including through open market purchases and tender offers) of any such Indebtedness that do not (i) increase the outstanding principal amount and any existing commitments not utilized thereunder, or accreted value thereof (or, in the case of open market purchases and tender offers, exceed the current market value thereof) plus any accrued interest thereon, the amount of any premiums and any costs and expenses incurred to effect such refinancing, extension, renewal or replacement, (ii) result in an earlier maturity date or decrease the weighted average life thereof or (iii) change the direct or any contingent obligor with respect thereto; </w:t>
      </w:r>
    </w:p>
    <w:p>
      <w:pPr>
        <w:pStyle w:val="TextBody"/>
        <w:bidi w:val="0"/>
        <w:spacing w:before="240" w:after="0"/>
        <w:jc w:val="both"/>
        <w:rPr>
          <w:rFonts w:ascii="Times New Roman" w:hAnsi="Times New Roman"/>
          <w:sz w:val="24"/>
        </w:rPr>
      </w:pPr>
      <w:r>
        <w:rPr>
          <w:rFonts w:ascii="Times New Roman" w:hAnsi="Times New Roman"/>
          <w:sz w:val="24"/>
        </w:rPr>
        <w:t xml:space="preserve">(b) Indebtedness owed to the Company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(c) Indebtedness existing at the time a Subsidiary of the Company (not having previously been a Subsidiary) (i) becomes a Subsidiary of the Company or (ii) is merged or consolidated with or into a Subsidiary of the Company and any refinancing, extensions, renewals and replacements (including through open market purchases and tender offers) of any such Indebtedness that do not (x) increase the outstanding principal amount, including any existing commitments not utilized thereunder, or accreted value thereof (or, in the case of open market purchases and tender offers, exceed the current market value thereof) plus any accrued interest thereon, the amount of any premiums and any costs and expenses incurred to effect such refinancing, extension, renewal or replacement or (y) result in an earlier maturity date or decrease the weighted average life thereof; </w:t>
      </w:r>
      <w:r>
        <w:rPr>
          <w:rFonts w:ascii="Times New Roman" w:hAnsi="Times New Roman"/>
          <w:sz w:val="24"/>
          <w:u w:val="single"/>
        </w:rPr>
        <w:t>provided</w:t>
      </w:r>
      <w:r>
        <w:rPr>
          <w:rFonts w:ascii="Times New Roman" w:hAnsi="Times New Roman"/>
          <w:sz w:val="24"/>
        </w:rPr>
        <w:t xml:space="preserve"> that such Indebtedness is not created in contemplation of such merger or consolidation; </w:t>
      </w:r>
    </w:p>
    <w:p>
      <w:pPr>
        <w:pStyle w:val="TextBody"/>
        <w:bidi w:val="0"/>
        <w:spacing w:before="240" w:after="0"/>
        <w:jc w:val="both"/>
        <w:rPr>
          <w:rFonts w:ascii="Times New Roman" w:hAnsi="Times New Roman"/>
          <w:sz w:val="24"/>
        </w:rPr>
      </w:pPr>
      <w:r>
        <w:rPr>
          <w:rFonts w:ascii="Times New Roman" w:hAnsi="Times New Roman"/>
          <w:sz w:val="24"/>
        </w:rPr>
        <w:t xml:space="preserve">(d) Indebtedness secured by Permitted Liens; </w:t>
      </w:r>
    </w:p>
    <w:p>
      <w:pPr>
        <w:pStyle w:val="TextBody"/>
        <w:bidi w:val="0"/>
        <w:spacing w:before="240" w:after="0"/>
        <w:jc w:val="both"/>
        <w:rPr>
          <w:rFonts w:ascii="Times New Roman" w:hAnsi="Times New Roman"/>
          <w:sz w:val="24"/>
        </w:rPr>
      </w:pPr>
      <w:r>
        <w:rPr>
          <w:rFonts w:ascii="Times New Roman" w:hAnsi="Times New Roman"/>
          <w:sz w:val="24"/>
        </w:rPr>
        <w:t xml:space="preserve">(e) Capitalized Lease Obligations; </w:t>
      </w:r>
    </w:p>
    <w:p>
      <w:pPr>
        <w:pStyle w:val="TextBody"/>
        <w:bidi w:val="0"/>
        <w:spacing w:before="240" w:after="0"/>
        <w:jc w:val="both"/>
        <w:rPr>
          <w:rFonts w:ascii="Times New Roman" w:hAnsi="Times New Roman"/>
          <w:sz w:val="24"/>
        </w:rPr>
      </w:pPr>
      <w:r>
        <w:rPr>
          <w:rFonts w:ascii="Times New Roman" w:hAnsi="Times New Roman"/>
          <w:sz w:val="24"/>
        </w:rPr>
        <w:t xml:space="preserve">(f) obligations under Hedge Agreements; </w:t>
      </w:r>
      <w:r>
        <w:rPr>
          <w:rFonts w:ascii="Times New Roman" w:hAnsi="Times New Roman"/>
          <w:sz w:val="24"/>
          <w:u w:val="single"/>
        </w:rPr>
        <w:t>provided</w:t>
      </w:r>
      <w:r>
        <w:rPr>
          <w:rFonts w:ascii="Times New Roman" w:hAnsi="Times New Roman"/>
          <w:sz w:val="24"/>
        </w:rPr>
        <w:t xml:space="preserve"> that such Hedge Agreements shall not be speculative in nature;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(g) Indebtedness of Subsidiaries of the Company, so long as (i) no Default exists or would be caused thereby and (ii) the principal outstanding amount of such Indebtedness at the time of its incurrence does not exceed (when taken together with the principal outstanding amount at such time of Indebtedness incurred under Section 7.1(i) hereof (or portion thereof) that is guaranteed by any Subsidiary of the Company), in the aggregate, the greater of (x) $3,500,000,000 and (y) fifty percent (50%) of Adjusted EBITDA of the Company and its Subsidiaries on a consolidated basis as of the last day of the most recently completed fiscal quarter; </w:t>
      </w:r>
    </w:p>
    <w:p>
      <w:pPr>
        <w:pStyle w:val="TextBody"/>
        <w:bidi w:val="0"/>
        <w:spacing w:before="240" w:after="0"/>
        <w:jc w:val="both"/>
        <w:rPr>
          <w:rFonts w:ascii="Times New Roman" w:hAnsi="Times New Roman"/>
          <w:sz w:val="24"/>
        </w:rPr>
      </w:pPr>
      <w:r>
        <w:rPr>
          <w:rFonts w:ascii="Times New Roman" w:hAnsi="Times New Roman"/>
          <w:sz w:val="24"/>
        </w:rPr>
        <w:t xml:space="preserve">(h) Indebtedness under (i) each Existing ABS Facility and (ii) any additional ABS Facilities entered into by the Company or any of its Subsidiaries (including any increase of any Existing ABS Facility) so long as, in each case after giving pro forma effect to such ABS Facility, the Company is in compliance with </w:t>
      </w:r>
      <w:r>
        <w:rPr>
          <w:rFonts w:ascii="Times New Roman" w:hAnsi="Times New Roman"/>
          <w:strike/>
          <w:color w:val="FF0000"/>
          <w:sz w:val="24"/>
        </w:rPr>
        <w:t>Sections 7.5 and</w:t>
      </w:r>
      <w:r>
        <w:rPr>
          <w:rFonts w:ascii="Times New Roman" w:hAnsi="Times New Roman"/>
          <w:color w:val="0000FF"/>
          <w:sz w:val="24"/>
          <w:u w:val="single"/>
          <w:bdr w:val="double" w:sz="2" w:space="1" w:color="000000"/>
        </w:rPr>
        <w:t>Section</w:t>
      </w:r>
      <w:r>
        <w:rPr>
          <w:rFonts w:ascii="Times New Roman" w:hAnsi="Times New Roman"/>
          <w:sz w:val="24"/>
        </w:rPr>
        <w:t xml:space="preserve"> 7.6 hereof;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trike/>
          <w:color w:val="FF0000"/>
          <w:sz w:val="24"/>
        </w:rPr>
        <w:t xml:space="preserve">(i) </w:t>
      </w:r>
      <w:r>
        <w:rPr>
          <w:rFonts w:ascii="Times New Roman" w:hAnsi="Times New Roman"/>
          <w:sz w:val="24"/>
        </w:rPr>
        <w:t>Indebtedness under the Loan Documents</w:t>
      </w:r>
      <w:r>
        <w:rPr>
          <w:rFonts w:ascii="Times New Roman" w:hAnsi="Times New Roman"/>
          <w:strike/>
          <w:color w:val="FF0000"/>
          <w:sz w:val="24"/>
        </w:rPr>
        <w:t xml:space="preserve"> and (ii) other Indebtedness of the Company so long as, in each case after </w:t>
      </w:r>
      <w:r>
        <w:rPr>
          <w:rFonts w:ascii="Times New Roman" w:hAnsi="Times New Roman"/>
          <w:strike/>
          <w:color w:val="00C000"/>
          <w:sz w:val="24"/>
        </w:rPr>
        <w:t>giving pro forma effect to</w:t>
      </w:r>
      <w:r>
        <w:rPr>
          <w:rFonts w:ascii="Times New Roman" w:hAnsi="Times New Roman"/>
          <w:color w:val="FF0000"/>
          <w:sz w:val="24"/>
        </w:rPr>
        <w:t xml:space="preserve"> </w:t>
      </w:r>
      <w:r>
        <w:rPr>
          <w:rFonts w:ascii="Times New Roman" w:hAnsi="Times New Roman"/>
          <w:strike/>
          <w:color w:val="FF0000"/>
          <w:sz w:val="24"/>
        </w:rPr>
        <w:t>such other Indebtedness, the Company is in compliance with Sections 7.5 and 7.6 hereof</w:t>
      </w:r>
      <w:r>
        <w:rPr>
          <w:rFonts w:ascii="Times New Roman" w:hAnsi="Times New Roman"/>
          <w:color w:val="FF0000"/>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strike/>
          <w:color w:val="FF0000"/>
          <w:sz w:val="24"/>
        </w:rPr>
        <w:t>Guaranties by the Company of any of the foregoing except for the Indebtedness set forth under Section 7.1(h) hereof</w:t>
      </w:r>
      <w:r>
        <w:rPr>
          <w:rFonts w:ascii="Times New Roman" w:hAnsi="Times New Roman"/>
          <w:color w:val="0000FF"/>
          <w:sz w:val="24"/>
          <w:u w:val="single"/>
          <w:bdr w:val="double" w:sz="2" w:space="1" w:color="000000"/>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(k) Guaranties by any Subsidiary of the Company of any of the foregoing except for the Indebtedness set forth under Section 7.1(h) hereof; provided that there shall be no prohibition against Guaranties by any Subsidiaries of the Company that (i) are special purposes entities directly involved in any ABS Facilities and (ii) have no material assets other than the direct or indirect Ownership Interests in special purpose entities directly involved in such ABS Facilities; provided further that the principal outstanding amount of any Indebtedness set forth in Section 7.1(i) hereof (or portion thereof) that is guaranteed by any Subsidiary of the Company shall not exceed (when taken together with the principal outstanding amount at such time of Indebtedness incurred under Section 7.1(g) hereof), in the aggregate, the greater of (x) $3,000,000,000 and (y) fifty percent (50%) of Adjusted EBITDA of the Company and its Subsidiaries on a consolidated basis as of the last day of the most recently completed fiscal quarter; </w:t>
      </w:r>
      <w:r>
        <w:rPr>
          <w:rFonts w:ascii="Times New Roman" w:hAnsi="Times New Roman"/>
          <w:color w:val="0000FF"/>
          <w:sz w:val="24"/>
          <w:u w:val="single"/>
          <w:bdr w:val="double" w:sz="2" w:space="1" w:color="000000"/>
        </w:rPr>
        <w:t>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(l) In respect of Subsidiaries of the Company that are owned by the Company and one or more joint venture partners, Indebtedness of such Subsidiaries owed to such joint venture partners;</w:t>
      </w:r>
      <w:r>
        <w:rPr>
          <w:rFonts w:ascii="Times New Roman" w:hAnsi="Times New Roman"/>
          <w:strike/>
          <w:color w:val="FF0000"/>
          <w:sz w:val="24"/>
        </w:rPr>
        <w:t xml:space="preserve"> 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(m) </w:t>
      </w:r>
      <w:r>
        <w:rPr>
          <w:rFonts w:ascii="Times New Roman" w:hAnsi="Times New Roman"/>
          <w:color w:val="0000FF"/>
          <w:sz w:val="24"/>
          <w:u w:val="single"/>
          <w:bdr w:val="double" w:sz="2" w:space="1" w:color="000000"/>
        </w:rPr>
        <w:t>Indebtedness resulting form any declaration pursuant to section 2:403 of the Dutch Civil Code or Indebtedness relating to any residual liability under such declaration arising pursuant to section 2:404(2) of the Dutch Civil Code; 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(n) </w:t>
      </w:r>
      <w:r>
        <w:rPr>
          <w:rFonts w:ascii="Times New Roman" w:hAnsi="Times New Roman"/>
          <w:strike/>
          <w:color w:val="FF0000"/>
          <w:sz w:val="24"/>
        </w:rPr>
        <w:t xml:space="preserve">(m) Unsecured </w:t>
      </w:r>
      <w:r>
        <w:rPr>
          <w:rFonts w:ascii="Times New Roman" w:hAnsi="Times New Roman"/>
          <w:sz w:val="24"/>
        </w:rPr>
        <w:t>Indebtedness</w:t>
      </w:r>
      <w:r>
        <w:rPr>
          <w:rFonts w:ascii="Times New Roman" w:hAnsi="Times New Roman"/>
          <w:strike/>
          <w:color w:val="FF0000"/>
          <w:sz w:val="24"/>
        </w:rPr>
        <w:t xml:space="preserve"> incurred by</w:t>
      </w:r>
      <w:r>
        <w:rPr>
          <w:rFonts w:ascii="Times New Roman" w:hAnsi="Times New Roman"/>
          <w:color w:val="0000FF"/>
          <w:sz w:val="24"/>
          <w:u w:val="single"/>
          <w:bdr w:val="double" w:sz="2" w:space="1" w:color="000000"/>
        </w:rPr>
        <w:t>, including any joint and several liability, as a result of a fiscal unity (</w:t>
      </w:r>
      <w:r>
        <w:rPr>
          <w:rFonts w:ascii="Times New Roman" w:hAnsi="Times New Roman"/>
          <w:i/>
          <w:color w:val="0000FF"/>
          <w:sz w:val="24"/>
          <w:u w:val="single"/>
          <w:bdr w:val="double" w:sz="2" w:space="1" w:color="000000"/>
        </w:rPr>
        <w:t>fiscale</w:t>
      </w:r>
      <w:r>
        <w:rPr>
          <w:rFonts w:ascii="Times New Roman" w:hAnsi="Times New Roman"/>
          <w:color w:val="0000FF"/>
          <w:sz w:val="24"/>
          <w:u w:val="single"/>
          <w:bdr w:val="double" w:sz="2" w:space="1" w:color="000000"/>
        </w:rPr>
        <w:t xml:space="preserve"> </w:t>
      </w:r>
      <w:r>
        <w:rPr>
          <w:rFonts w:ascii="Times New Roman" w:hAnsi="Times New Roman"/>
          <w:i/>
          <w:color w:val="0000FF"/>
          <w:sz w:val="24"/>
          <w:u w:val="single"/>
          <w:bdr w:val="double" w:sz="2" w:space="1" w:color="000000"/>
        </w:rPr>
        <w:t>eenheid</w:t>
      </w:r>
      <w:r>
        <w:rPr>
          <w:rFonts w:ascii="Times New Roman" w:hAnsi="Times New Roman"/>
          <w:color w:val="0000FF"/>
          <w:sz w:val="24"/>
          <w:u w:val="single"/>
          <w:bdr w:val="double" w:sz="2" w:space="1" w:color="000000"/>
        </w:rPr>
        <w:t>) between</w:t>
      </w:r>
      <w:r>
        <w:rPr>
          <w:rFonts w:ascii="Times New Roman" w:hAnsi="Times New Roman"/>
          <w:color w:val="0000FF"/>
          <w:sz w:val="24"/>
        </w:rPr>
        <w:t xml:space="preserve"> the Company </w:t>
      </w:r>
      <w:r>
        <w:rPr>
          <w:rFonts w:ascii="Times New Roman" w:hAnsi="Times New Roman"/>
          <w:strike/>
          <w:color w:val="00C000"/>
          <w:sz w:val="24"/>
        </w:rPr>
        <w:t>to finance all or a portion of the</w:t>
      </w:r>
      <w:r>
        <w:rPr>
          <w:rFonts w:ascii="Times New Roman" w:hAnsi="Times New Roman"/>
          <w:color w:val="0000FF"/>
          <w:sz w:val="24"/>
        </w:rPr>
        <w:t xml:space="preserve"> </w:t>
      </w:r>
      <w:r>
        <w:rPr>
          <w:rFonts w:ascii="Times New Roman" w:hAnsi="Times New Roman"/>
          <w:strike/>
          <w:color w:val="FF0000"/>
          <w:sz w:val="24"/>
        </w:rPr>
        <w:t>Specified Merger</w:t>
      </w:r>
      <w:r>
        <w:rPr>
          <w:rFonts w:ascii="Times New Roman" w:hAnsi="Times New Roman"/>
          <w:color w:val="0000FF"/>
          <w:sz w:val="24"/>
          <w:u w:val="single"/>
          <w:bdr w:val="double" w:sz="2" w:space="1" w:color="000000"/>
        </w:rPr>
        <w:t>and/or its Subsidiaries only for Dutch tax purposes</w:t>
      </w:r>
      <w:r>
        <w:rPr>
          <w:rFonts w:ascii="Times New Roman" w:hAnsi="Times New Roman"/>
          <w:color w:val="0000FF"/>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determining compliance with this Section 7.1, (A) if an item of Indebtedness meets the criteria of more than one of the types of Indebtedness described above, the Company, in its sole discretion, shall classify such item of Indebtedness and only be required to include the amount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and type of such Indebtedness in one of such clauses, although the Company may divide and classify an item of Indebtedness in one or more of the types of Indebtedness and may later re-divide or reclassify all or a portion of such item of Indebtedness in any manner that complies with this Section 7.1 and (B) the amount of Indebtedness issued at a price that is less than the principal amount thereof shall be equal to the amount of the liability in respect thereof determined in conformity with GAAP. </w:t>
      </w:r>
    </w:p>
    <w:p>
      <w:pPr>
        <w:pStyle w:val="TextBody"/>
        <w:bidi w:val="0"/>
        <w:spacing w:before="240" w:after="0"/>
        <w:jc w:val="both"/>
        <w:rPr>
          <w:rFonts w:ascii="Times New Roman" w:hAnsi="Times New Roman"/>
          <w:sz w:val="24"/>
        </w:rPr>
      </w:pPr>
      <w:r>
        <w:rPr>
          <w:rFonts w:ascii="Times New Roman" w:hAnsi="Times New Roman"/>
          <w:sz w:val="24"/>
        </w:rPr>
        <w:t>Section 7.2 </w:t>
      </w:r>
      <w:r>
        <w:rPr>
          <w:rFonts w:ascii="Times New Roman" w:hAnsi="Times New Roman"/>
          <w:sz w:val="24"/>
          <w:u w:val="single"/>
        </w:rPr>
        <w:t>Limitation on Liens</w:t>
      </w:r>
      <w:r>
        <w:rPr>
          <w:rFonts w:ascii="Times New Roman" w:hAnsi="Times New Roman"/>
          <w:sz w:val="24"/>
        </w:rPr>
        <w:t xml:space="preserve">. The Company shall not, and shall not permit any of its Subsidiaries to, create, assume, incur or permit to exist or to be created, assumed, incurred or permitted to exist, directly or indirectly, any Lien on any of its properties or assets, whether now owned or hereafter acquired, except for (i) Liens securing the Obligations (if any), (ii) Permitted Liens, and (iii) Liens securing Indebtedness </w:t>
      </w:r>
      <w:r>
        <w:rPr>
          <w:rFonts w:ascii="Times New Roman" w:hAnsi="Times New Roman"/>
          <w:color w:val="0000FF"/>
          <w:sz w:val="24"/>
          <w:u w:val="single"/>
          <w:bdr w:val="double" w:sz="2" w:space="1" w:color="000000"/>
        </w:rPr>
        <w:t>of the Company or any of its Subsidiaries</w:t>
      </w:r>
      <w:r>
        <w:rPr>
          <w:rFonts w:ascii="Times New Roman" w:hAnsi="Times New Roman"/>
          <w:sz w:val="24"/>
        </w:rPr>
        <w:t xml:space="preserve"> permitted under Section 7.1</w:t>
      </w:r>
      <w:r>
        <w:rPr>
          <w:rFonts w:ascii="Times New Roman" w:hAnsi="Times New Roman"/>
          <w:strike/>
          <w:color w:val="FF0000"/>
          <w:sz w:val="24"/>
        </w:rPr>
        <w:t>(a) (but only if and to the extent such Indebtedness (or the Indebtedness which was refinanced, extended, renewed or replaced) is secured as of the date hereof), Section 7.1(c) (but only if and to the extent such Indebtedness (or the Indebtedness which was refinanced, extended, renewed or replaced) is secured as of the date the Subsidiary that incurred such Indebtedness became a Subsidiary of the Company), Section 7.1(g), Section 7.1(h) or Section 7.1(k).</w:t>
      </w:r>
      <w:r>
        <w:rPr>
          <w:rFonts w:ascii="Times New Roman" w:hAnsi="Times New Roman"/>
          <w:sz w:val="24"/>
        </w:rPr>
        <w:t xml:space="preserve"> </w:t>
      </w:r>
      <w:r>
        <w:rPr>
          <w:rFonts w:ascii="Times New Roman" w:hAnsi="Times New Roman"/>
          <w:color w:val="0000FF"/>
          <w:sz w:val="24"/>
          <w:u w:val="single"/>
          <w:bdr w:val="double" w:sz="2" w:space="1" w:color="000000"/>
        </w:rPr>
        <w:t>if, after giving effect to the incurrence of such Liens, the ratio of (x) Senior Secured Debt to (y) Adjusted EBITDA, as of the last day of the most recently ended fiscal quarter, shall not be greater than 3.50 to 1.00.</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7.3 </w:t>
      </w:r>
      <w:r>
        <w:rPr>
          <w:rFonts w:ascii="Times New Roman" w:hAnsi="Times New Roman"/>
          <w:sz w:val="24"/>
          <w:u w:val="single"/>
        </w:rPr>
        <w:t>Liquidation, Merger or Disposition of Assets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Disposition of Assets</w:t>
      </w:r>
      <w:r>
        <w:rPr>
          <w:rFonts w:ascii="Times New Roman" w:hAnsi="Times New Roman"/>
          <w:sz w:val="24"/>
        </w:rPr>
        <w:t xml:space="preserve">. The Company shall not, and shall not permit any of its Subsidiaries to, at any time sell, lease, abandon, or otherwise dispose of any assets (other than assets disposed of in the ordinary course of business), except for (i) the transfer of assets among the Company and its Subsidiaries (excluding Subsidiaries of such Persons described in clause (b) of the definition of “Subsidiary” if the requirements of clause (a) thereof are not otherwise met) or the transfer of assets between or among the Company’s Subsidiaries (excluding Subsidiaries of such Persons described in clause (b) of the definition of “Subsidiary” if the requirements of clause (a) thereof are not otherwise met), (ii) the transfer of assets by the Company or any of its Subsidiaries to Unrestricted Subsidiaries representing an amount not to exceed, in any given fiscal year, fifteen percent (15%) of Adjusted EBITDA of the Company and its Subsidiaries on a consolidated basis as of the last day of the immediately preceding fiscal year, but in aggregate for the period commencing on the Effective Date and ending of the date of such transfer, not more than twenty-five percent (25%) of Adjusted EBITDA of the Company and its Subsidiaries on a consolidated basis as of the last day of the fiscal year immediately preceding the date of such transfer, or (iii) the disposition of assets for fair market value so long as no Default exists or will be caused to occur as a result of such disposition; </w:t>
      </w:r>
      <w:r>
        <w:rPr>
          <w:rFonts w:ascii="Times New Roman" w:hAnsi="Times New Roman"/>
          <w:sz w:val="24"/>
          <w:u w:val="single"/>
        </w:rPr>
        <w:t>provided</w:t>
      </w:r>
      <w:r>
        <w:rPr>
          <w:rFonts w:ascii="Times New Roman" w:hAnsi="Times New Roman"/>
          <w:sz w:val="24"/>
        </w:rPr>
        <w:t xml:space="preserve"> that, in respect of this clause (iii), the fair market value of all such assets disposed of by the Company and its Subsidiaries during any fiscal year shall not exceed fifteen percent (15%) of Consolidated Total Assets as of the last day of the immediately preceding fiscal year. For the avoidance of doubt, cash and cash equivalents shall not be considered assets subject to the provisions of this Section 7.3(a).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Liquidation or Merger</w:t>
      </w:r>
      <w:r>
        <w:rPr>
          <w:rFonts w:ascii="Times New Roman" w:hAnsi="Times New Roman"/>
          <w:sz w:val="24"/>
        </w:rPr>
        <w:t xml:space="preserve">. Neither Company nor any Subsidiary Borrower shall, at any time, liquidate or dissolve itself (or suffer any liquidation or dissolution) or otherwise wind up, or enter into any merger or consolidation, other than (i) a merger or consolidation among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Company or any Subsidiary Borrower and one or more of its Subsidiaries;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Company or the relevant Subsidiary Borrower is the surviving Person, (ii) in connection with an Acquisition permitted hereunder effected by a merger in which the Company or any Subsidiary Borrower is the surviving Person, or (iii) a merger or consolidation (including, without limitation, in connection with an Acquisition permitted hereunder) among the Company or any Subsidiary Borrower, on the one hand, and any other Person (including, without limitation, an Affiliate), on the other hand, where the surviving Person (if other than the Company or a Subsidiary Borrower) (A) is a corporation, partnership, or limited liability company organized and existing under the laws of the United States of America, any State thereof or the District of Columbia and (B) on the effective date of such merger or consolidation expressly assumes, by supplemental agreement, executed and delivered to the Administrative Agent, for itself and on behalf of the Lenders and the Issuing Banks, in form and substance reasonably satisfactory to the Majority Lenders, all the Obligations of the Company or the relevant Subsidiary Borrower under the Notes, this Agreement and the other Loan Documents;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each case, no Default exists or would be caused thereby. </w:t>
      </w:r>
    </w:p>
    <w:p>
      <w:pPr>
        <w:pStyle w:val="TextBody"/>
        <w:bidi w:val="0"/>
        <w:spacing w:before="240" w:after="0"/>
        <w:jc w:val="both"/>
        <w:rPr>
          <w:rFonts w:ascii="Times New Roman" w:hAnsi="Times New Roman"/>
          <w:sz w:val="24"/>
        </w:rPr>
      </w:pPr>
      <w:r>
        <w:rPr>
          <w:rFonts w:ascii="Times New Roman" w:hAnsi="Times New Roman"/>
          <w:sz w:val="24"/>
        </w:rPr>
        <w:t>Section 7.4 </w:t>
      </w:r>
      <w:r>
        <w:rPr>
          <w:rFonts w:ascii="Times New Roman" w:hAnsi="Times New Roman"/>
          <w:sz w:val="24"/>
          <w:u w:val="single"/>
        </w:rPr>
        <w:t>Restricted Payments</w:t>
      </w:r>
      <w:r>
        <w:rPr>
          <w:rFonts w:ascii="Times New Roman" w:hAnsi="Times New Roman"/>
          <w:sz w:val="24"/>
        </w:rPr>
        <w:t xml:space="preserve">. The Company shall not, and shall not permit any of its Subsidiaries to, make any Restricted Payments;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Company and its Subsidiaries may make any Restricted Payments so long as no Default exists or would be caused thereby,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(a) for so long as the Company is a REIT, during the continuation of a Default, the Company and its Subsidiaries may make any Restricted Payments provided they do not exceed in the aggregate for any four consecutive fiscal quarters of the Company occurring from and after March 31, 2013, (i) 95% of Funds From Operations for such four fiscal quarter period, or (ii) such greater amount as may be required to comply with Section 5.9 or to avoid the imposition of income or excise taxes on the Company, and (b) the Company may make any Restricted Payment required to comply with Section 5.9, including, for the avoidance of doubt, any Restricted Payment necessary to satisfy the requirements of section 857(a)(2)(B) of the Code, or any successor provision, or to avoid the imposition of any income or excise taxes. </w:t>
      </w:r>
    </w:p>
    <w:p>
      <w:pPr>
        <w:pStyle w:val="TextBody"/>
        <w:bidi w:val="0"/>
        <w:spacing w:before="240" w:after="0"/>
        <w:jc w:val="both"/>
        <w:rPr>
          <w:rFonts w:ascii="Times New Roman" w:hAnsi="Times New Roman"/>
          <w:sz w:val="24"/>
        </w:rPr>
      </w:pPr>
      <w:r>
        <w:rPr>
          <w:rFonts w:ascii="Times New Roman" w:hAnsi="Times New Roman"/>
          <w:sz w:val="24"/>
        </w:rPr>
        <w:t>Section 7.5 </w:t>
      </w:r>
      <w:r>
        <w:rPr>
          <w:rFonts w:ascii="Times New Roman" w:hAnsi="Times New Roman"/>
          <w:sz w:val="24"/>
          <w:u w:val="single"/>
        </w:rPr>
        <w:t>Senior Secured Leverage Ratio[Reserved]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 As of the end of each fiscal quarter, the Company shall not permit the ratio of (i) Senior Secured Debt on such calculation date to (ii) Adjusted EBITDA, as of the last day of such fiscal quarter, to be greater than 3.00 to 1.00.</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7.6 </w:t>
      </w:r>
      <w:r>
        <w:rPr>
          <w:rFonts w:ascii="Times New Roman" w:hAnsi="Times New Roman"/>
          <w:sz w:val="24"/>
          <w:u w:val="single"/>
        </w:rPr>
        <w:t>Total Company Leverage Ratio</w:t>
      </w:r>
      <w:r>
        <w:rPr>
          <w:rFonts w:ascii="Times New Roman" w:hAnsi="Times New Roman"/>
          <w:sz w:val="24"/>
        </w:rPr>
        <w:t xml:space="preserve">. As of the end of each fiscal quarter, the Company shall not permit the ratio of (a) Total Debt on such calculation date to (b) Adjusted EBITDA, as of the last day of such fiscal quarter to be greater than 6.00 to 1.00; provided that in lieu of the foregoing, for any such date occurring after a Qualified Acquisition (as defined below) and on or prior to the last day of the fourth full fiscal quarter of the Company after the consummation of such Qualified Acquisition, the Company will not permit such ratio as of such date to exceed 7.50 to 1.00; </w:t>
      </w:r>
      <w:r>
        <w:rPr>
          <w:rFonts w:ascii="Times New Roman" w:hAnsi="Times New Roman"/>
          <w:i/>
          <w:sz w:val="24"/>
        </w:rPr>
        <w:t xml:space="preserve">provided </w:t>
      </w:r>
      <w:r>
        <w:rPr>
          <w:rFonts w:ascii="Times New Roman" w:hAnsi="Times New Roman"/>
          <w:sz w:val="24"/>
        </w:rPr>
        <w:t xml:space="preserve">that the above step-up will be available only if during the immediately preceding quarter such step-up did not apply. </w:t>
      </w:r>
    </w:p>
    <w:p>
      <w:pPr>
        <w:pStyle w:val="TextBody"/>
        <w:bidi w:val="0"/>
        <w:spacing w:before="240" w:after="0"/>
        <w:jc w:val="both"/>
        <w:rPr/>
      </w:pPr>
      <w:r>
        <w:rPr/>
        <w:t>“</w:t>
      </w:r>
      <w:r>
        <w:rPr>
          <w:rFonts w:ascii="Times New Roman" w:hAnsi="Times New Roman"/>
          <w:sz w:val="24"/>
          <w:u w:val="single"/>
        </w:rPr>
        <w:t>Qualified Acquisition</w:t>
      </w:r>
      <w:r>
        <w:rPr>
          <w:rFonts w:ascii="Times New Roman" w:hAnsi="Times New Roman"/>
          <w:sz w:val="24"/>
        </w:rPr>
        <w:t xml:space="preserve">” shall mean an Acquisition by the Company or any Subsidiary which has been designated to the Lenders by an authorized officer of the Company as a “Qualified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Acquisition” so long as, on a pro forma basis after giving effect to such Acquisition, the ratio of Total Debt to Adjusted EBITDA as of the last day of the most recently ended fiscal quarter of the Company (for which financial statements have been delivered pursuant to Section 6.1 or 6.2) prior to such acquisition would be no less than 5.50 to 1.00; provided that (i) no such designation may be made with respect to any Acquisition prior to the end of the fourth full fiscal quarter following the completion of the most recently consummated Qualified Acquisition unless the ratio of Total Debt to Adjusted EBITDA as of the last day of the most recently ended fiscal quarter of the Company (for which financial statements have been delivered pursuant to Section 6.1 or 6.2) prior to the consummation of such Acquisition was no greater than 6.00 to 1.00 and (ii) the aggregate consideration for such Acquisition (including the aggregate principal amount of any Indebtedness assumed thereby) is equal to or greater than $850,000,000. </w:t>
      </w:r>
    </w:p>
    <w:p>
      <w:pPr>
        <w:pStyle w:val="TextBody"/>
        <w:bidi w:val="0"/>
        <w:spacing w:before="240" w:after="0"/>
        <w:jc w:val="both"/>
        <w:rPr>
          <w:rFonts w:ascii="Times New Roman" w:hAnsi="Times New Roman"/>
          <w:sz w:val="24"/>
        </w:rPr>
      </w:pPr>
      <w:r>
        <w:rPr>
          <w:rFonts w:ascii="Times New Roman" w:hAnsi="Times New Roman"/>
          <w:sz w:val="24"/>
        </w:rPr>
        <w:t>Section 7.7 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7.8 </w:t>
      </w:r>
      <w:r>
        <w:rPr>
          <w:rFonts w:ascii="Times New Roman" w:hAnsi="Times New Roman"/>
          <w:sz w:val="24"/>
          <w:u w:val="single"/>
        </w:rPr>
        <w:t>Affiliate Transactions</w:t>
      </w:r>
      <w:r>
        <w:rPr>
          <w:rFonts w:ascii="Times New Roman" w:hAnsi="Times New Roman"/>
          <w:sz w:val="24"/>
        </w:rPr>
        <w:t xml:space="preserve">. Except (i) as specifically provided herein (including, without limitation, Sections 7.1, 7.3 and 7.4 hereof), (ii) investments of cash and cash equivalents in Unrestricted Subsidiaries, and (iii) as may be disclosed in the public filings of the Company with the Securities and Exchange Commission prior to the Effective Date, the Company shall not, and shall not permit any of its Subsidiaries to, at any time engage in any transaction with an Affiliate, other than between or among the Company and/or any Subsidiaries of the Company or in the ordinary course of business, or make an assignment or other transfer of any of its properties or assets to any Affiliate, in each case on terms less advantageous in any material respect to the Company or such Subsidiary than would be the case if such transaction had been effected with a non-Affiliate. </w:t>
      </w:r>
    </w:p>
    <w:p>
      <w:pPr>
        <w:pStyle w:val="TextBody"/>
        <w:bidi w:val="0"/>
        <w:spacing w:before="240" w:after="0"/>
        <w:jc w:val="both"/>
        <w:rPr>
          <w:rFonts w:ascii="Times New Roman" w:hAnsi="Times New Roman"/>
          <w:sz w:val="24"/>
        </w:rPr>
      </w:pPr>
      <w:r>
        <w:rPr>
          <w:rFonts w:ascii="Times New Roman" w:hAnsi="Times New Roman"/>
          <w:sz w:val="24"/>
        </w:rPr>
        <w:t>Section 7.9 </w:t>
      </w:r>
      <w:r>
        <w:rPr>
          <w:rFonts w:ascii="Times New Roman" w:hAnsi="Times New Roman"/>
          <w:sz w:val="24"/>
          <w:u w:val="single"/>
        </w:rPr>
        <w:t>Restrictive Agreements</w:t>
      </w:r>
      <w:r>
        <w:rPr>
          <w:rFonts w:ascii="Times New Roman" w:hAnsi="Times New Roman"/>
          <w:sz w:val="24"/>
        </w:rPr>
        <w:t xml:space="preserve">. The Company shall not, nor shall the Company permit any of its Material Subsidiaries to, directly or indirectly, enter into, incur or permit to exist any agreement or other arrangement that prohibits, restricts or imposes any condition upon the ability of any Material Subsidiary of the Company to pay dividends or other distributions with respect to any shares of its capital stock or to make or repay loans or advances to the Company or any other Material Subsidiary of the Company; </w:t>
      </w:r>
      <w:r>
        <w:rPr>
          <w:rFonts w:ascii="Times New Roman" w:hAnsi="Times New Roman"/>
          <w:sz w:val="24"/>
          <w:u w:val="single"/>
        </w:rPr>
        <w:t>provided</w:t>
      </w:r>
      <w:r>
        <w:rPr>
          <w:rFonts w:ascii="Times New Roman" w:hAnsi="Times New Roman"/>
          <w:sz w:val="24"/>
        </w:rPr>
        <w:t xml:space="preserve"> that (i) the foregoing shall not apply to restrictions and conditions imposed by Applicable Law or by any Loan Document, (ii) the foregoing shall not apply to restrictions and conditions contained in agreements relating to the sale of a Material Subsidiary of the Company pending such sale; </w:t>
      </w:r>
      <w:r>
        <w:rPr>
          <w:rFonts w:ascii="Times New Roman" w:hAnsi="Times New Roman"/>
          <w:sz w:val="24"/>
          <w:u w:val="single"/>
        </w:rPr>
        <w:t>provided</w:t>
      </w:r>
      <w:r>
        <w:rPr>
          <w:rFonts w:ascii="Times New Roman" w:hAnsi="Times New Roman"/>
          <w:sz w:val="24"/>
        </w:rPr>
        <w:t xml:space="preserve"> that such restrictions and conditions apply only to the Material Subsidiary that is to be sold and such sale is permitted hereunder, (iii) the foregoing shall not apply to restrictions and conditions contained in any instrument governing Indebtedness or Ownership Interests of a Person acquired by the Company or any of its Material Subsidiaries as in effect at the time of such acquisition (except to the extent such Indebtedness was incurred, or such Ownership Interests were issued, in connection with or in contemplation of such acquisition), which encumbrance or restriction is not applicable to any Person, or the properties or assets of any Person, other than the Person or the property or assets of the Person so acquired, and any amendments, modifications, restatements, renewals, increases, supplements, refundings, replacements or refinancings of those instruments; </w:t>
      </w:r>
      <w:r>
        <w:rPr>
          <w:rFonts w:ascii="Times New Roman" w:hAnsi="Times New Roman"/>
          <w:sz w:val="24"/>
          <w:u w:val="single"/>
        </w:rPr>
        <w:t>provided</w:t>
      </w:r>
      <w:r>
        <w:rPr>
          <w:rFonts w:ascii="Times New Roman" w:hAnsi="Times New Roman"/>
          <w:sz w:val="24"/>
        </w:rPr>
        <w:t xml:space="preserve"> that the encumbrances or restrictions contained in any such amendments, modifications, restatements, renewals, increases, supplements, refundings, replacements or refinancings, taken as whole, are not materially more restrictive than the encumbrances or restrictions contained in instruments as in effect on the date of acquisition, (iv) the foregoing shall not apply to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and conditions on cash or other deposits or net worth imposed by customers or lessors under contracts or leases entered into in the ordinary course of business, (v) the foregoing shall not apply to restrictions and conditions imposed on the transfer of copyrighted or patented materials or other intellectual property and customary provisions in agreements that restrict the assignment of such agreements or any rights thereunder, (vi) the foregoing shall not apply to restrictions and conditions imposed by contracts or leases entered into in the ordinary course of business by the Company or any of its Material Subsidiaries with such Person’s customers, lessors or suppliers and (vii) the foregoing shall not apply to restrictions and conditions imposed upon the “borrower”, “issuer”, “guarantor”, “pledgor” or “lender” entities under ABS Facilities permitted under Section 7.1(h) hereof or which arise in connection with any payment default regarding Indebtedness otherwise permitted under Section 7.1 hereof. </w:t>
      </w:r>
    </w:p>
    <w:p>
      <w:pPr>
        <w:pStyle w:val="TextBody"/>
        <w:bidi w:val="0"/>
        <w:spacing w:before="240" w:after="0"/>
        <w:jc w:val="both"/>
        <w:rPr>
          <w:rFonts w:ascii="Times New Roman" w:hAnsi="Times New Roman"/>
          <w:sz w:val="24"/>
        </w:rPr>
      </w:pPr>
      <w:r>
        <w:rPr>
          <w:rFonts w:ascii="Times New Roman" w:hAnsi="Times New Roman"/>
          <w:sz w:val="24"/>
        </w:rPr>
        <w:t>Section 7.10 </w:t>
      </w:r>
      <w:r>
        <w:rPr>
          <w:rFonts w:ascii="Times New Roman" w:hAnsi="Times New Roman"/>
          <w:sz w:val="24"/>
          <w:u w:val="single"/>
        </w:rPr>
        <w:t>Use of Proceeds</w:t>
      </w:r>
      <w:r>
        <w:rPr>
          <w:rFonts w:ascii="Times New Roman" w:hAnsi="Times New Roman"/>
          <w:sz w:val="24"/>
        </w:rPr>
        <w:t>. The Company shall not, nor shall the Company permit any of its Subsidiaries to, use the proceeds of any Loan or Letter of Credit directly, or to the Company’s knowledge indirectly, to fund any operations in, finance any investments or activities in, or make any payments to a Designated Person or a Sanctioned Country, in material violation of Anti -Corruption Laws or in any manner that would result in the violation by any party hereto of any Sanctions Laws and Regulations</w:t>
      </w:r>
      <w:r>
        <w:rPr>
          <w:rFonts w:ascii="Times New Roman" w:hAnsi="Times New Roman"/>
          <w:strike/>
          <w:color w:val="FF0000"/>
          <w:sz w:val="24"/>
        </w:rPr>
        <w:t>.</w:t>
      </w:r>
      <w:r>
        <w:rPr>
          <w:rFonts w:ascii="Times New Roman" w:hAnsi="Times New Roman"/>
          <w:color w:val="0000FF"/>
          <w:sz w:val="24"/>
          <w:u w:val="single"/>
          <w:bdr w:val="double" w:sz="2" w:space="1" w:color="000000"/>
        </w:rPr>
        <w:t>; provided that this Section 7.10 shall not apply to any party hereto to the extent that such application would result in a violation of, or conflict with, Council Regulation (EC) 2271/96 (as amended from time to time) or any similar applicable anti -boycott or blocking law or regulation, or would be unenforceable by reason of the Council Regulation (EC) 2271/96 or any such similar applicable law or regulation.</w:t>
      </w:r>
      <w:r>
        <w:rPr>
          <w:rFonts w:ascii="Times New Roman" w:hAnsi="Times New Roman"/>
          <w:sz w:val="24"/>
        </w:rPr>
        <w:t xml:space="preserve"> </w:t>
      </w:r>
    </w:p>
    <w:p>
      <w:pPr>
        <w:pStyle w:val="TextBody"/>
        <w:bidi w:val="0"/>
        <w:spacing w:before="240" w:after="0"/>
        <w:jc w:val="center"/>
        <w:rPr>
          <w:rFonts w:ascii="Times New Roman" w:hAnsi="Times New Roman"/>
          <w:sz w:val="24"/>
        </w:rPr>
      </w:pPr>
      <w:r>
        <w:rPr>
          <w:rFonts w:ascii="Times New Roman" w:hAnsi="Times New Roman"/>
          <w:sz w:val="24"/>
        </w:rPr>
        <w:t xml:space="preserve">ARTICLE 8 - DEFAULT </w:t>
      </w:r>
    </w:p>
    <w:p>
      <w:pPr>
        <w:pStyle w:val="TextBody"/>
        <w:bidi w:val="0"/>
        <w:spacing w:before="240" w:after="0"/>
        <w:jc w:val="both"/>
        <w:rPr>
          <w:rFonts w:ascii="Times New Roman" w:hAnsi="Times New Roman"/>
          <w:sz w:val="24"/>
        </w:rPr>
      </w:pPr>
      <w:r>
        <w:rPr>
          <w:rFonts w:ascii="Times New Roman" w:hAnsi="Times New Roman"/>
          <w:sz w:val="24"/>
        </w:rPr>
        <w:t>Section 8.1 </w:t>
      </w:r>
      <w:r>
        <w:rPr>
          <w:rFonts w:ascii="Times New Roman" w:hAnsi="Times New Roman"/>
          <w:sz w:val="24"/>
          <w:u w:val="single"/>
        </w:rPr>
        <w:t>Events of Default</w:t>
      </w:r>
      <w:r>
        <w:rPr>
          <w:rFonts w:ascii="Times New Roman" w:hAnsi="Times New Roman"/>
          <w:sz w:val="24"/>
        </w:rPr>
        <w:t xml:space="preserve">. Each of the following shall constitute an Event of Default, whatever the reason for such event and whether it shall be voluntary or involuntary or be effected by operation of law or pursuant to any judgment or order of any court or any order, rule or regulation of any governmental or non-governmental body: </w:t>
      </w:r>
    </w:p>
    <w:p>
      <w:pPr>
        <w:pStyle w:val="TextBody"/>
        <w:bidi w:val="0"/>
        <w:spacing w:before="240" w:after="0"/>
        <w:jc w:val="both"/>
        <w:rPr>
          <w:rFonts w:ascii="Times New Roman" w:hAnsi="Times New Roman"/>
          <w:sz w:val="24"/>
        </w:rPr>
      </w:pPr>
      <w:r>
        <w:rPr>
          <w:rFonts w:ascii="Times New Roman" w:hAnsi="Times New Roman"/>
          <w:sz w:val="24"/>
        </w:rPr>
        <w:t xml:space="preserve">(a) any representation or warranty made under this Agreement shall prove to be incorrect in any material respect when made or deemed to be made pursuant to Section 4.2 hereof; </w:t>
      </w:r>
    </w:p>
    <w:p>
      <w:pPr>
        <w:pStyle w:val="TextBody"/>
        <w:bidi w:val="0"/>
        <w:spacing w:before="240" w:after="0"/>
        <w:jc w:val="both"/>
        <w:rPr>
          <w:rFonts w:ascii="Times New Roman" w:hAnsi="Times New Roman"/>
          <w:sz w:val="24"/>
        </w:rPr>
      </w:pPr>
      <w:r>
        <w:rPr>
          <w:rFonts w:ascii="Times New Roman" w:hAnsi="Times New Roman"/>
          <w:sz w:val="24"/>
        </w:rPr>
        <w:t xml:space="preserve">(b) the Company or any Subsidiary Borrower shall default in the payment of (i) any interest hereunder or under any of the Notes or fees or other amounts payable to the Lenders and the Administrative Agent under any of the Loan Documents, or any of them, when due, and such Default shall not be cured by payment in full within five (5) Business Days from the due date or (ii) any principal hereunder or under any of the Notes when due; </w:t>
      </w:r>
    </w:p>
    <w:p>
      <w:pPr>
        <w:pStyle w:val="TextBody"/>
        <w:bidi w:val="0"/>
        <w:spacing w:before="240" w:after="0"/>
        <w:jc w:val="both"/>
        <w:rPr>
          <w:rFonts w:ascii="Times New Roman" w:hAnsi="Times New Roman"/>
          <w:sz w:val="24"/>
        </w:rPr>
      </w:pPr>
      <w:r>
        <w:rPr>
          <w:rFonts w:ascii="Times New Roman" w:hAnsi="Times New Roman"/>
          <w:sz w:val="24"/>
        </w:rPr>
        <w:t xml:space="preserve">(c) the Company or any Material Subsidiary, as applicable, shall default in the performance or observance of any agreement or covenant contained in Sections 5.1 (as to the existence of the Company), 5.8, 5.10, 7.1, 7.2, 7.3, 7.4, </w:t>
      </w:r>
      <w:r>
        <w:rPr>
          <w:rFonts w:ascii="Times New Roman" w:hAnsi="Times New Roman"/>
          <w:strike/>
          <w:color w:val="FF0000"/>
          <w:sz w:val="24"/>
        </w:rPr>
        <w:t xml:space="preserve">7.5, </w:t>
      </w:r>
      <w:r>
        <w:rPr>
          <w:rFonts w:ascii="Times New Roman" w:hAnsi="Times New Roman"/>
          <w:sz w:val="24"/>
        </w:rPr>
        <w:t xml:space="preserve">7.6 and 7.9 hereof; </w:t>
      </w:r>
    </w:p>
    <w:p>
      <w:pPr>
        <w:pStyle w:val="TextBody"/>
        <w:bidi w:val="0"/>
        <w:spacing w:before="240" w:after="0"/>
        <w:jc w:val="both"/>
        <w:rPr>
          <w:rFonts w:ascii="Times New Roman" w:hAnsi="Times New Roman"/>
          <w:sz w:val="24"/>
        </w:rPr>
      </w:pPr>
      <w:r>
        <w:rPr>
          <w:rFonts w:ascii="Times New Roman" w:hAnsi="Times New Roman"/>
          <w:sz w:val="24"/>
        </w:rPr>
        <w:t xml:space="preserve">(d) the Company or any of its Subsidiaries, as applicable, shall default in the performance or observance of any other agreement or covenant contained in this Agreement not specifically referred to elsewhere in this Section 8.1, and such default shall not be cured within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period of thirty (30) days (or with respect to Sections 5.3, 5.4, 5.5, 5.6, 6.4, 6.5 and 7.8 hereof, such longer period not to exceed sixty (60) days if such default is curable within such period and the Company is proceeding in good faith with all diligent efforts to cure such default) from the later of (i) occurrence of such Default and (ii) the date on which such Default became known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(e) there shall occur any default in the performance or observance of any agreement or covenant or breach of any representation or warranty contained in any of the Loan Documents (other than this Agreement or as otherwise provided in this Section 8.1) by the Company, which shall not be cured within a period of thirty (30) days (or such longer period not to exceed sixty (60) days if such default is curable within such period and the Company is proceeding in good faith with all diligent efforts to cure such default) from the date on which such default became known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(f) there shall be entered and remain unstayed a decree or order for relief in respect of the Company or any Material Subsidiary Group under Title 11 of the United States Code, as now constituted or hereafter amended, or any other applicable Federal or state bankruptcy law or other similar law, or appointing a receiver, liquidator, assignee, trustee, custodian, sequestrator or similar official of the Company or any Material Subsidiary Group, or of any substantial part of their respective properties, or ordering the winding-up or liquidation of the affairs of the Company or any Material Subsidiary Group; or an involuntary petition shall be filed against the Company or any Material Subsidiary Group, and (i) such petition shall not be diligently contested, or (ii) any such petition shall continue undismissed or unstayed for a period of ninety (90) consecutive days; </w:t>
      </w:r>
    </w:p>
    <w:p>
      <w:pPr>
        <w:pStyle w:val="TextBody"/>
        <w:bidi w:val="0"/>
        <w:spacing w:before="240" w:after="0"/>
        <w:jc w:val="both"/>
        <w:rPr>
          <w:rFonts w:ascii="Times New Roman" w:hAnsi="Times New Roman"/>
          <w:sz w:val="24"/>
        </w:rPr>
      </w:pPr>
      <w:r>
        <w:rPr>
          <w:rFonts w:ascii="Times New Roman" w:hAnsi="Times New Roman"/>
          <w:sz w:val="24"/>
        </w:rPr>
        <w:t xml:space="preserve">(g) the Company or any Material Subsidiary Group shall file a petition, answer or consent seeking relief under Title 11 of the United States Code, as now constituted or hereafter amended, or any other applicable Federal or state bankruptcy law or other similar law, or the Company or any Material Subsidiary Group shall consent to the institution of proceedings thereunder or to the filing of any such petition or to the appointment or taking of possession of a receiver, liquidator, assignee, trustee, custodian, sequestrator or other similar official of the Company or any Material Subsidiary Group or of any substantial part of their respective properties, or the Company or any Material Subsidiary Group shall fail generally to pay their respective debts as they become due or shall be adjudicated insolvent; or the Company or any Material Subsidiary Group shall take any action in furtherance of any such action; </w:t>
      </w:r>
    </w:p>
    <w:p>
      <w:pPr>
        <w:pStyle w:val="TextBody"/>
        <w:bidi w:val="0"/>
        <w:spacing w:before="240" w:after="0"/>
        <w:jc w:val="both"/>
        <w:rPr>
          <w:rFonts w:ascii="Times New Roman" w:hAnsi="Times New Roman"/>
          <w:sz w:val="24"/>
        </w:rPr>
      </w:pPr>
      <w:r>
        <w:rPr>
          <w:rFonts w:ascii="Times New Roman" w:hAnsi="Times New Roman"/>
          <w:sz w:val="24"/>
        </w:rPr>
        <w:t xml:space="preserve">(h) a judgment not covered by insurance or indemnification, where the indemnifying party has agreed to indemnify and is financially able to do so, shall be entered by any court against the Company or any Material Subsidiary Group for the payment of money which exceeds singly, or in the aggregate with other such judgments, $600,000,000, or a warrant of attachment or execution or similar process shall be issued or levied against property of the Company or any Material Subsidiary Group which, together with all other such property of the Company or any Material Subsidiary Group subject to other such process, exceeds in value $600,000,000 in the aggregate, and if, within thirty (30) days after the entry, issue or levy thereof, such judgment, warrant or process shall not have been paid or discharged or stayed pending appeal or removed to bond, or if, after the expiration of any such stay, such judgment, warrant or process, shall not have been paid or discharged or removed to bond;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(i) except to the extent that would not reasonably be expected to have a Materially Adverse Effect collectively or individually, (i) there shall be at any time any “accumulated funding deficiency,” as defined in ERISA or in Section 412 of the Code, with respect to any Plan maintained by the Company, any of its Subsidiaries or any ERISA Affiliate, or to which the Company, any of its Subsidiaries or any ERISA Affiliate has any liabilities, or any trust created thereunder; (ii) a trustee shall be appointed by a United States District Court to administer any such Plan; (iii) PBGC shall institute proceedings to terminate any such Plan; (iv) the Company, any of its Subsidiaries or any ERISA Affiliate shall incur any liability to PBGC in connection with the termination of any such Plan; or (v) any Plan or trust created under any Plan of the Company, any of its Subsidiaries or any ERISA Affiliate shall engage in a “prohibited transaction” (as such term is defined in Section 406 of ERISA or Section 4975 of the Code) which would subject any such Plan, any trust created thereunder, any trustee or administrator thereof, or any party dealing with any such Plan or trust to material tax or penalty on “prohibited transactions” imposed by Section 502 of ERISA or Section 4975 of the Code; </w:t>
      </w:r>
    </w:p>
    <w:p>
      <w:pPr>
        <w:pStyle w:val="TextBody"/>
        <w:bidi w:val="0"/>
        <w:spacing w:before="240" w:after="0"/>
        <w:jc w:val="both"/>
        <w:rPr>
          <w:rFonts w:ascii="Times New Roman" w:hAnsi="Times New Roman"/>
          <w:sz w:val="24"/>
        </w:rPr>
      </w:pPr>
      <w:r>
        <w:rPr>
          <w:rFonts w:ascii="Times New Roman" w:hAnsi="Times New Roman"/>
          <w:sz w:val="24"/>
        </w:rPr>
        <w:t xml:space="preserve">(j) there shall occur (i) any acceleration of the maturity of any Indebtedness (other than Indebtedness owed (x) to the Company or (y) to any of its Subsidiaries or Affiliates the accounts of which are consolidated with those of the Company in its consolidated financial statements referenced in Sections 6.1 and 6.2) of the Company or any Material Subsidiary in an aggregate principal amount exceeding $600,000,000, or, as a result of a failure to comply with the terms thereof, such Indebtedness shall otherwise have become due and payable prior to its scheduled maturity; or (ii) any failure to make any payment when due (after any applicable grace period) with respect to any Indebtedness (other than Indebtedness owed (x) to the Company or (y) to any of its Subsidiaries or Affiliates the accounts of which are consolidated with those of the Company in its consolidated financial statements referenced in Sections 6.1 and 6.2) of the Company or any Material Subsidiary (other than the Obligations) in an aggregate principal amount exceeding $600,000,000; </w:t>
      </w:r>
    </w:p>
    <w:p>
      <w:pPr>
        <w:pStyle w:val="TextBody"/>
        <w:bidi w:val="0"/>
        <w:spacing w:before="240" w:after="0"/>
        <w:jc w:val="both"/>
        <w:rPr>
          <w:rFonts w:ascii="Times New Roman" w:hAnsi="Times New Roman"/>
          <w:sz w:val="24"/>
        </w:rPr>
      </w:pPr>
      <w:r>
        <w:rPr>
          <w:rFonts w:ascii="Times New Roman" w:hAnsi="Times New Roman"/>
          <w:sz w:val="24"/>
        </w:rPr>
        <w:t xml:space="preserve">(k) any material Loan Document or any material provision thereof, shall at any time and for any reason be declared by a court of competent jurisdiction to be null and void, or a proceeding shall be commenced by the Company seeking to establish the invalidity or unenforceability thereof (exclusive of questions of interpretation of any provision thereof), or the Company shall deny that it has any liability or obligation for the payment of principal or interest purported to be created under any Loan Document (other than in accordance with its terms); </w:t>
      </w:r>
    </w:p>
    <w:p>
      <w:pPr>
        <w:pStyle w:val="TextBody"/>
        <w:bidi w:val="0"/>
        <w:spacing w:before="240" w:after="0"/>
        <w:jc w:val="both"/>
        <w:rPr>
          <w:rFonts w:ascii="Times New Roman" w:hAnsi="Times New Roman"/>
          <w:sz w:val="24"/>
        </w:rPr>
      </w:pPr>
      <w:r>
        <w:rPr>
          <w:rFonts w:ascii="Times New Roman" w:hAnsi="Times New Roman"/>
          <w:sz w:val="24"/>
        </w:rPr>
        <w:t xml:space="preserve">(l) there shall occur any Change of Control; or </w:t>
      </w:r>
    </w:p>
    <w:p>
      <w:pPr>
        <w:pStyle w:val="TextBody"/>
        <w:bidi w:val="0"/>
        <w:spacing w:before="240" w:after="0"/>
        <w:jc w:val="both"/>
        <w:rPr>
          <w:rFonts w:ascii="Times New Roman" w:hAnsi="Times New Roman"/>
          <w:sz w:val="24"/>
        </w:rPr>
      </w:pPr>
      <w:r>
        <w:rPr>
          <w:rFonts w:ascii="Times New Roman" w:hAnsi="Times New Roman"/>
          <w:sz w:val="24"/>
        </w:rPr>
        <w:t xml:space="preserve">(m) so long as any Subsidiary of the Company is a Subsidiary Borrower, any provision of Article 11 shall for any reason cease to be valid and binding on or enforceable against the Company, or the Company shall so state in writing. </w:t>
      </w:r>
    </w:p>
    <w:p>
      <w:pPr>
        <w:pStyle w:val="TextBody"/>
        <w:bidi w:val="0"/>
        <w:spacing w:before="240" w:after="0"/>
        <w:jc w:val="both"/>
        <w:rPr>
          <w:rFonts w:ascii="Times New Roman" w:hAnsi="Times New Roman"/>
          <w:sz w:val="24"/>
        </w:rPr>
      </w:pPr>
      <w:r>
        <w:rPr>
          <w:rFonts w:ascii="Times New Roman" w:hAnsi="Times New Roman"/>
          <w:sz w:val="24"/>
        </w:rPr>
        <w:t>Section 8.2 </w:t>
      </w:r>
      <w:r>
        <w:rPr>
          <w:rFonts w:ascii="Times New Roman" w:hAnsi="Times New Roman"/>
          <w:sz w:val="24"/>
          <w:u w:val="single"/>
        </w:rPr>
        <w:t>Remedies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(a) If an Event of Default specified in Section 8.1 (other than an Event of Default under Section 8.1(f) or (g) hereof) shall have occurred and shall be continuing, the Administrative Agent, at the request of the Majority Lenders but subject to Section 9.3 hereof, shall (i) (A) terminate the Revolving Loan Commitments and/or (B) declare the principal of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interest on the Loans and the Notes, if any, and all other amounts owed to the Lenders, the Issuing Banks and the Administrative Agent under this Agreement, the Notes and any other Loan Documents to be forthwith due and payable without presentment, demand, protest or other notice of any kind, all of which are hereby expressly waived, anything in this Agreement, the Notes or any other Loan Document to the contrary notwithstanding, and the Revolving Loan Commitments shall thereupon forthwith terminate, and (ii) require the Company to, and the Company shall thereupon, deposit in an interest bearing account with the Administrative Agent, as Cash Collateral for the Obligations, an amount equal to the maximum amount currently or at any time thereafter available to be drawn on all outstanding Letters of Credit in accordance with Section 2.15. </w:t>
      </w:r>
    </w:p>
    <w:p>
      <w:pPr>
        <w:pStyle w:val="TextBody"/>
        <w:bidi w:val="0"/>
        <w:spacing w:before="240" w:after="0"/>
        <w:jc w:val="both"/>
        <w:rPr>
          <w:rFonts w:ascii="Times New Roman" w:hAnsi="Times New Roman"/>
          <w:sz w:val="24"/>
        </w:rPr>
      </w:pPr>
      <w:r>
        <w:rPr>
          <w:rFonts w:ascii="Times New Roman" w:hAnsi="Times New Roman"/>
          <w:sz w:val="24"/>
        </w:rPr>
        <w:t xml:space="preserve">(b) Upon the occurrence and continuance of an Event of Default specified in Section 8.1(f) or (g) hereof, all principal, interest and other amounts due hereunder and under the Notes, and all other Obligations, shall thereupon and concurrently therewith become due and payable and the Revolving Loan Commitments shall forthwith terminate and the principal amount of the Loans outstanding hereunder shall bear interest at the Default Rate, and the Company shall thereupon forthwith deposit in an interest bearing account with the Administrative Agent, as Cash Collateral for the Obligations, an amount equal to the maximum amount currently or at any time thereafter available to be drawn on all outstanding Letters of Credit in accordance with Section 2.15, all without any action by the Administrative Agent, the Lenders, the Majority Lenders, the Issuing Banks, or any of them, and without presentment, demand, protest or other notice of any kind, all of which are expressly waived, anything in this Agreement or in the other Loan Documents to the contrary notwithstanding; </w:t>
      </w:r>
      <w:r>
        <w:rPr>
          <w:rFonts w:ascii="Times New Roman" w:hAnsi="Times New Roman"/>
          <w:sz w:val="24"/>
          <w:u w:val="single"/>
        </w:rPr>
        <w:t>provided</w:t>
      </w:r>
      <w:r>
        <w:rPr>
          <w:rFonts w:ascii="Times New Roman" w:hAnsi="Times New Roman"/>
          <w:sz w:val="24"/>
        </w:rPr>
        <w:t xml:space="preserve">, that in the case of an actual or deemed entry of an order for relief under the Federal Bankruptcy Code with respect to any Subsidiary Borrower, all principal, interest and other amounts due hereunder and under the Notes, and all other Obligations of such Subsidiary Borrower, shall thereupon and concurrently therewith become due and payable and the principal amount of the Loans outstanding hereunder shall bear interest at the Default Rate. </w:t>
      </w:r>
    </w:p>
    <w:p>
      <w:pPr>
        <w:pStyle w:val="TextBody"/>
        <w:bidi w:val="0"/>
        <w:spacing w:before="240" w:after="0"/>
        <w:jc w:val="both"/>
        <w:rPr>
          <w:rFonts w:ascii="Times New Roman" w:hAnsi="Times New Roman"/>
          <w:sz w:val="24"/>
        </w:rPr>
      </w:pPr>
      <w:r>
        <w:rPr>
          <w:rFonts w:ascii="Times New Roman" w:hAnsi="Times New Roman"/>
          <w:sz w:val="24"/>
        </w:rPr>
        <w:t xml:space="preserve">(c) Upon acceleration of the Loans, as provided in Section 8.2(a) or (b) hereof, the Administrative Agent, the Issuing Banks and the Lenders shall have all of the post-default rights granted to them, or any of them, as applicable under the Loan Documents and under Applicable Law. </w:t>
      </w:r>
    </w:p>
    <w:p>
      <w:pPr>
        <w:pStyle w:val="TextBody"/>
        <w:bidi w:val="0"/>
        <w:spacing w:before="240" w:after="0"/>
        <w:jc w:val="both"/>
        <w:rPr>
          <w:rFonts w:ascii="Times New Roman" w:hAnsi="Times New Roman"/>
          <w:sz w:val="24"/>
        </w:rPr>
      </w:pPr>
      <w:r>
        <w:rPr>
          <w:rFonts w:ascii="Times New Roman" w:hAnsi="Times New Roman"/>
          <w:sz w:val="24"/>
        </w:rPr>
        <w:t xml:space="preserve">(d) The rights and remedies of the Administrative Agent, the Issuing Banks and the Lenders hereunder shall be cumulative, and not exclusive. </w:t>
      </w:r>
    </w:p>
    <w:p>
      <w:pPr>
        <w:pStyle w:val="TextBody"/>
        <w:bidi w:val="0"/>
        <w:spacing w:before="240" w:after="0"/>
        <w:jc w:val="both"/>
        <w:rPr>
          <w:rFonts w:ascii="Times New Roman" w:hAnsi="Times New Roman"/>
          <w:sz w:val="24"/>
        </w:rPr>
      </w:pPr>
      <w:r>
        <w:rPr>
          <w:rFonts w:ascii="Times New Roman" w:hAnsi="Times New Roman"/>
          <w:sz w:val="24"/>
        </w:rPr>
        <w:t xml:space="preserve">(e) In the event that the Administrative Agent establishes a cash collateral account as contemplated by this Section 8.2, the Administrative Agent shall invest all funds in demand deposit bank accounts in U.S. financial institutions that are either member banks of the Federal Reserve system or state-chartered banks regulated by the FDIC). The Company hereby acknowledges and agrees that any interest earned on such funds shall be retained by the Administrative Agent as additional collateral for the Obligations. Upon satisfaction in full of all Obligations and the termination of the Commitments, the Administrative Agent shall pay any amounts then held in such account to the Company.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color w:val="0000FF"/>
          <w:sz w:val="24"/>
          <w:u w:val="single"/>
          <w:bdr w:val="double" w:sz="2" w:space="1" w:color="000000"/>
        </w:rPr>
        <w:t>Remedies with Respect to the Certain Funds Sublimit. Notwithstanding anything to the contrary herein, with respect to the undrawn Revolving Loan Commitments in</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color w:val="0000FF"/>
          <w:sz w:val="24"/>
          <w:u w:val="single"/>
          <w:bdr w:val="double" w:sz="2" w:space="1" w:color="000000"/>
        </w:rPr>
        <w:t>respect of the Certain Funds Sublimit, it is understood and agreed that (x) neither the Administrative Agent nor the Lenders shall be permitted to take any of the foregoing actions contained in this Section 8.2 with respect to any Default or Event of Default (except for any Default or Event of Default pursuant to Section 8.1(b), 8.1(f) or Section 8.1(g)) occurring during the Certain Funds Period and (y) the Administrative Agent and the Lenders shall not have any right to terminate any undrawn Revolving Loan Commitments in respect of the Certain Funds Sublimit upon the occurrence of any Default or Event of Default (except for any Default or Event of Default pursuant to Section 8.1(b), 8.1(f) or Section 8.1(g)).</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8.3 </w:t>
      </w:r>
      <w:r>
        <w:rPr>
          <w:rFonts w:ascii="Times New Roman" w:hAnsi="Times New Roman"/>
          <w:sz w:val="24"/>
          <w:u w:val="single"/>
        </w:rPr>
        <w:t>Payments Subsequent to Declaration of Event of Default</w:t>
      </w:r>
      <w:r>
        <w:rPr>
          <w:rFonts w:ascii="Times New Roman" w:hAnsi="Times New Roman"/>
          <w:sz w:val="24"/>
        </w:rPr>
        <w:t xml:space="preserve">. Subsequent to the acceleration of the Loans under Section 8.2 hereof, payments and prepayments (but, for the avoidance of doubt, not Cash Collateral) under this Agreement made to the Administrative Agent, the Issuing Banks and the Lenders or otherwise received by any of such Persons shall be paid over to the Administrative Agent (if necessary) and distributed by the Administrative Agent as follows: </w:t>
      </w:r>
      <w:r>
        <w:rPr>
          <w:rFonts w:ascii="Times New Roman" w:hAnsi="Times New Roman"/>
          <w:sz w:val="24"/>
          <w:u w:val="single"/>
        </w:rPr>
        <w:t>first</w:t>
      </w:r>
      <w:r>
        <w:rPr>
          <w:rFonts w:ascii="Times New Roman" w:hAnsi="Times New Roman"/>
          <w:sz w:val="24"/>
        </w:rPr>
        <w:t xml:space="preserve">, to the Administrative Agent’s, Lenders’ and Issuing Banks’ reasonable costs and expenses, if any, incurred in connection with the collection of such payment or prepayment, including, without limitation, all amounts under Section 12.2(b) hereof; </w:t>
      </w:r>
      <w:r>
        <w:rPr>
          <w:rFonts w:ascii="Times New Roman" w:hAnsi="Times New Roman"/>
          <w:sz w:val="24"/>
          <w:u w:val="single"/>
        </w:rPr>
        <w:t>second</w:t>
      </w:r>
      <w:r>
        <w:rPr>
          <w:rFonts w:ascii="Times New Roman" w:hAnsi="Times New Roman"/>
          <w:sz w:val="24"/>
        </w:rPr>
        <w:t xml:space="preserve">, to the Administrative Agent and the Issuing Banks for any fees hereunder or under any of the other Loan Documents then due and payable; </w:t>
      </w:r>
      <w:r>
        <w:rPr>
          <w:rFonts w:ascii="Times New Roman" w:hAnsi="Times New Roman"/>
          <w:sz w:val="24"/>
          <w:u w:val="single"/>
        </w:rPr>
        <w:t>third</w:t>
      </w:r>
      <w:r>
        <w:rPr>
          <w:rFonts w:ascii="Times New Roman" w:hAnsi="Times New Roman"/>
          <w:sz w:val="24"/>
        </w:rPr>
        <w:t xml:space="preserve">, to the Lenders pro rata on the basis of their respective unpaid principal amounts (except as provided in Section 2.2(e) hereof), for the payment of any unpaid interest which may have accrued on the Obligations and any fees hereunder or under any of the other Loan Documents then due and payable; </w:t>
      </w:r>
      <w:r>
        <w:rPr>
          <w:rFonts w:ascii="Times New Roman" w:hAnsi="Times New Roman"/>
          <w:sz w:val="24"/>
          <w:u w:val="single"/>
        </w:rPr>
        <w:t>fourth</w:t>
      </w:r>
      <w:r>
        <w:rPr>
          <w:rFonts w:ascii="Times New Roman" w:hAnsi="Times New Roman"/>
          <w:sz w:val="24"/>
        </w:rPr>
        <w:t xml:space="preserve">, to the Lenders pro rata until all Loans have been paid in full and participations in the Letters of Credit purchased by the Lenders pursuant to Section 2.13(d) hereof shall be paid on a pro rata basis with the Loans), for the payment of the Loans (including the aforementioned obligations under Hedge Agreements and participations in the Letters of Credit); </w:t>
      </w:r>
      <w:r>
        <w:rPr>
          <w:rFonts w:ascii="Times New Roman" w:hAnsi="Times New Roman"/>
          <w:sz w:val="24"/>
          <w:u w:val="single"/>
        </w:rPr>
        <w:t>fifth</w:t>
      </w:r>
      <w:r>
        <w:rPr>
          <w:rFonts w:ascii="Times New Roman" w:hAnsi="Times New Roman"/>
          <w:sz w:val="24"/>
        </w:rPr>
        <w:t xml:space="preserve">, to the Lenders pro rata on the basis of their respective unpaid amounts, for the payment of any other unpaid Obligations; and </w:t>
      </w:r>
      <w:r>
        <w:rPr>
          <w:rFonts w:ascii="Times New Roman" w:hAnsi="Times New Roman"/>
          <w:sz w:val="24"/>
          <w:u w:val="single"/>
        </w:rPr>
        <w:t>sixth</w:t>
      </w:r>
      <w:r>
        <w:rPr>
          <w:rFonts w:ascii="Times New Roman" w:hAnsi="Times New Roman"/>
          <w:sz w:val="24"/>
        </w:rPr>
        <w:t xml:space="preserve">, to the Company or as otherwise required by Applicable Law. </w:t>
      </w:r>
    </w:p>
    <w:p>
      <w:pPr>
        <w:pStyle w:val="TextBody"/>
        <w:bidi w:val="0"/>
        <w:spacing w:before="240" w:after="0"/>
        <w:jc w:val="center"/>
        <w:rPr>
          <w:rFonts w:ascii="Times New Roman" w:hAnsi="Times New Roman"/>
          <w:sz w:val="24"/>
        </w:rPr>
      </w:pPr>
      <w:r>
        <w:rPr>
          <w:rFonts w:ascii="Times New Roman" w:hAnsi="Times New Roman"/>
          <w:sz w:val="24"/>
        </w:rPr>
        <w:t xml:space="preserve">ARTICLE 9 - THE ADMINISTRATIVE AGENT </w:t>
      </w:r>
    </w:p>
    <w:p>
      <w:pPr>
        <w:pStyle w:val="TextBody"/>
        <w:bidi w:val="0"/>
        <w:spacing w:before="240" w:after="0"/>
        <w:jc w:val="both"/>
        <w:rPr>
          <w:rFonts w:ascii="Times New Roman" w:hAnsi="Times New Roman"/>
          <w:sz w:val="24"/>
        </w:rPr>
      </w:pPr>
      <w:r>
        <w:rPr>
          <w:rFonts w:ascii="Times New Roman" w:hAnsi="Times New Roman"/>
          <w:sz w:val="24"/>
        </w:rPr>
        <w:t>Section 9.1 </w:t>
      </w:r>
      <w:r>
        <w:rPr>
          <w:rFonts w:ascii="Times New Roman" w:hAnsi="Times New Roman"/>
          <w:sz w:val="24"/>
          <w:u w:val="single"/>
        </w:rPr>
        <w:t>Appointment and Authorization</w:t>
      </w:r>
      <w:r>
        <w:rPr>
          <w:rFonts w:ascii="Times New Roman" w:hAnsi="Times New Roman"/>
          <w:sz w:val="24"/>
        </w:rPr>
        <w:t xml:space="preserve">. Each of the Lenders and the Issuing Banks hereby irrevocably appoints Toronto Dominion (Texas)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Banks, and the Borrowers shall not have rights as a third party beneficiary of any of such provisions. </w:t>
      </w:r>
    </w:p>
    <w:p>
      <w:pPr>
        <w:pStyle w:val="TextBody"/>
        <w:bidi w:val="0"/>
        <w:spacing w:before="240" w:after="0"/>
        <w:jc w:val="both"/>
        <w:rPr>
          <w:rFonts w:ascii="Times New Roman" w:hAnsi="Times New Roman"/>
          <w:sz w:val="24"/>
        </w:rPr>
      </w:pPr>
      <w:r>
        <w:rPr>
          <w:rFonts w:ascii="Times New Roman" w:hAnsi="Times New Roman"/>
          <w:sz w:val="24"/>
        </w:rPr>
        <w:t>Section 9.2 </w:t>
      </w:r>
      <w:r>
        <w:rPr>
          <w:rFonts w:ascii="Times New Roman" w:hAnsi="Times New Roman"/>
          <w:sz w:val="24"/>
          <w:u w:val="single"/>
        </w:rPr>
        <w:t>Rights as a Lender</w:t>
      </w:r>
      <w:r>
        <w:rPr>
          <w:rFonts w:ascii="Times New Roman" w:hAnsi="Times New Roman"/>
          <w:sz w:val="24"/>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any Subsidiary or other Affiliate thereof as if such Person were not the Administrative Agent hereunder and without any duty to account therefor to the Lenders. </w:t>
      </w:r>
    </w:p>
    <w:p>
      <w:pPr>
        <w:pStyle w:val="TextBody"/>
        <w:bidi w:val="0"/>
        <w:spacing w:before="240" w:after="0"/>
        <w:jc w:val="both"/>
        <w:rPr>
          <w:rFonts w:ascii="Times New Roman" w:hAnsi="Times New Roman"/>
          <w:sz w:val="24"/>
        </w:rPr>
      </w:pPr>
      <w:r>
        <w:rPr>
          <w:rFonts w:ascii="Times New Roman" w:hAnsi="Times New Roman"/>
          <w:sz w:val="24"/>
        </w:rPr>
        <w:t>Section 9.3 </w:t>
      </w:r>
      <w:r>
        <w:rPr>
          <w:rFonts w:ascii="Times New Roman" w:hAnsi="Times New Roman"/>
          <w:sz w:val="24"/>
          <w:u w:val="single"/>
        </w:rPr>
        <w:t>Exculpatory Provisions</w:t>
      </w:r>
      <w:r>
        <w:rPr>
          <w:rFonts w:ascii="Times New Roman" w:hAnsi="Times New Roman"/>
          <w:sz w:val="24"/>
        </w:rPr>
        <w:t xml:space="preserve">. The Administrative Agent shall not have any duties or obligations except those expressly set forth herein and in the other Loan Documents. Without limiting the generality of the foregoing,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(a) shall not be subject to any fiduciary or other implied duties, regardless of whether a Default has occurred and is continuing; </w:t>
      </w:r>
    </w:p>
    <w:p>
      <w:pPr>
        <w:pStyle w:val="TextBody"/>
        <w:bidi w:val="0"/>
        <w:spacing w:before="240" w:after="0"/>
        <w:jc w:val="both"/>
        <w:rPr>
          <w:rFonts w:ascii="Times New Roman" w:hAnsi="Times New Roman"/>
          <w:sz w:val="24"/>
        </w:rPr>
      </w:pPr>
      <w:r>
        <w:rPr>
          <w:rFonts w:ascii="Times New Roman" w:hAnsi="Times New Roman"/>
          <w:sz w:val="24"/>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shall be expressly provided for herein or in the other Loan Documents), </w:t>
      </w:r>
      <w:r>
        <w:rPr>
          <w:rFonts w:ascii="Times New Roman" w:hAnsi="Times New Roman"/>
          <w:sz w:val="24"/>
          <w:u w:val="single"/>
        </w:rPr>
        <w:t>provided</w:t>
      </w:r>
      <w:r>
        <w:rPr>
          <w:rFonts w:ascii="Times New Roman" w:hAnsi="Times New Roman"/>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w:t>
      </w:r>
    </w:p>
    <w:p>
      <w:pPr>
        <w:pStyle w:val="TextBody"/>
        <w:bidi w:val="0"/>
        <w:spacing w:before="240" w:after="0"/>
        <w:jc w:val="both"/>
        <w:rPr>
          <w:rFonts w:ascii="Times New Roman" w:hAnsi="Times New Roman"/>
          <w:sz w:val="24"/>
        </w:rPr>
      </w:pPr>
      <w:r>
        <w:rPr>
          <w:rFonts w:ascii="Times New Roman" w:hAnsi="Times New Roman"/>
          <w:sz w:val="24"/>
        </w:rPr>
        <w:t xml:space="preserve">(c) shall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Administrative Agent or any of its Affiliates in any capacity. </w:t>
      </w:r>
    </w:p>
    <w:p>
      <w:pPr>
        <w:pStyle w:val="TextBody"/>
        <w:bidi w:val="0"/>
        <w:spacing w:before="240" w:after="0"/>
        <w:jc w:val="both"/>
        <w:rPr>
          <w:rFonts w:ascii="Times New Roman" w:hAnsi="Times New Roman"/>
          <w:sz w:val="24"/>
        </w:rPr>
      </w:pPr>
      <w:r>
        <w:rPr>
          <w:rFonts w:ascii="Times New Roman" w:hAnsi="Times New Roman"/>
          <w:sz w:val="24"/>
        </w:rPr>
        <w:t xml:space="preserve">The Administrative Agent shall not be liable for any action taken or not taken by it (i) with the consent or at the request of the Majority Lenders (or such other number or percentage of the Lenders as shall be necessary, or as the Administrative Agent shall believe in good faith shall be necessary, under the circumstances as provided in </w:t>
      </w:r>
      <w:r>
        <w:rPr>
          <w:rFonts w:ascii="Times New Roman" w:hAnsi="Times New Roman"/>
          <w:sz w:val="24"/>
          <w:u w:val="single"/>
        </w:rPr>
        <w:t>Sections 12.12</w:t>
      </w:r>
      <w:r>
        <w:rPr>
          <w:rFonts w:ascii="Times New Roman" w:hAnsi="Times New Roman"/>
          <w:sz w:val="24"/>
        </w:rPr>
        <w:t xml:space="preserve"> and </w:t>
      </w:r>
      <w:r>
        <w:rPr>
          <w:rFonts w:ascii="Times New Roman" w:hAnsi="Times New Roman"/>
          <w:sz w:val="24"/>
          <w:u w:val="single"/>
        </w:rPr>
        <w:t>8.2</w:t>
      </w:r>
      <w:r>
        <w:rPr>
          <w:rFonts w:ascii="Times New Roman" w:hAnsi="Times New Roman"/>
          <w:sz w:val="24"/>
        </w:rPr>
        <w:t xml:space="preserve">) or (ii) in the absence of its own gross negligence or willful misconduct. The Administrative Agent shall be deemed not to have knowledge of any Default unless and until notice describing such Default is given to the Administrative Agent by the Company, a Lender, the Swingline Lender or an Issuing Bank. </w:t>
      </w:r>
    </w:p>
    <w:p>
      <w:pPr>
        <w:pStyle w:val="TextBody"/>
        <w:bidi w:val="0"/>
        <w:spacing w:before="240" w:after="0"/>
        <w:jc w:val="both"/>
        <w:rPr>
          <w:rFonts w:ascii="Times New Roman" w:hAnsi="Times New Roman"/>
          <w:sz w:val="24"/>
        </w:rPr>
      </w:pPr>
      <w:r>
        <w:rPr>
          <w:rFonts w:ascii="Times New Roman" w:hAnsi="Times New Roman"/>
          <w:sz w:val="24"/>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hAnsi="Times New Roman"/>
          <w:sz w:val="24"/>
          <w:u w:val="single"/>
        </w:rPr>
        <w:t>Article 3</w:t>
      </w:r>
      <w:r>
        <w:rPr>
          <w:rFonts w:ascii="Times New Roman" w:hAnsi="Times New Roman"/>
          <w:sz w:val="24"/>
        </w:rPr>
        <w:t xml:space="preserve"> or elsewhere herein, other than to confirm receipt of items expressly required to be delivered to the Administrative Agent. </w:t>
      </w:r>
    </w:p>
    <w:p>
      <w:pPr>
        <w:pStyle w:val="TextBody"/>
        <w:bidi w:val="0"/>
        <w:spacing w:before="240" w:after="0"/>
        <w:jc w:val="both"/>
        <w:rPr>
          <w:rFonts w:ascii="Times New Roman" w:hAnsi="Times New Roman"/>
          <w:sz w:val="24"/>
        </w:rPr>
      </w:pPr>
      <w:r>
        <w:rPr>
          <w:rFonts w:ascii="Times New Roman" w:hAnsi="Times New Roman"/>
          <w:sz w:val="24"/>
        </w:rPr>
        <w:t>Section 9.4 </w:t>
      </w:r>
      <w:r>
        <w:rPr>
          <w:rFonts w:ascii="Times New Roman" w:hAnsi="Times New Roman"/>
          <w:sz w:val="24"/>
          <w:u w:val="single"/>
        </w:rPr>
        <w:t>Reliance by Administrative Agent</w:t>
      </w:r>
      <w:r>
        <w:rPr>
          <w:rFonts w:ascii="Times New Roman" w:hAnsi="Times New Roman"/>
          <w:sz w:val="24"/>
        </w:rPr>
        <w:t xml:space="preserve">. The Administrative Agent shall be entitled to rely upon, and shall not incur any liability for relying upon, any notice, request,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both"/>
        <w:rPr>
          <w:rFonts w:ascii="Times New Roman" w:hAnsi="Times New Roman"/>
          <w:sz w:val="24"/>
        </w:rPr>
      </w:pPr>
      <w:r>
        <w:rPr>
          <w:rFonts w:ascii="Times New Roman" w:hAnsi="Times New Roman"/>
          <w:sz w:val="24"/>
        </w:rPr>
        <w:t>Section 9.5 </w:t>
      </w:r>
      <w:r>
        <w:rPr>
          <w:rFonts w:ascii="Times New Roman" w:hAnsi="Times New Roman"/>
          <w:sz w:val="24"/>
          <w:u w:val="single"/>
        </w:rPr>
        <w:t>Resignation of Administrative Agent</w:t>
      </w:r>
      <w:r>
        <w:rPr>
          <w:rFonts w:ascii="Times New Roman" w:hAnsi="Times New Roman"/>
          <w:sz w:val="24"/>
        </w:rPr>
        <w:t>. (a) The Administrative Agent may at any time give notice of its resignation to the Lenders, the Issuing Banks and the Company. Upon receipt of any such notice of resignation, the Majority Lenders shall have the right to appoint a successor, which shall (i) be a bank with (A) an office in the United States, or an Affiliate of a bank with an office in the United States, and (B) combined capital and reserves in excess of $250,000,000 (clauses (A) and (B) together, the “</w:t>
      </w:r>
      <w:r>
        <w:rPr>
          <w:rFonts w:ascii="Times New Roman" w:hAnsi="Times New Roman"/>
          <w:sz w:val="24"/>
          <w:u w:val="single"/>
        </w:rPr>
        <w:t>Agent Qualifications</w:t>
      </w:r>
      <w:r>
        <w:rPr>
          <w:rFonts w:ascii="Times New Roman" w:hAnsi="Times New Roman"/>
          <w:sz w:val="24"/>
        </w:rPr>
        <w:t>”) and (ii) so long as no Event of Default is continuing, be reasonably acceptable to Company. If no such successor shall have been so appointed by the Majority Lenders and shall have accepted such appointment within thirty (30) days after the retiring Administrative Agent gives notice of its resignation (the “</w:t>
      </w:r>
      <w:r>
        <w:rPr>
          <w:rFonts w:ascii="Times New Roman" w:hAnsi="Times New Roman"/>
          <w:sz w:val="24"/>
          <w:u w:val="single"/>
        </w:rPr>
        <w:t>Resignation Effective Date</w:t>
      </w:r>
      <w:r>
        <w:rPr>
          <w:rFonts w:ascii="Times New Roman" w:hAnsi="Times New Roman"/>
          <w:sz w:val="24"/>
        </w:rPr>
        <w:t xml:space="preserve">”), then the retiring Administrative Agent may (but shall not be obligated to), on behalf of the Lenders and the Issuing Banks and in consultation with the Company, appoint a successor Administrative Agent meeting the Agent Qualifications. Whether or not a successor has been appointed, such resignation shall become effective in accordance with such notice on the Resignation Effective Date. </w:t>
      </w:r>
    </w:p>
    <w:p>
      <w:pPr>
        <w:pStyle w:val="TextBody"/>
        <w:bidi w:val="0"/>
        <w:spacing w:before="240" w:after="0"/>
        <w:jc w:val="both"/>
        <w:rPr>
          <w:rFonts w:ascii="Times New Roman" w:hAnsi="Times New Roman"/>
          <w:sz w:val="24"/>
        </w:rPr>
      </w:pPr>
      <w:r>
        <w:rPr>
          <w:rFonts w:ascii="Times New Roman" w:hAnsi="Times New Roman"/>
          <w:sz w:val="24"/>
        </w:rPr>
        <w:t>(b) If the Person serving as Administrative Agent is a Defaulting Lender pursuant to clause (v) of the definition thereof, the Majority Lenders may, to the extent permitted by Applicable Law, by notice in writing to the Company and such Person remove such Person as Administrative Agent and appoint a successor Administrative Agent meeting the Agent Qualifications and which, so long as no Event of Default is continuing, is reasonably acceptable to Company. If no such successor shall have been so appointed by the Majority Lenders and shall have accepted such appointment within thirty (30) days (or such earlier day as shall be agreed by the Majority Lenders) (the “</w:t>
      </w:r>
      <w:r>
        <w:rPr>
          <w:rFonts w:ascii="Times New Roman" w:hAnsi="Times New Roman"/>
          <w:sz w:val="24"/>
          <w:u w:val="single"/>
        </w:rPr>
        <w:t>Removal Effective Date</w:t>
      </w:r>
      <w:r>
        <w:rPr>
          <w:rFonts w:ascii="Times New Roman" w:hAnsi="Times New Roman"/>
          <w:sz w:val="24"/>
        </w:rPr>
        <w:t xml:space="preserve">”), then such removal shall nonetheless become effective in accordance with such notice on the Removal Effective Date. </w:t>
      </w:r>
    </w:p>
    <w:p>
      <w:pPr>
        <w:pStyle w:val="TextBody"/>
        <w:bidi w:val="0"/>
        <w:spacing w:before="240" w:after="0"/>
        <w:jc w:val="both"/>
        <w:rPr>
          <w:rFonts w:ascii="Times New Roman" w:hAnsi="Times New Roman"/>
          <w:sz w:val="24"/>
        </w:rPr>
      </w:pPr>
      <w:r>
        <w:rPr>
          <w:rFonts w:ascii="Times New Roman" w:hAnsi="Times New Roman"/>
          <w:sz w:val="24"/>
        </w:rPr>
        <w:t xml:space="preserve">(c) With effect from, as applicable, the Resignation Effective Date or the Removal Effective Date (1) the retiring Administrative Agent shall be discharged from its duties and obligations hereunder and under the other Loan Documents (except that in the case of any collateral security held by the Administrative Agent on behalf of the Lenders or the Issuing Banks under any of the Loan Documents, the retiring Administrative Agent shall continue to hold such collateral security until such time as a successor Administrative Agent is appointed) and (2) all payments, communications and determinations provided to be made by, to or through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Administrative Agent shall instead be made by or to each Lender and each Issuing Bank directly, until such time as the Majority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hAnsi="Times New Roman"/>
          <w:sz w:val="24"/>
          <w:u w:val="single"/>
        </w:rPr>
        <w:t>Sections 12.2</w:t>
      </w:r>
      <w:r>
        <w:rPr>
          <w:rFonts w:ascii="Times New Roman" w:hAnsi="Times New Roman"/>
          <w:sz w:val="24"/>
        </w:rPr>
        <w:t xml:space="preserve"> and </w:t>
      </w:r>
      <w:r>
        <w:rPr>
          <w:rFonts w:ascii="Times New Roman" w:hAnsi="Times New Roman"/>
          <w:sz w:val="24"/>
          <w:u w:val="single"/>
        </w:rPr>
        <w:t>12.5</w:t>
      </w:r>
      <w:r>
        <w:rPr>
          <w:rFonts w:ascii="Times New Roman" w:hAnsi="Times New Roman"/>
          <w:sz w:val="24"/>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(d) Any resignation by Toronto Dominion (Texas) LLC as Administrative Agent pursuant to this Section shall also constitute the resignation of Toronto Dominion as an Issuing Bank and Swingline Lender. If Toronto Dominion resigns as Swingline Lender, it shall retain all the rights of the Swingline Lender provided for hereunder with respect to Swingline Loans made by it and outstanding as of the effective date of such resignation, including the right to require the Lenders to make Revolving Loans (in the form of Base Rate Advances) or fund risk participations in outstanding Swingline Loans pursuant to Section 2.17(c). Upon the acceptance of a successor’s appointment as Administrative Agent hereunder, (i) such successor shall succeed to and become vested with all of the rights, powers, privileges and duties of the retiring Issuing Bank or Swingline Lender, as applicable,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240" w:after="0"/>
        <w:jc w:val="both"/>
        <w:rPr>
          <w:rFonts w:ascii="Times New Roman" w:hAnsi="Times New Roman"/>
          <w:sz w:val="24"/>
        </w:rPr>
      </w:pPr>
      <w:r>
        <w:rPr>
          <w:rFonts w:ascii="Times New Roman" w:hAnsi="Times New Roman"/>
          <w:sz w:val="24"/>
        </w:rPr>
        <w:t>Section 9.6 </w:t>
      </w:r>
      <w:r>
        <w:rPr>
          <w:rFonts w:ascii="Times New Roman" w:hAnsi="Times New Roman"/>
          <w:sz w:val="24"/>
          <w:u w:val="single"/>
        </w:rPr>
        <w:t>Non-Reliance on Administrative Agent and Other Lenders</w:t>
      </w:r>
      <w:r>
        <w:rPr>
          <w:rFonts w:ascii="Times New Roman" w:hAnsi="Times New Roman"/>
          <w:sz w:val="24"/>
        </w:rPr>
        <w:t xml:space="preserve">. 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both"/>
        <w:rPr>
          <w:rFonts w:ascii="Times New Roman" w:hAnsi="Times New Roman"/>
          <w:sz w:val="24"/>
        </w:rPr>
      </w:pPr>
      <w:r>
        <w:rPr>
          <w:rFonts w:ascii="Times New Roman" w:hAnsi="Times New Roman"/>
          <w:sz w:val="24"/>
        </w:rPr>
        <w:t>Section 9.7 </w:t>
      </w:r>
      <w:r>
        <w:rPr>
          <w:rFonts w:ascii="Times New Roman" w:hAnsi="Times New Roman"/>
          <w:sz w:val="24"/>
          <w:u w:val="single"/>
        </w:rPr>
        <w:t>Indemnification</w:t>
      </w:r>
      <w:r>
        <w:rPr>
          <w:rFonts w:ascii="Times New Roman" w:hAnsi="Times New Roman"/>
          <w:sz w:val="24"/>
        </w:rPr>
        <w:t xml:space="preserve">. The Lenders severally, and not jointly, agree to indemnify the Administrative Agent (to the extent not reimbursed by the Company but without effecting the Company’s obligations with respect thereto) pro rata according to their respective Commitment Ratios, from and against any and all liabilities, obligations, losses (other than the loss of principal, interest and fees hereunder in the event of a bankruptcy or out-of-court ‘work-out’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the Loans), damages, penalties, actions, judgments, suits, or reasonable out-of-pocket costs, expenses (including, without limitation, fees and disbursements of experts, agents, consultants and counsel), or disbursements of any kind or nature whatsoever which may be imposed on, incurred by or asserted against the Administrative Agent in any way relating to or arising out of this Agreement, any other Loan Document, or any other document contemplated by this Agreement or any other Loan Document or any action taken or omitted by the Administrative Agent under this Agreement, any other Loan Document, or any other document contemplated by this Agreement, except that no Lender shall be liable to the Administrative Agent for any portion of such liabilities, obligations, losses, damages, penalties, actions, judgments, suits, or reasonable out-of-pocket costs, expenses or disbursements resulting from the gross negligence or willful misconduct of the Administrative Agent as determined by a final, non-appealable judicial order of a court having jurisdiction over the subject matter. </w:t>
      </w:r>
    </w:p>
    <w:p>
      <w:pPr>
        <w:pStyle w:val="TextBody"/>
        <w:bidi w:val="0"/>
        <w:spacing w:before="240" w:after="0"/>
        <w:jc w:val="both"/>
        <w:rPr>
          <w:rFonts w:ascii="Times New Roman" w:hAnsi="Times New Roman"/>
          <w:sz w:val="24"/>
        </w:rPr>
      </w:pPr>
      <w:r>
        <w:rPr>
          <w:rFonts w:ascii="Times New Roman" w:hAnsi="Times New Roman"/>
          <w:sz w:val="24"/>
        </w:rPr>
        <w:t>Section 9.8 </w:t>
      </w:r>
      <w:r>
        <w:rPr>
          <w:rFonts w:ascii="Times New Roman" w:hAnsi="Times New Roman"/>
          <w:sz w:val="24"/>
          <w:u w:val="single"/>
        </w:rPr>
        <w:t>No Responsibilities of the Agents</w:t>
      </w:r>
      <w:r>
        <w:rPr>
          <w:rFonts w:ascii="Times New Roman" w:hAnsi="Times New Roman"/>
          <w:sz w:val="24"/>
        </w:rPr>
        <w:t xml:space="preserve">. Notwithstanding any provision to the contrary contained elsewhere herein or in any other Loan Document, the Syndication Agent, the Joint Lead Arrangers and the Joint Bookrunners (as set forth on the cover page hereof) shall not have any duties or responsibilities, nor shall the Syndication Agent or any of the Joint Lead Arrangers or Joint Bookrunners have or be deemed to have any fiduciary relationship with any Lender or participant, and no implied covenants, functions, responsibilities, duties, obligations or liabilities shall be read into this Agreement or any other Loan Document or otherwise exist against the Syndication Agent or any of the Joint Lead Arrangers or Joint Bookrunners. </w:t>
      </w:r>
    </w:p>
    <w:p>
      <w:pPr>
        <w:pStyle w:val="TextBody"/>
        <w:bidi w:val="0"/>
        <w:spacing w:before="240" w:after="0"/>
        <w:jc w:val="both"/>
        <w:rPr>
          <w:rFonts w:ascii="Times New Roman" w:hAnsi="Times New Roman"/>
          <w:sz w:val="24"/>
        </w:rPr>
      </w:pPr>
      <w:r>
        <w:rPr>
          <w:rFonts w:ascii="Times New Roman" w:hAnsi="Times New Roman"/>
          <w:sz w:val="24"/>
        </w:rPr>
        <w:t>Section 9.9 </w:t>
      </w:r>
      <w:r>
        <w:rPr>
          <w:rFonts w:ascii="Times New Roman" w:hAnsi="Times New Roman"/>
          <w:sz w:val="24"/>
          <w:u w:val="single"/>
        </w:rPr>
        <w:t>Lender ERISA Matters</w:t>
      </w:r>
      <w:r>
        <w:rPr>
          <w:rFonts w:ascii="Times New Roman" w:hAnsi="Times New Roman"/>
          <w:sz w:val="24"/>
        </w:rPr>
        <w:t xml:space="preserve">. Each Lender represents and warrants as of the date hereof to the Administrative Agent and each Joint Lead Arranger and their respective Affiliates, and not, for the avoidance of doubt, for the benefit of the Company or any other Borrower, that such Lender is not and will not be (i) an employee benefit plan subject to Title I of ERISA, (ii) a plan or account subject to Section 4975 of the Internal Revenue Code; (iii) an entity deemed to hold “plan assets” of any such plans or accounts for purposes of ERISA or the Internal Revenue Code that is using “plan assets” of any such plans or accounts to fund or hold Loans or perform its obligations under this Agreement; or (iv) a “governmental plan” within the meaning of ERISA. </w:t>
      </w:r>
    </w:p>
    <w:p>
      <w:pPr>
        <w:pStyle w:val="TextBody"/>
        <w:bidi w:val="0"/>
        <w:spacing w:before="240" w:after="0"/>
        <w:jc w:val="both"/>
        <w:rPr>
          <w:rFonts w:ascii="Times New Roman" w:hAnsi="Times New Roman"/>
          <w:sz w:val="24"/>
        </w:rPr>
      </w:pPr>
      <w:r>
        <w:rPr>
          <w:rFonts w:ascii="Times New Roman" w:hAnsi="Times New Roman"/>
          <w:sz w:val="24"/>
        </w:rPr>
        <w:t>Section 9.10 </w:t>
      </w:r>
      <w:r>
        <w:rPr>
          <w:rFonts w:ascii="Times New Roman" w:hAnsi="Times New Roman"/>
          <w:sz w:val="24"/>
          <w:u w:val="single"/>
        </w:rPr>
        <w:t>Erroneous Payments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4"/>
          <w:u w:val="single"/>
        </w:rPr>
        <w:t>Payment</w:t>
      </w:r>
      <w:r>
        <w:rPr>
          <w:rFonts w:ascii="Times New Roman" w:hAnsi="Times New Roman"/>
          <w:sz w:val="24"/>
        </w:rPr>
        <w:t xml:space="preserve">”) were erroneously transmitted to such Lender (whether or not known to such Lender), and demands the return of such Payment (or a portion thereof), such Lender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a rate determined by the Administrative Agent in accordance with banking industry rules on interbank compensation from time to time in effect, and (y) to the extent permitted by applicable law, such Lender shall not assert, and hereby waives, as to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9.10 shall be conclusive, absent manifest error. </w:t>
      </w:r>
    </w:p>
    <w:p>
      <w:pPr>
        <w:pStyle w:val="TextBody"/>
        <w:bidi w:val="0"/>
        <w:spacing w:before="240" w:after="0"/>
        <w:jc w:val="both"/>
        <w:rPr>
          <w:rFonts w:ascii="Times New Roman" w:hAnsi="Times New Roman"/>
          <w:sz w:val="24"/>
        </w:rPr>
      </w:pPr>
      <w:r>
        <w:rPr>
          <w:rFonts w:ascii="Times New Roman" w:hAnsi="Times New Roman"/>
          <w:sz w:val="24"/>
        </w:rPr>
        <w:t>(b) Each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4"/>
          <w:u w:val="single"/>
        </w:rPr>
        <w:t>Payment Notice</w:t>
      </w:r>
      <w:r>
        <w:rPr>
          <w:rFonts w:ascii="Times New Roman" w:hAnsi="Times New Roman"/>
          <w:sz w:val="24"/>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a rate determined by the Administrative Agent in accordance with banking industry rules on interbank compensation from time to time in effect. </w:t>
      </w:r>
    </w:p>
    <w:p>
      <w:pPr>
        <w:pStyle w:val="TextBody"/>
        <w:bidi w:val="0"/>
        <w:spacing w:before="240" w:after="0"/>
        <w:jc w:val="both"/>
        <w:rPr>
          <w:rFonts w:ascii="Times New Roman" w:hAnsi="Times New Roman"/>
          <w:sz w:val="24"/>
        </w:rPr>
      </w:pPr>
      <w:r>
        <w:rPr>
          <w:rFonts w:ascii="Times New Roman" w:hAnsi="Times New Roman"/>
          <w:sz w:val="24"/>
        </w:rPr>
        <w:t xml:space="preserve">(c) The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w:t>
      </w:r>
    </w:p>
    <w:p>
      <w:pPr>
        <w:pStyle w:val="TextBody"/>
        <w:bidi w:val="0"/>
        <w:spacing w:before="240" w:after="0"/>
        <w:jc w:val="both"/>
        <w:rPr>
          <w:rFonts w:ascii="Times New Roman" w:hAnsi="Times New Roman"/>
          <w:sz w:val="24"/>
        </w:rPr>
      </w:pPr>
      <w:r>
        <w:rPr>
          <w:rFonts w:ascii="Times New Roman" w:hAnsi="Times New Roman"/>
          <w:sz w:val="24"/>
        </w:rPr>
        <w:t xml:space="preserve">(d) Each party’s obligations under this Section 9.10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240" w:after="0"/>
        <w:jc w:val="center"/>
        <w:rPr>
          <w:rFonts w:ascii="Times New Roman" w:hAnsi="Times New Roman"/>
          <w:sz w:val="24"/>
        </w:rPr>
      </w:pPr>
      <w:r>
        <w:rPr>
          <w:rFonts w:ascii="Times New Roman" w:hAnsi="Times New Roman"/>
          <w:sz w:val="24"/>
        </w:rPr>
        <w:t xml:space="preserve">ARTICLE 10 - CHANGES IN CIRCUMSTANCES </w:t>
      </w:r>
    </w:p>
    <w:p>
      <w:pPr>
        <w:pStyle w:val="TextBody"/>
        <w:bidi w:val="0"/>
        <w:spacing w:before="0" w:after="0"/>
        <w:jc w:val="center"/>
        <w:rPr>
          <w:rFonts w:ascii="Times New Roman" w:hAnsi="Times New Roman"/>
          <w:sz w:val="24"/>
        </w:rPr>
      </w:pPr>
      <w:r>
        <w:rPr>
          <w:rFonts w:ascii="Times New Roman" w:hAnsi="Times New Roman"/>
          <w:sz w:val="24"/>
        </w:rPr>
        <w:t xml:space="preserve">AFFECTING TERM RATE ADVANCES AND INCREASED COSTS </w:t>
      </w:r>
    </w:p>
    <w:p>
      <w:pPr>
        <w:pStyle w:val="TextBody"/>
        <w:bidi w:val="0"/>
        <w:spacing w:before="240" w:after="0"/>
        <w:jc w:val="both"/>
        <w:rPr>
          <w:rFonts w:ascii="Times New Roman" w:hAnsi="Times New Roman"/>
          <w:sz w:val="24"/>
        </w:rPr>
      </w:pPr>
      <w:r>
        <w:rPr>
          <w:rFonts w:ascii="Times New Roman" w:hAnsi="Times New Roman"/>
          <w:sz w:val="24"/>
        </w:rPr>
        <w:t>Section 10.1 </w:t>
      </w:r>
      <w:r>
        <w:rPr>
          <w:rFonts w:ascii="Times New Roman" w:hAnsi="Times New Roman"/>
          <w:sz w:val="24"/>
          <w:u w:val="single"/>
        </w:rPr>
        <w:t>Interest Rate Basis Determination Inadequate or Unfair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(a) Inability to Determine Rates. Subject to clauses (b), (c), (d), (e) and (f) of this Section 10.1, if with respect to any proposed Term Rate Advance or SONIA Rate Advance for any Interest Period, </w:t>
      </w:r>
    </w:p>
    <w:p>
      <w:pPr>
        <w:pStyle w:val="TextBody"/>
        <w:bidi w:val="0"/>
        <w:spacing w:before="240" w:after="0"/>
        <w:jc w:val="both"/>
        <w:rPr>
          <w:rFonts w:ascii="Times New Roman" w:hAnsi="Times New Roman"/>
          <w:sz w:val="24"/>
        </w:rPr>
      </w:pPr>
      <w:r>
        <w:rPr>
          <w:rFonts w:ascii="Times New Roman" w:hAnsi="Times New Roman"/>
          <w:sz w:val="24"/>
        </w:rPr>
        <w:t xml:space="preserve">(i) the Administrative Agent determines (which determination shall be conclusive and binding absent manifest error) that: </w:t>
      </w:r>
    </w:p>
    <w:p>
      <w:pPr>
        <w:pStyle w:val="TextBody"/>
        <w:bidi w:val="0"/>
        <w:spacing w:before="240" w:after="0"/>
        <w:jc w:val="both"/>
        <w:rPr>
          <w:rFonts w:ascii="Times New Roman" w:hAnsi="Times New Roman"/>
          <w:sz w:val="24"/>
        </w:rPr>
      </w:pPr>
      <w:r>
        <w:rPr>
          <w:rFonts w:ascii="Times New Roman" w:hAnsi="Times New Roman"/>
          <w:sz w:val="24"/>
        </w:rPr>
        <w:t xml:space="preserve">(X) (A) if the SONIA Rate is utilized in any calculations hereunder or under any other Loan Document with respect to any Obligations, interest, fees, commissions or other amounts, “the SONIA Rate” cannot be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determined pursuant to the definition thereof or (B) if </w:t>
      </w:r>
      <w:r>
        <w:rPr>
          <w:rFonts w:ascii="Times New Roman" w:hAnsi="Times New Roman"/>
          <w:strike/>
          <w:color w:val="FF0000"/>
          <w:sz w:val="24"/>
        </w:rPr>
        <w:t xml:space="preserve">Adjusted </w:t>
      </w:r>
      <w:r>
        <w:rPr>
          <w:rFonts w:ascii="Times New Roman" w:hAnsi="Times New Roman"/>
          <w:sz w:val="24"/>
        </w:rPr>
        <w:t>Term SOFR or any other Term Rate is utilized in any calculations hereunder or under any other Loan Document with respect to any Obligations, interest, fees, commissions or other amounts, “</w:t>
      </w:r>
      <w:r>
        <w:rPr>
          <w:rFonts w:ascii="Times New Roman" w:hAnsi="Times New Roman"/>
          <w:strike/>
          <w:color w:val="FF0000"/>
          <w:sz w:val="24"/>
        </w:rPr>
        <w:t xml:space="preserve">Adjusted </w:t>
      </w:r>
      <w:r>
        <w:rPr>
          <w:rFonts w:ascii="Times New Roman" w:hAnsi="Times New Roman"/>
          <w:sz w:val="24"/>
        </w:rPr>
        <w:t xml:space="preserve">Term SOFR” or such “Term Rate”, as applicable, cannot be determined pursuant to the definition thereof on or prior to the first day of any Interest Period; or </w:t>
      </w:r>
    </w:p>
    <w:p>
      <w:pPr>
        <w:pStyle w:val="TextBody"/>
        <w:bidi w:val="0"/>
        <w:spacing w:before="240" w:after="0"/>
        <w:jc w:val="both"/>
        <w:rPr>
          <w:rFonts w:ascii="Times New Roman" w:hAnsi="Times New Roman"/>
          <w:sz w:val="24"/>
        </w:rPr>
      </w:pPr>
      <w:r>
        <w:rPr>
          <w:rFonts w:ascii="Times New Roman" w:hAnsi="Times New Roman"/>
          <w:sz w:val="24"/>
        </w:rPr>
        <w:t xml:space="preserve">(Y) with respect to any such Loan denominated in an Agreed Currency, a fundamental change has occurred in the foreign exchange or interbank markets with respect to such Alternative Currency (including changes in national or international financial, political or economic conditions or currency exchange rates or exchange controls; </w:t>
      </w:r>
    </w:p>
    <w:p>
      <w:pPr>
        <w:pStyle w:val="TextBody"/>
        <w:bidi w:val="0"/>
        <w:spacing w:before="240" w:after="0"/>
        <w:jc w:val="both"/>
        <w:rPr>
          <w:rFonts w:ascii="Times New Roman" w:hAnsi="Times New Roman"/>
          <w:sz w:val="24"/>
        </w:rPr>
      </w:pPr>
      <w:r>
        <w:rPr>
          <w:rFonts w:ascii="Times New Roman" w:hAnsi="Times New Roman"/>
          <w:sz w:val="24"/>
        </w:rPr>
        <w:t xml:space="preserve">(ii) with respect to any Term Rate Loan or any request therefor or a conversion thereto or a continuation thereof, the Majority Lenders determine (which determination shall be conclusive and binding absent manifest error) that deposits in the applicable Agreed Currency are not being offered to banks in the applicable offshore interbank market for the applicable Agreed Currency, amount or Interest Period of such Term Rate Loan, and the Majority Lenders have provided notice of such determination to the Administrative Agent; or </w:t>
      </w:r>
    </w:p>
    <w:p>
      <w:pPr>
        <w:pStyle w:val="TextBody"/>
        <w:bidi w:val="0"/>
        <w:spacing w:before="240" w:after="0"/>
        <w:jc w:val="both"/>
        <w:rPr>
          <w:rFonts w:ascii="Times New Roman" w:hAnsi="Times New Roman"/>
          <w:sz w:val="24"/>
        </w:rPr>
      </w:pPr>
      <w:r>
        <w:rPr>
          <w:rFonts w:ascii="Times New Roman" w:hAnsi="Times New Roman"/>
          <w:sz w:val="24"/>
        </w:rPr>
        <w:t xml:space="preserve">(iii) the Majority Lenders determine that for any reason in connection with any request for such Loan or a conversion thereto or a continuation thereof that (x) if the SONIA Rate is utilized in any calculations hereunder or under any other Loan Document with respect to any Obligations, interest, fees, commissions or other amounts, the SONIA Rate does not adequately and fairly reflect the cost to such Lenders of making or maintaining such Loans or (y) if </w:t>
      </w:r>
      <w:r>
        <w:rPr>
          <w:rFonts w:ascii="Times New Roman" w:hAnsi="Times New Roman"/>
          <w:strike/>
          <w:color w:val="FF0000"/>
          <w:sz w:val="24"/>
        </w:rPr>
        <w:t xml:space="preserve">Adjusted </w:t>
      </w:r>
      <w:r>
        <w:rPr>
          <w:rFonts w:ascii="Times New Roman" w:hAnsi="Times New Roman"/>
          <w:sz w:val="24"/>
        </w:rPr>
        <w:t xml:space="preserve">Term SOFR or if any other Term Rate is utilized in any calculations hereunder or under any other Loan Document with respect to any Obligations, interest, fees, commissions or other amounts, </w:t>
      </w:r>
      <w:r>
        <w:rPr>
          <w:rFonts w:ascii="Times New Roman" w:hAnsi="Times New Roman"/>
          <w:strike/>
          <w:color w:val="FF0000"/>
          <w:sz w:val="24"/>
        </w:rPr>
        <w:t xml:space="preserve">Adjusted </w:t>
      </w:r>
      <w:r>
        <w:rPr>
          <w:rFonts w:ascii="Times New Roman" w:hAnsi="Times New Roman"/>
          <w:sz w:val="24"/>
        </w:rPr>
        <w:t xml:space="preserve">Term SOFR or such Term Rate, as applicable, does not adequately and fairly reflect the cost to such Lenders of making or maintaining such Loan during the applicable Interest Period, and, in the case of (x) or (y), the Majority Lenders have provided notice of such determination to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then, in each case, the Administrative Agent will promptly so notify the Company and each Lender. Upon notice thereof by the Administrative Agent to the Company, any obligation of the Lenders to make SONIA Rate Advances or Term Rate Loans, as applicable, in each such Agreed Currency, and any right of any Borrower to convert any Loan in each such Agreed Currency (if applicable) to or continue any Loan as a SONIA Rate Advance or a Term Rate Loan, as applicable, in each such Agreed Currency, shall be suspended (to the extent of the affected SONIA Rate Advances or Term Rate Loans or, in the case of any Term Rate Loans, the affected Interest Periods) until the Administrative Agent (with respect to clause (ii) or (iii), at the instruction of the Majority Lenders) revokes such notice. Upon receipt of such notice, (A) the Borrower may revoke any pending request for a borrowing of, conversion to or continuation of SONIA Rate Advances or Term Rate Loans in each such affected Agreed Currency (to the extent of the affected SONIA Rate Advances or Term Rate Loans or, in the case of Term Rate Loans, the affected Interest Periods) or, failing that, (I) in the case of any request for an affected Term SOFR Borrowing in Dollars,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Borrower will be deemed to have converted any such request into a request for a Borrowing of or conversion to Base Rate Loans in the amount specified therein and (II) in the case of any request for an affected borrowing in an Agreed Currency, then such request shall be ineffective and (B)(I) any outstanding affected SOFR Loans will be deemed to have been converted into Base Rate Loans at the end of the applicable Interest Period and (II) any outstanding affected Loans denominated in an Agreed Currency, at the applicable Borrower’s election, shall either (1) be converted into Base Rate Loans denominated in Dollars (in an amount equal to the Dollar Equivalent of such Agreed Currency) immediately or, in the case of Term Rate Loans, at the end of the applicable Interest Period or (2) be prepaid in full immediately or, in the case of Term Rate Loans, at the end of the applicable Interest Period; provided that if no election is made by the applicable Borrower by the date that is the earlier of (x) three Business Days after receipt by the applicable Borrower of such notice or (y) with respect to a Term Rate Loan, the last day of the current Interest Period, the Borrower shall be deemed to have elected clause (1) above. Upon any such prepayment or conversion, the Borrower shall also pay accrued interest on the amount so prepaid or converted, together with any additional amounts required pursuant to Section 10.05. If the Administrative Agent determines (which determination shall be conclusive and binding absent manifest error) that “</w:t>
      </w:r>
      <w:r>
        <w:rPr>
          <w:rFonts w:ascii="Times New Roman" w:hAnsi="Times New Roman"/>
          <w:strike/>
          <w:color w:val="FF0000"/>
          <w:sz w:val="24"/>
        </w:rPr>
        <w:t xml:space="preserve">Adjusted </w:t>
      </w:r>
      <w:r>
        <w:rPr>
          <w:rFonts w:ascii="Times New Roman" w:hAnsi="Times New Roman"/>
          <w:sz w:val="24"/>
        </w:rPr>
        <w:t xml:space="preserve">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Benchmark Replacement</w:t>
      </w:r>
      <w:r>
        <w:rPr>
          <w:rFonts w:ascii="Times New Roman" w:hAnsi="Times New Roman"/>
          <w:sz w:val="24"/>
        </w:rPr>
        <w:t xml:space="preserve">. Notwithstanding anything to the contrary herein or in any other Loan Document, if a Benchmark Transition Event and its related Benchmark Replacement Date have occurred prior to any setting of any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w:t>
      </w:r>
      <w:r>
        <w:rPr>
          <w:rFonts w:ascii="Times New Roman" w:hAnsi="Times New Roman"/>
          <w:strike/>
          <w:color w:val="FF0000"/>
          <w:sz w:val="24"/>
        </w:rPr>
        <w:t xml:space="preserve">the definition of “Adjusted Term SOFR” shall be deemed modified to delete the addition of the Term SOFR Adjustment to Term SOFR for any calculation and </w:t>
      </w:r>
      <w:r>
        <w:rPr>
          <w:rFonts w:ascii="Times New Roman" w:hAnsi="Times New Roman"/>
          <w:sz w:val="24"/>
        </w:rPr>
        <w:t xml:space="preserve">(y)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 If the Benchmark Replacement is based upon Daily Simple SOFR, all interest payments will be payable on a quarterly basis.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Benchmark Replacement Conforming Changes</w:t>
      </w:r>
      <w:r>
        <w:rPr>
          <w:rFonts w:ascii="Times New Roman" w:hAnsi="Times New Roman"/>
          <w:sz w:val="24"/>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such Conforming Changes will become effective without any further action or consent of any other party to this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Notices; Standards for Decisions and Determinations</w:t>
      </w:r>
      <w:r>
        <w:rPr>
          <w:rFonts w:ascii="Times New Roman" w:hAnsi="Times New Roman"/>
          <w:sz w:val="24"/>
        </w:rPr>
        <w:t xml:space="preserve">. The Administrative Agent will promptly notify the Company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10.1(e) and (y) the commencement of any Benchmark Unavailability Period. Any determination, decision or election that may be made by the Administrative Agent or, if applicable, any Lender (or group of Lenders) pursuant to this Section 10.1,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10.1.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Unavailability of Tenor of Benchmark</w:t>
      </w:r>
      <w:r>
        <w:rPr>
          <w:rFonts w:ascii="Times New Roman" w:hAnsi="Times New Roman"/>
          <w:sz w:val="24"/>
        </w:rPr>
        <w:t xml:space="preserve">. Notwithstanding anything to the contrary herein or in any other Loan Document, at any time (including in connection with the implementation of a Benchmark Replacement), (i) if any then-current Benchmark is a term rate (including the Term SOFR Reference Rate, EURIBOR or TIBOR)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Benchmark Unavailability Period</w:t>
      </w:r>
      <w:r>
        <w:rPr>
          <w:rFonts w:ascii="Times New Roman" w:hAnsi="Times New Roman"/>
          <w:sz w:val="24"/>
        </w:rPr>
        <w:t xml:space="preserve">. Upon the Company’s receipt of notice of the commencement of a Benchmark Unavailability Period with respect to a given Benchmark, (i) the applicable Borrower may revoke any pending request for a borrowing of, conversion to or continuation of SONIA Rate Advances, or request for a borrowing of, conversion to or continuation of Term Rate Loans, in each case, to be made, converted or continued during any Benchmark Unavailability Period denominated in the applicable Currency and, failing that, (A) in the case of any request for any affected borrowing for SOFR Loans, if applicable, the Borrower will be deemed to have converted any such request into a request for a borrowing or conversion to Base Rate Loans in the amount specified therein and (B) in the case of any request for any affected borrowing, in each case, in an Agreed Currency, if applicable, then such request shall be ineffective and (ii)(A) any outstanding affected SOFR Loans, if applicable, will be deemed to have been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converted into Base Rate Loans at the end of the applicable Interest Period and (B) any outstanding affected SONIA Advances or Term Rate Loans, in each case, denominated in an Agreed Currency, at the applicable Borrower’s election, shall either (I) be converted into Base Rate Loans denominated in Dollars (in an amount equal to the Dollar Equivalent of such Agreed Currency) immediately or, in the case of Term Rate Loans, at the end of the applicable Interest Period or (II) be prepaid in full immediately or, in the case of Term Rate Loans, at the end of the applicable Interest Period; </w:t>
      </w:r>
      <w:r>
        <w:rPr>
          <w:rFonts w:ascii="Times New Roman" w:hAnsi="Times New Roman"/>
          <w:sz w:val="24"/>
          <w:u w:val="single"/>
        </w:rPr>
        <w:t>provided</w:t>
      </w:r>
      <w:r>
        <w:rPr>
          <w:rFonts w:ascii="Times New Roman" w:hAnsi="Times New Roman"/>
          <w:sz w:val="24"/>
        </w:rPr>
        <w:t xml:space="preserve"> that, with respect to any SONIA Rate Advance, if no election is made by the applicable Borrower by the date that is three Business Days after receipt by the Company or the applicable Borrower of such notice, the applicable Borrower shall be deemed to have elected clause (I) above;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with respect to any Term Rate Loan, if no election is made by the applicable Borrower by the earlier of (x) the date that is three Business Days after receipt by the Company or the applicable Borrower of such notice and (y) the last day of the current Interest Period for the applicable Term Rate Loan, the applicable Borrower shall be deemed to have elected clause (I) above. Upon any such prepayment or conversion, the applicable Borrower shall also pay accrued interest on the amount so prepaid or converted, together with any additional amounts required pursuant to Section 10.05. During a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240" w:after="0"/>
        <w:jc w:val="both"/>
        <w:rPr>
          <w:rFonts w:ascii="Times New Roman" w:hAnsi="Times New Roman"/>
          <w:sz w:val="24"/>
        </w:rPr>
      </w:pPr>
      <w:r>
        <w:rPr>
          <w:rFonts w:ascii="Times New Roman" w:hAnsi="Times New Roman"/>
          <w:sz w:val="24"/>
        </w:rPr>
        <w:t>Section 10.2 </w:t>
      </w:r>
      <w:r>
        <w:rPr>
          <w:rFonts w:ascii="Times New Roman" w:hAnsi="Times New Roman"/>
          <w:sz w:val="24"/>
          <w:u w:val="single"/>
        </w:rPr>
        <w:t>Illegality</w:t>
      </w:r>
      <w:r>
        <w:rPr>
          <w:rFonts w:ascii="Times New Roman" w:hAnsi="Times New Roman"/>
          <w:sz w:val="24"/>
        </w:rPr>
        <w:t>. If any Lender determines that any Applicable Law has made it unlawful, or that any Governmental Authority has asserted that it is unlawful, for any Lender or its applicable lending office to make, maintain or fund Loans whose interest is determined by reference to SONIA or any applicable Term Rate, or to determine or charge interest based upon SONIA or any applicable Term Rate, or, with respect to any Term Rate Loan, any Governmental Authority has imposed material restrictions on the authority of such Lender to purchase or sell, or to take deposits of, any applicable Agreed Currency in the applicable offshore interbank market for the applicable Agreed Currency then, upon notice thereof by such Lender to the applicable Borrower (through the Administrative Agent) (an “</w:t>
      </w:r>
      <w:r>
        <w:rPr>
          <w:rFonts w:ascii="Times New Roman" w:hAnsi="Times New Roman"/>
          <w:sz w:val="24"/>
          <w:u w:val="single"/>
        </w:rPr>
        <w:t>Illegality Notice</w:t>
      </w:r>
      <w:r>
        <w:rPr>
          <w:rFonts w:ascii="Times New Roman" w:hAnsi="Times New Roman"/>
          <w:sz w:val="24"/>
        </w:rPr>
        <w:t xml:space="preserve">”), (a) any obligation of the Lenders to make SONIA Rate Advances or Term Rate Loans, as applicable, and any right of the Borrower to continue SONIA Rate Advances or Term Rate Loans, as applicable, in the affected Agreed Currency or Agreed Currencies, shall be suspended, and (b) if necessary to avoid such illegality, the Administrative Agent shall compute the Base Rate without reference to clause (c) of the definition of “Base Rate”, in each case until each such affected Lender notifies the Administrative Agent and the Company that the circumstances giving rise to such determination no longer exist. Upon receipt of an Illegality Notice, the Company shall, if necessary to avoid such illegality, upon demand from any Lender (with a copy to the Administrative Agent), prepay or, if applicable, convert all SONIA Rate Advances or Term Rate Loans denominated in an affected Agreed Currency to Base Rate Loans denominated in Dollars (in an amount equal to the Dollar Equivalent of such Agreed Currency) (in each case, if necessary to avoid such illegality, the Administrative Agent shall compute the Base Rate without reference to clause (c) of the definition of “Base Rate”), (A) with respect to SONIA Rate Advances, on the Payment Date therefor, if all affected Lenders may lawfully continue to maintain such SONIA Rate Advances to such day, or immediately, if any Lender may not lawfully continue to maintain such SONIA Rate Advances to such day or (B) with respect to Term Rate Loans, on the last day of the Interest Period therefor, if all affected Lenders may lawfully continue to maintain such Term Rate Loans, 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applicable, to such day, or immediately, if any Lender may not lawfully continue to maintain such Term Rate Loans, as applicable, to such day. Upon any such prepayment or conversion, the applicable Borrower shall also pay accrued interest on the amount so prepaid or converted, together with any additional amounts required pursuant to Section 10.05. </w:t>
      </w:r>
    </w:p>
    <w:p>
      <w:pPr>
        <w:pStyle w:val="TextBody"/>
        <w:bidi w:val="0"/>
        <w:spacing w:before="240" w:after="0"/>
        <w:jc w:val="both"/>
        <w:rPr>
          <w:rFonts w:ascii="Times New Roman" w:hAnsi="Times New Roman"/>
          <w:sz w:val="24"/>
        </w:rPr>
      </w:pPr>
      <w:r>
        <w:rPr>
          <w:rFonts w:ascii="Times New Roman" w:hAnsi="Times New Roman"/>
          <w:sz w:val="24"/>
        </w:rPr>
        <w:t>Section 10.3 </w:t>
      </w:r>
      <w:r>
        <w:rPr>
          <w:rFonts w:ascii="Times New Roman" w:hAnsi="Times New Roman"/>
          <w:sz w:val="24"/>
          <w:u w:val="single"/>
        </w:rPr>
        <w:t>Increased Costs and Additional Amounts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(a) If after the date hereof, the adoption of any Applicable Law, or any change in any Applicable Law (whether adopted before or after the Effective Date), or any interpretation or change in interpretation or administration thereof by any governmental authority, central bank or comparable agency charged with the interpretation or administration thereof or compliance by any Lender with any directive issued after the Effective Date (whether or not having the force of law) of any such authority, central bank or comparable agency: </w:t>
      </w:r>
    </w:p>
    <w:p>
      <w:pPr>
        <w:pStyle w:val="TextBody"/>
        <w:bidi w:val="0"/>
        <w:spacing w:before="240" w:after="0"/>
        <w:jc w:val="both"/>
        <w:rPr>
          <w:rFonts w:ascii="Times New Roman" w:hAnsi="Times New Roman"/>
          <w:sz w:val="24"/>
        </w:rPr>
      </w:pPr>
      <w:r>
        <w:rPr>
          <w:rFonts w:ascii="Times New Roman" w:hAnsi="Times New Roman"/>
          <w:sz w:val="24"/>
        </w:rPr>
        <w:t xml:space="preserve">(i) shall subject any Lender to any Tax with respect to its obligation to make its portion of Term Rate Advances, or its portion of other Advances, or shall change the basis of taxation of payments to any Lender of the principal of or interest on its portion of Term Rate Advances or in respect of any other amounts due under this Agreement, or its obligation to make its portion of Advances (except for changes with respect to Taxes imposed on the revenues or net income of such Lender, and except for any Taxes referred to in Section 10.3(b) hereof); or </w:t>
      </w:r>
    </w:p>
    <w:p>
      <w:pPr>
        <w:pStyle w:val="TextBody"/>
        <w:bidi w:val="0"/>
        <w:spacing w:before="240" w:after="0"/>
        <w:jc w:val="both"/>
        <w:rPr>
          <w:rFonts w:ascii="Times New Roman" w:hAnsi="Times New Roman"/>
          <w:sz w:val="24"/>
        </w:rPr>
      </w:pPr>
      <w:r>
        <w:rPr>
          <w:rFonts w:ascii="Times New Roman" w:hAnsi="Times New Roman"/>
          <w:sz w:val="24"/>
        </w:rPr>
        <w:t xml:space="preserve">(ii) shall impose, modify or deem applicable any reserve (including, without limitation, any imposed by the Board, but excluding any included in any percentage which is in effect from time to time under Regulation D of the Board, as such regulation may be amended from time to time, as the maximum reserve requirement applicable with respect to Eurocurrency Liabilities (as such term is defined in Regulation D), whether or not any Lender has any such Eurocurrency Liabilities subject to such reserve requirement at that time), special deposit, capital adequacy or liquidity, assessment or other requirement or condition against assets of, deposits with or for the account of, or commitments or credit extended by, any Lender or shall impose on any Lender or the London interbank borrowing market any other condition affecting its obligation to make its portion of such Term Rate Advances or its portion of existing Advances; </w:t>
      </w:r>
    </w:p>
    <w:p>
      <w:pPr>
        <w:pStyle w:val="TextBody"/>
        <w:bidi w:val="0"/>
        <w:spacing w:before="240" w:after="0"/>
        <w:jc w:val="both"/>
        <w:rPr>
          <w:rFonts w:ascii="Times New Roman" w:hAnsi="Times New Roman"/>
          <w:sz w:val="24"/>
        </w:rPr>
      </w:pPr>
      <w:r>
        <w:rPr>
          <w:rFonts w:ascii="Times New Roman" w:hAnsi="Times New Roman"/>
          <w:sz w:val="24"/>
        </w:rPr>
        <w:t xml:space="preserve">(iii) and the result of any of the foregoing is to increase the cost to such Lender of making or maintaining any of its portion of such Term Rate Advances, or to reduce the amount of any sum received or receivable by such Lender under this Agreement or under its Note, if any, with respect thereto, then, within ten (10) days after demand by such Lender, the relevant Borrowers agree to pay to such Lender such additional amount or amounts as will compensate such Lender on an after-tax basis for such increased costs;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 enacted, adopted or issued after the date hereof, regardless of the date enacted, adopted or issued. </w:t>
      </w:r>
    </w:p>
    <w:p>
      <w:pPr>
        <w:pStyle w:val="TextBody"/>
        <w:bidi w:val="0"/>
        <w:spacing w:before="240" w:after="0"/>
        <w:jc w:val="both"/>
        <w:rPr>
          <w:rFonts w:ascii="Times New Roman" w:hAnsi="Times New Roman"/>
          <w:sz w:val="24"/>
        </w:rPr>
      </w:pPr>
      <w:r>
        <w:rPr>
          <w:rFonts w:ascii="Times New Roman" w:hAnsi="Times New Roman"/>
          <w:strike/>
          <w:color w:val="FF0000"/>
          <w:sz w:val="24"/>
        </w:rPr>
        <w:t>(b)</w:t>
      </w:r>
      <w:r>
        <w:rPr>
          <w:rFonts w:ascii="Times New Roman" w:hAnsi="Times New Roman"/>
          <w:sz w:val="24"/>
        </w:rPr>
        <w:t> Except as required by Applicable Law, all payments made by any Borrower under this Agreement shall be made free and clear of, and without deduction or withholding for or on account of, any present or future income or other similar taxes, levies, imposts, duties, charges, fees, deductions or withholdings (“</w:t>
      </w:r>
      <w:r>
        <w:rPr>
          <w:rFonts w:ascii="Times New Roman" w:hAnsi="Times New Roman"/>
          <w:sz w:val="24"/>
          <w:u w:val="single"/>
        </w:rPr>
        <w:t>Taxes</w:t>
      </w:r>
      <w:r>
        <w:rPr>
          <w:rFonts w:ascii="Times New Roman" w:hAnsi="Times New Roman"/>
          <w:sz w:val="24"/>
        </w:rPr>
        <w:t xml:space="preserve">”), now or hereafter imposed, levied, collected, withheld or assessed by any governmental authority. If any Taxes are required to be withheld or deducted from any such payment, the relevant Borrower shall pay such additional amounts as may be necessary to ensure that the net amount actually received by a Lender after such withholding or deduction is equal to the amount that the Lender would have received had no such withholding or deduction been required;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relevant Borrower shall not be required to increase any such amounts payable to any Lender if such Lender fails to comply with the requirements of Section 2.12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the relevant Borrower shall not be required to pay any additional amounts in respect of Taxes imposed under FATCA,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Borrowers shall not be required to pay any U.S. withholding Taxes imposed on amounts payable to or for the account of any Lender with respect to an applicable interest in a Loan or Commitment pursuant to a law in effect on the date on which (i) such Lender acquires such interest in the Loan or Commitment or (ii) such Lender changes its lending office (including due to the exercise of Lender’s option pursuant to </w:t>
      </w:r>
      <w:r>
        <w:rPr>
          <w:rFonts w:ascii="Times New Roman" w:hAnsi="Times New Roman"/>
          <w:sz w:val="24"/>
          <w:u w:val="single"/>
        </w:rPr>
        <w:t>Section 2.2(d)</w:t>
      </w:r>
      <w:r>
        <w:rPr>
          <w:rFonts w:ascii="Times New Roman" w:hAnsi="Times New Roman"/>
          <w:sz w:val="24"/>
        </w:rPr>
        <w:t xml:space="preserve">), except, in each case, to the extent that, pursuant to this Section 10.3, amounts with respect to such Taxes were payable either to such Lender’s assignor immediately before such Lender became a party hereto or to such Lender immediately before it changed its lending office,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that the Borrower shall not be required to pay any additional amounts in respect of Taxes imposed on a Lender by reason of any connection between the Lender and the taxing jurisdiction other than a connection that is solely attributable to executing, delivering, performing or enforcing this Agreement and receiving payments hereunder</w:t>
      </w:r>
      <w:r>
        <w:rPr>
          <w:rFonts w:ascii="Times New Roman" w:hAnsi="Times New Roman"/>
          <w:color w:val="0000FF"/>
          <w:sz w:val="24"/>
          <w:u w:val="single"/>
          <w:bdr w:val="double" w:sz="2" w:space="1" w:color="000000"/>
        </w:rPr>
        <w:t>; provided, further, that the Borrower shall not be required to pay any additional amounts in respect of any Tax imposed (i) pursuant to the Dutch Withholding Tax Act 2021 (Wet bronbelasting 2021) in the form as at the date of this Agreement (or, if later, at the date the relevant Lender acquires an interest in the Loan or Commitment), or (ii) as a result of such Lender having a substantial interest (aanmerkelijk belang) in the Borrower as defined in the Dutch Income Tax Act 2001 (Wet inkomstenbelasting 2001)</w:t>
      </w:r>
      <w:r>
        <w:rPr>
          <w:rFonts w:ascii="Times New Roman" w:hAnsi="Times New Roman"/>
          <w:sz w:val="24"/>
        </w:rPr>
        <w:t xml:space="preserve">. Whenever any Taxes are payable by the relevant Borrower pursuant to this Section 10.3(b), as promptly as possible thereafter the relevant Borrower shall send to the Administrative Agent for its own account or for the account of such Lender, as the case may be, a certified copy of an original official receipt received by the relevant Borrower showing payment thereof. If the relevant Borrower fails to pay any Taxes as required by this Section 10.3(b) when due to the appropriate taxing authority or fails to remit to the Administrative Agent the required receipts or other documentary evidence, the relevant Borrower shall indemnify the Administrative Agent and the Lenders for any incremental taxes, interest or penalties that may become payable by the Administrative Agent or any Lender as a result of any such failure. The relevant Borrower shall make any payments required pursuant to the immediately preceding sentence within thirty (30) days after receipt of written demand therefor from the Administrative Agent or any Lender, as the case may be. The agreements set forth in this Section 10.3 shall survive the termination of this Agreement and the payment of the Obligations. Each Lender will promptly notify the Borrowers and the Administrative Agent of any event of which it has knowledge, occurring after the date hereof, which will entitle such Lender to compensation pursuant to this Section 10.3 and will designate a different lending office if such designation will avoid the need for, or reduce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amount of, such compensation and will not, in the reasonable judgment of such Lender made in good faith, be otherwise disadvantageous to such Lender.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trike/>
          <w:color w:val="FF0000"/>
          <w:sz w:val="24"/>
        </w:rPr>
        <w:t xml:space="preserve">(c) </w:t>
      </w:r>
      <w:r>
        <w:rPr>
          <w:rFonts w:ascii="Times New Roman" w:hAnsi="Times New Roman"/>
          <w:sz w:val="24"/>
        </w:rPr>
        <w:t xml:space="preserve">Any Lender claiming compensation under this Section 10.3 shall provide the relevant Borrower with a written certificate setting forth the additional amount or amounts to be paid to it hereunder and calculations therefor in reasonable detail. Such certificate shall be presumptively correct absent manifest error. In determining such amount, such Lender may use any reasonable averaging and attribution methods. Failure or delay on the part of any Lender to demand compensation pursuant to the foregoing provisions of this Section 10.3 shall not constitute a waiver of such Lender’s right to demand such compensation, </w:t>
      </w:r>
      <w:r>
        <w:rPr>
          <w:rFonts w:ascii="Times New Roman" w:hAnsi="Times New Roman"/>
          <w:sz w:val="24"/>
          <w:u w:val="single"/>
        </w:rPr>
        <w:t>provided</w:t>
      </w:r>
      <w:r>
        <w:rPr>
          <w:rFonts w:ascii="Times New Roman" w:hAnsi="Times New Roman"/>
          <w:sz w:val="24"/>
        </w:rPr>
        <w:t xml:space="preserve"> that, other than in respect of Taxes, no Borrower shall be required to compensate a Lender pursuant to the foregoing provisions of this Section if the circumstances giving rise to such compensation occurred more than six (6) months prior to the date that such Lender notifies the Borrowers of such circumstances and of such Lender’s intention to claim compensation therefor (except that, if such circumstances are retroactive, then the six (6) month period referred to above shall be extended to include the period of retroactive effect thereof). If any Lender demands compensation under this Section 10.3, the relevant Borrowers may at any time, upon at least five (5) Business Days’ prior notice to such Lender, prepay in full such Lender’s portion of the then outstanding Term Rate Advances, together with accrued interest and fees thereon to the date of prepayment, along with any reimbursement required under Section 2.9 hereof and this Section 10.3. Concurrently with prepaying such portion of Term Rate Advances the relevant Borrower may, whether or not then entitled to make such borrowing, borrow a Base Rate Advance, or a Term Rate Advance not so affected, from such Lender, and such Lender shall, if so requested, make such Advance in an amount such that the outstanding principal amount of such Advance shall equal the outstanding principal amount of the affected Term Rate Advance of such Lender immediately prior to such prepayment.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trike/>
          <w:color w:val="FF0000"/>
          <w:sz w:val="24"/>
        </w:rPr>
        <w:t xml:space="preserve">(d) </w:t>
      </w:r>
      <w:r>
        <w:rPr>
          <w:rFonts w:ascii="Times New Roman" w:hAnsi="Times New Roman"/>
          <w:sz w:val="24"/>
        </w:rPr>
        <w:t xml:space="preserve">The relevant Borrowers shall pay any present or future stamp, transfer or documentary Taxes or any other excise or property Taxes that may be imposed in connection with the execution, delivery or registration of this Agreement or any other Loan Documents.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trike/>
          <w:color w:val="FF0000"/>
          <w:sz w:val="24"/>
        </w:rPr>
        <w:t xml:space="preserve">(e) </w:t>
      </w:r>
      <w:r>
        <w:rPr>
          <w:rFonts w:ascii="Times New Roman" w:hAnsi="Times New Roman"/>
          <w:sz w:val="24"/>
        </w:rPr>
        <w:t xml:space="preserve">If any party receives a refund of any Taxes for which it has been indemnified pursuant to this Section 10.3, it shall pay to the indemnifying party an amount equal to such refund (but only to the extent of indemnity payments made under this Section with respect to the Taxes giving rise to such refund), net of all out -of -pocket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 -Tax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available its Tax returns (or any other information relating to its Taxes that it deems confidential) to the indemnifying party or any other Person. </w:t>
      </w:r>
    </w:p>
    <w:p>
      <w:pPr>
        <w:pStyle w:val="TextBody"/>
        <w:bidi w:val="0"/>
        <w:spacing w:before="240" w:after="0"/>
        <w:jc w:val="both"/>
        <w:rPr>
          <w:rFonts w:ascii="Times New Roman" w:hAnsi="Times New Roman"/>
          <w:sz w:val="24"/>
        </w:rPr>
      </w:pPr>
      <w:r>
        <w:rPr>
          <w:rFonts w:ascii="Times New Roman" w:hAnsi="Times New Roman"/>
          <w:sz w:val="24"/>
        </w:rPr>
        <w:t>Section 10.4 </w:t>
      </w:r>
      <w:r>
        <w:rPr>
          <w:rFonts w:ascii="Times New Roman" w:hAnsi="Times New Roman"/>
          <w:sz w:val="24"/>
          <w:u w:val="single"/>
        </w:rPr>
        <w:t>Effect On Other Advances</w:t>
      </w:r>
      <w:r>
        <w:rPr>
          <w:rFonts w:ascii="Times New Roman" w:hAnsi="Times New Roman"/>
          <w:sz w:val="24"/>
        </w:rPr>
        <w:t xml:space="preserve">. If notice has been given pursuant to Section 10.1, 10.2 or 10.3 hereof suspending the obligation of any Lender to make its portion of any Term Rate Advance, or requiring such Lender’s portion of Term Rate Advances to be repaid or prepaid, then, unless and until such Lender notifies the Borrowers that the circumstances giving rise to such repayment no longer apply, all amounts which would otherwise be made by such Lender as its portion of Term Rate Advances shall be instead as Base Rate Advances, unless otherwise notified by the relevant Borrowers. </w:t>
      </w:r>
    </w:p>
    <w:p>
      <w:pPr>
        <w:pStyle w:val="TextBody"/>
        <w:bidi w:val="0"/>
        <w:spacing w:before="240" w:after="0"/>
        <w:jc w:val="both"/>
        <w:rPr>
          <w:rFonts w:ascii="Times New Roman" w:hAnsi="Times New Roman"/>
          <w:sz w:val="24"/>
        </w:rPr>
      </w:pPr>
      <w:r>
        <w:rPr>
          <w:rFonts w:ascii="Times New Roman" w:hAnsi="Times New Roman"/>
          <w:sz w:val="24"/>
        </w:rPr>
        <w:t>Section 10.5 </w:t>
      </w:r>
      <w:r>
        <w:rPr>
          <w:rFonts w:ascii="Times New Roman" w:hAnsi="Times New Roman"/>
          <w:sz w:val="24"/>
          <w:u w:val="single"/>
        </w:rPr>
        <w:t>Claims for Increased Costs and Taxes; Replacement Lenders</w:t>
      </w:r>
      <w:r>
        <w:rPr>
          <w:rFonts w:ascii="Times New Roman" w:hAnsi="Times New Roman"/>
          <w:sz w:val="24"/>
        </w:rPr>
        <w:t>. In the event that any Lender shall (v) decline to make Term Rate Advances pursuant to Sections 10.1 and 10.2 hereof, (w) have notified the Borrowers that it is entitled to claim compensation pursuant to Section 10.3, 2.8, 2.9 or 2.11 hereof or is unable to complete the form required or is subject to withholding on account of any Tax, (x) not consent to any request for an extension of the Maturity Date pursuant to Section 2.18 hereof or (y) become a Defaulting Lender (each such lender being an “</w:t>
      </w:r>
      <w:r>
        <w:rPr>
          <w:rFonts w:ascii="Times New Roman" w:hAnsi="Times New Roman"/>
          <w:sz w:val="24"/>
          <w:u w:val="single"/>
        </w:rPr>
        <w:t>Affected Lender</w:t>
      </w:r>
      <w:r>
        <w:rPr>
          <w:rFonts w:ascii="Times New Roman" w:hAnsi="Times New Roman"/>
          <w:sz w:val="24"/>
        </w:rPr>
        <w:t>”), the relevant Borrower at its own cost and expense may designate a replacement lender (a “</w:t>
      </w:r>
      <w:r>
        <w:rPr>
          <w:rFonts w:ascii="Times New Roman" w:hAnsi="Times New Roman"/>
          <w:sz w:val="24"/>
          <w:u w:val="single"/>
        </w:rPr>
        <w:t>Replacement Lender</w:t>
      </w:r>
      <w:r>
        <w:rPr>
          <w:rFonts w:ascii="Times New Roman" w:hAnsi="Times New Roman"/>
          <w:sz w:val="24"/>
        </w:rPr>
        <w:t xml:space="preserve">”) to assume the Revolving Loan Commitments and the obligations of any such Affected Lender hereunder, and to purchase the outstanding Loans of such Affected Lender and such Affected Lender’s rights hereunder and with respect thereto, and within ten (10) Business Days of such designation the Affected Lender shall (a) sell to such Replacement Lender, without recourse upon, warranty by or expense to such Affected Lender, by way of an Assignment and Assumption substantially in the form of </w:t>
      </w:r>
      <w:r>
        <w:rPr>
          <w:rFonts w:ascii="Times New Roman" w:hAnsi="Times New Roman"/>
          <w:sz w:val="24"/>
          <w:u w:val="single"/>
        </w:rPr>
        <w:t>Exhibit F</w:t>
      </w:r>
      <w:r>
        <w:rPr>
          <w:rFonts w:ascii="Times New Roman" w:hAnsi="Times New Roman"/>
          <w:sz w:val="24"/>
        </w:rPr>
        <w:t xml:space="preserve"> attached hereto, for a purchase price equal to (unless such Lender agrees to a lesser amount) the outstanding principal amount of the Loans of such Affected Lender, plus all interest accrued and unpaid thereon and all other amounts owing to such Affected Lender hereunder, including without limitation, payment by the relevant Borrower of any amount which would be payable to such Affected Lender pursuant to Section 2.9 hereof (provided that the administrative fee set forth in Section 12.4(b)(iv) shall not apply to an assignment described in this clause (a)), and (b) assign the Revolving Loan Commitments of such Affected Lender and upon such assumption and purchase by the Replacement Lender, such Replacement Lender shall be deemed to be a “Lender” for purposes of this Agreement and such Affected Lender shall cease to be a “Lender” for purposes of this Agreement and shall no longer have any obligations or rights hereunder (other than any obligations or rights which according to this Agreement shall survive the termination of the Revolving Loan Commitments); </w:t>
      </w:r>
      <w:r>
        <w:rPr>
          <w:rFonts w:ascii="Times New Roman" w:hAnsi="Times New Roman"/>
          <w:sz w:val="24"/>
          <w:u w:val="single"/>
        </w:rPr>
        <w:t>provided</w:t>
      </w:r>
      <w:r>
        <w:rPr>
          <w:rFonts w:ascii="Times New Roman" w:hAnsi="Times New Roman"/>
          <w:sz w:val="24"/>
        </w:rPr>
        <w:t xml:space="preserve"> that the relevant Borrower shall not replace any Defaulting Lender during the continuance of any Default. </w:t>
      </w:r>
    </w:p>
    <w:p>
      <w:pPr>
        <w:pStyle w:val="TextBody"/>
        <w:bidi w:val="0"/>
        <w:spacing w:before="240" w:after="0"/>
        <w:jc w:val="center"/>
        <w:rPr>
          <w:rFonts w:ascii="Times New Roman" w:hAnsi="Times New Roman"/>
          <w:sz w:val="24"/>
        </w:rPr>
      </w:pPr>
      <w:r>
        <w:rPr>
          <w:rFonts w:ascii="Times New Roman" w:hAnsi="Times New Roman"/>
          <w:sz w:val="24"/>
        </w:rPr>
        <w:t xml:space="preserve">ARTICLE 11 - GUARANTY </w:t>
      </w:r>
    </w:p>
    <w:p>
      <w:pPr>
        <w:pStyle w:val="TextBody"/>
        <w:bidi w:val="0"/>
        <w:spacing w:before="240" w:after="0"/>
        <w:jc w:val="both"/>
        <w:rPr>
          <w:rFonts w:ascii="Times New Roman" w:hAnsi="Times New Roman"/>
          <w:sz w:val="24"/>
        </w:rPr>
      </w:pPr>
      <w:r>
        <w:rPr>
          <w:rFonts w:ascii="Times New Roman" w:hAnsi="Times New Roman"/>
          <w:sz w:val="24"/>
        </w:rPr>
        <w:t>Section 11.1 </w:t>
      </w:r>
      <w:r>
        <w:rPr>
          <w:rFonts w:ascii="Times New Roman" w:hAnsi="Times New Roman"/>
          <w:sz w:val="24"/>
          <w:u w:val="single"/>
        </w:rPr>
        <w:t>Unconditional Guaranty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The Company hereby absolutely, unconditionally and irrevocably guarantees the punctual payment when due, whether at scheduled maturity or on any date of a required prepayment or by acceleration, demand or otherwise, of all obligations of each other Borrower now or hereafter existing under or in respect of this Agreement and the other Loan Documents (including, without limitation, any extensions, modifications, substitutions, amendments or renewals of any or all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the foregoing obligations), whether direct or indirect, absolute or contingent, and whether for principal, interest, premiums, fees, indemnities, contract causes of action, costs, expenses or otherwise (such obligations being the “</w:t>
      </w:r>
      <w:r>
        <w:rPr>
          <w:rFonts w:ascii="Times New Roman" w:hAnsi="Times New Roman"/>
          <w:sz w:val="24"/>
          <w:u w:val="single"/>
        </w:rPr>
        <w:t>Guaranteed Obligations</w:t>
      </w:r>
      <w:r>
        <w:rPr>
          <w:rFonts w:ascii="Times New Roman" w:hAnsi="Times New Roman"/>
          <w:sz w:val="24"/>
        </w:rPr>
        <w:t xml:space="preserve">”), and agrees to pay any and all documented out-of-pocket expenses (including, without limitation, reasonable and documented fees and out-of-pocket expenses of counsel) incurred by the Administrative Agent or any Lender in enforcing any rights under this Agreement. Without limiting the generality of the foregoing, the Company’s liability shall extend to all amounts that constitute part of the Guaranteed Obligations and would be owed by such Borrower to the Administrative Agent or any Lender under or in respect of this Agreement and the other Loan Documents but for the fact that they are unenforceable or not allowable due to the existence of a bankruptcy, reorganization or similar proceeding involving such Borrower. This is a guaranty of payment and not collection. </w:t>
      </w:r>
    </w:p>
    <w:p>
      <w:pPr>
        <w:pStyle w:val="TextBody"/>
        <w:bidi w:val="0"/>
        <w:spacing w:before="240" w:after="0"/>
        <w:jc w:val="both"/>
        <w:rPr>
          <w:rFonts w:ascii="Times New Roman" w:hAnsi="Times New Roman"/>
          <w:sz w:val="24"/>
        </w:rPr>
      </w:pPr>
      <w:r>
        <w:rPr>
          <w:rFonts w:ascii="Times New Roman" w:hAnsi="Times New Roman"/>
          <w:sz w:val="24"/>
        </w:rPr>
        <w:t>Section 11.2 </w:t>
      </w:r>
      <w:r>
        <w:rPr>
          <w:rFonts w:ascii="Times New Roman" w:hAnsi="Times New Roman"/>
          <w:sz w:val="24"/>
          <w:u w:val="single"/>
        </w:rPr>
        <w:t>Guaranty Absolute</w:t>
      </w:r>
      <w:r>
        <w:rPr>
          <w:rFonts w:ascii="Times New Roman" w:hAnsi="Times New Roman"/>
          <w:sz w:val="24"/>
        </w:rPr>
        <w:t xml:space="preserve">. (a) The Company guarantees that the Guaranteed Obligations will be paid strictly in accordance with the terms of this Agreement and the other Loan Documents, regardless of any law, regulation or order now or hereafter in effect in any jurisdiction affecting any of such terms or the rights of the Administrative Agent or any Lender with respect thereto. The obligations of the Company under or in respect of this Guaranty are independent of the Guaranteed Obligations or any other obligations of any other Borrower under or in respect of this Agreement and the other Loan Documents, and a separate action or actions may be brought and prosecuted against the Company to enforce this Guaranty, irrespective of whether any action is brought against any Borrower or whether any Borrower is joined in any such action or actions. The liability of the Company under this Guaranty shall be irrevocable, absolute and unconditional irrespective of, and the Company hereby irrevocably waives any defenses it may now have or hereafter acquire in any way relating to, any or all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(i) any lack of validity or enforceability of this Agreement, any other Loan Document or any agreement or instrument relating thereto; </w:t>
      </w:r>
    </w:p>
    <w:p>
      <w:pPr>
        <w:pStyle w:val="TextBody"/>
        <w:bidi w:val="0"/>
        <w:spacing w:before="240" w:after="0"/>
        <w:jc w:val="both"/>
        <w:rPr>
          <w:rFonts w:ascii="Times New Roman" w:hAnsi="Times New Roman"/>
          <w:sz w:val="24"/>
        </w:rPr>
      </w:pPr>
      <w:r>
        <w:rPr>
          <w:rFonts w:ascii="Times New Roman" w:hAnsi="Times New Roman"/>
          <w:sz w:val="24"/>
        </w:rPr>
        <w:t xml:space="preserve">(ii) any change in the time, manner or place of payment of, or in any other term of, all or any of the Guaranteed Obligations or any other obligations of any Borrower under or in respect of this Agreement and the other Loan Documents, or any other amendment or waiver of or any consent to departure from this Agreement or any other Loan Document, including, without limitation, any increase in the Guaranteed Obligations resulting from the extension of additional credit to any Borrower or any of its Subsidiaries or otherwise; </w:t>
      </w:r>
    </w:p>
    <w:p>
      <w:pPr>
        <w:pStyle w:val="TextBody"/>
        <w:bidi w:val="0"/>
        <w:spacing w:before="240" w:after="0"/>
        <w:jc w:val="both"/>
        <w:rPr>
          <w:rFonts w:ascii="Times New Roman" w:hAnsi="Times New Roman"/>
          <w:sz w:val="24"/>
        </w:rPr>
      </w:pPr>
      <w:r>
        <w:rPr>
          <w:rFonts w:ascii="Times New Roman" w:hAnsi="Times New Roman"/>
          <w:sz w:val="24"/>
        </w:rPr>
        <w:t xml:space="preserve">(iii) any taking, exchange, release or non-perfection of any collateral, or any taking, release or amendment or waiver of, or consent to departure from, any other guaranty, for all or any of the Guaranteed Obligations; </w:t>
      </w:r>
    </w:p>
    <w:p>
      <w:pPr>
        <w:pStyle w:val="TextBody"/>
        <w:bidi w:val="0"/>
        <w:spacing w:before="240" w:after="0"/>
        <w:jc w:val="both"/>
        <w:rPr>
          <w:rFonts w:ascii="Times New Roman" w:hAnsi="Times New Roman"/>
          <w:sz w:val="24"/>
        </w:rPr>
      </w:pPr>
      <w:r>
        <w:rPr>
          <w:rFonts w:ascii="Times New Roman" w:hAnsi="Times New Roman"/>
          <w:sz w:val="24"/>
        </w:rPr>
        <w:t xml:space="preserve">(iv) any manner of application of any collateral, or proceeds thereof, to all or any of the Guaranteed Obligations, or any manner of sale or other disposition of any collateral for all or any of the Guaranteed Obligations or any other obligations of any Borrower under this Agreement and the other Loan Documents or any other assets of any Borrower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(v) any change, restructuring or termination of the corporate structure or existence of any Borrower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(vi) any failure of the Administrative Agent or any Lender to disclose to the Company any information relating to the business, condition (financial or otherwise), operations, performance, properties or prospects of any Borrower now or hereafter known to the Administrative Agent or such Lender (the Company waiving any duty on the part of the Administrative Agent and the Lenders to disclose such information); </w:t>
      </w:r>
    </w:p>
    <w:p>
      <w:pPr>
        <w:pStyle w:val="TextBody"/>
        <w:bidi w:val="0"/>
        <w:spacing w:before="240" w:after="0"/>
        <w:jc w:val="both"/>
        <w:rPr>
          <w:rFonts w:ascii="Times New Roman" w:hAnsi="Times New Roman"/>
          <w:sz w:val="24"/>
        </w:rPr>
      </w:pPr>
      <w:r>
        <w:rPr>
          <w:rFonts w:ascii="Times New Roman" w:hAnsi="Times New Roman"/>
          <w:sz w:val="24"/>
        </w:rPr>
        <w:t xml:space="preserve">(vii) the failure of any other Person to execute or deliver any other guaranty or agreement or the release or reduction of liability of the Company or other guarantor or surety with respect to the Guaranteed Obligations; or </w:t>
      </w:r>
    </w:p>
    <w:p>
      <w:pPr>
        <w:pStyle w:val="TextBody"/>
        <w:bidi w:val="0"/>
        <w:spacing w:before="240" w:after="0"/>
        <w:jc w:val="both"/>
        <w:rPr>
          <w:rFonts w:ascii="Times New Roman" w:hAnsi="Times New Roman"/>
          <w:sz w:val="24"/>
        </w:rPr>
      </w:pPr>
      <w:r>
        <w:rPr>
          <w:rFonts w:ascii="Times New Roman" w:hAnsi="Times New Roman"/>
          <w:sz w:val="24"/>
        </w:rPr>
        <w:t xml:space="preserve">(viii) any other circumstance (including, without limitation, any statute of limitations) or any existence of or reliance on any representation by the Administrative Agent or any Lender that might otherwise constitute a defense available to, or a discharge of, any Borrower or any other guarantor or surety. </w:t>
      </w:r>
    </w:p>
    <w:p>
      <w:pPr>
        <w:pStyle w:val="TextBody"/>
        <w:bidi w:val="0"/>
        <w:spacing w:before="240" w:after="0"/>
        <w:jc w:val="both"/>
        <w:rPr>
          <w:rFonts w:ascii="Times New Roman" w:hAnsi="Times New Roman"/>
          <w:sz w:val="24"/>
        </w:rPr>
      </w:pPr>
      <w:r>
        <w:rPr>
          <w:rFonts w:ascii="Times New Roman" w:hAnsi="Times New Roman"/>
          <w:sz w:val="24"/>
        </w:rPr>
        <w:t xml:space="preserve">(b) This Guaranty shall continue to be effective or be reinstated, as the case may be, if at any time any payment of any of the Guaranteed Obligations is rescinded or must otherwise be returned by the Administrative Agent or any Lender or any other Person upon the insolvency, bankruptcy or reorganization of any Borrower or otherwise, all as though such payment had not been made. </w:t>
      </w:r>
    </w:p>
    <w:p>
      <w:pPr>
        <w:pStyle w:val="TextBody"/>
        <w:bidi w:val="0"/>
        <w:spacing w:before="240" w:after="0"/>
        <w:jc w:val="both"/>
        <w:rPr>
          <w:rFonts w:ascii="Times New Roman" w:hAnsi="Times New Roman"/>
          <w:sz w:val="24"/>
        </w:rPr>
      </w:pPr>
      <w:r>
        <w:rPr>
          <w:rFonts w:ascii="Times New Roman" w:hAnsi="Times New Roman"/>
          <w:sz w:val="24"/>
        </w:rPr>
        <w:t>Section 11.3 </w:t>
      </w:r>
      <w:r>
        <w:rPr>
          <w:rFonts w:ascii="Times New Roman" w:hAnsi="Times New Roman"/>
          <w:sz w:val="24"/>
          <w:u w:val="single"/>
        </w:rPr>
        <w:t>Waivers and Acknowledgments</w:t>
      </w:r>
      <w:r>
        <w:rPr>
          <w:rFonts w:ascii="Times New Roman" w:hAnsi="Times New Roman"/>
          <w:sz w:val="24"/>
        </w:rPr>
        <w:t xml:space="preserve">. To the maximum extent permitted by Applicable Law: </w:t>
      </w:r>
    </w:p>
    <w:p>
      <w:pPr>
        <w:pStyle w:val="TextBody"/>
        <w:bidi w:val="0"/>
        <w:spacing w:before="240" w:after="0"/>
        <w:jc w:val="both"/>
        <w:rPr>
          <w:rFonts w:ascii="Times New Roman" w:hAnsi="Times New Roman"/>
          <w:sz w:val="24"/>
        </w:rPr>
      </w:pPr>
      <w:r>
        <w:rPr>
          <w:rFonts w:ascii="Times New Roman" w:hAnsi="Times New Roman"/>
          <w:sz w:val="24"/>
        </w:rPr>
        <w:t xml:space="preserve">(a) The Company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the Administrative Agent or any Lender protect, secure, perfect or insure any Lien or any property subject thereto or exhaust any right or take any action against any Borrower or any other Person or any collateral. </w:t>
      </w:r>
    </w:p>
    <w:p>
      <w:pPr>
        <w:pStyle w:val="TextBody"/>
        <w:bidi w:val="0"/>
        <w:spacing w:before="240" w:after="0"/>
        <w:jc w:val="both"/>
        <w:rPr>
          <w:rFonts w:ascii="Times New Roman" w:hAnsi="Times New Roman"/>
          <w:sz w:val="24"/>
        </w:rPr>
      </w:pPr>
      <w:r>
        <w:rPr>
          <w:rFonts w:ascii="Times New Roman" w:hAnsi="Times New Roman"/>
          <w:sz w:val="24"/>
        </w:rPr>
        <w:t xml:space="preserve">(b) The Company hereby unconditionally and irrevocably waives any right to revoke this Guaranty and acknowledges that this Guaranty is continuing in nature and applies to all Guaranteed Obligations, whether existing now or in the future. </w:t>
      </w:r>
    </w:p>
    <w:p>
      <w:pPr>
        <w:pStyle w:val="TextBody"/>
        <w:bidi w:val="0"/>
        <w:spacing w:before="240" w:after="0"/>
        <w:jc w:val="both"/>
        <w:rPr>
          <w:rFonts w:ascii="Times New Roman" w:hAnsi="Times New Roman"/>
          <w:sz w:val="24"/>
        </w:rPr>
      </w:pPr>
      <w:r>
        <w:rPr>
          <w:rFonts w:ascii="Times New Roman" w:hAnsi="Times New Roman"/>
          <w:sz w:val="24"/>
        </w:rPr>
        <w:t xml:space="preserve">(c) The Company hereby unconditionally and irrevocably waives (i) any defense arising by reason of any claim or defense based upon an election of remedies by the Administrative Agent or any Lender that in any manner impairs, reduces, releases or otherwise adversely affects the subrogation, reimbursement, exoneration, contribution or indemnification rights of the Company or other rights of the Company to proceed against any Borrower, any other guarantor or any other Person or any collateral and (ii) any defense based on any right of set-off or counterclaim against or in respect of the obligations of the Company hereunder. </w:t>
      </w:r>
    </w:p>
    <w:p>
      <w:pPr>
        <w:pStyle w:val="TextBody"/>
        <w:bidi w:val="0"/>
        <w:spacing w:before="240" w:after="0"/>
        <w:jc w:val="both"/>
        <w:rPr>
          <w:rFonts w:ascii="Times New Roman" w:hAnsi="Times New Roman"/>
          <w:sz w:val="24"/>
        </w:rPr>
      </w:pPr>
      <w:r>
        <w:rPr>
          <w:rFonts w:ascii="Times New Roman" w:hAnsi="Times New Roman"/>
          <w:sz w:val="24"/>
        </w:rPr>
        <w:t xml:space="preserve">(d) The Company hereby unconditionally and irrevocably waives any duty on the part of the Administrative Agent or any Lender to disclose to the Company any matter, fact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thing relating to the business, condition (financial or otherwise), operations, performance, properties or prospects of any Borrower or any of its Subsidiaries now or hereafter known by the Administrative Agent or such Lender. </w:t>
      </w:r>
    </w:p>
    <w:p>
      <w:pPr>
        <w:pStyle w:val="TextBody"/>
        <w:bidi w:val="0"/>
        <w:spacing w:before="240" w:after="0"/>
        <w:jc w:val="both"/>
        <w:rPr>
          <w:rFonts w:ascii="Times New Roman" w:hAnsi="Times New Roman"/>
          <w:sz w:val="24"/>
        </w:rPr>
      </w:pPr>
      <w:r>
        <w:rPr>
          <w:rFonts w:ascii="Times New Roman" w:hAnsi="Times New Roman"/>
          <w:sz w:val="24"/>
        </w:rPr>
        <w:t xml:space="preserve">(e) The Company acknowledges that it will receive substantial direct and indirect benefits from the financing arrangements contemplated by this Agreement and the Notes and that the waivers set forth in Section 11.2 and this Section 11.3 are knowingly made in contemplation of such benefits. </w:t>
      </w:r>
    </w:p>
    <w:p>
      <w:pPr>
        <w:pStyle w:val="TextBody"/>
        <w:bidi w:val="0"/>
        <w:spacing w:before="240" w:after="0"/>
        <w:jc w:val="both"/>
        <w:rPr>
          <w:rFonts w:ascii="Times New Roman" w:hAnsi="Times New Roman"/>
          <w:sz w:val="24"/>
        </w:rPr>
      </w:pPr>
      <w:r>
        <w:rPr>
          <w:rFonts w:ascii="Times New Roman" w:hAnsi="Times New Roman"/>
          <w:sz w:val="24"/>
        </w:rPr>
        <w:t>Section 11.4 </w:t>
      </w:r>
      <w:r>
        <w:rPr>
          <w:rFonts w:ascii="Times New Roman" w:hAnsi="Times New Roman"/>
          <w:sz w:val="24"/>
          <w:u w:val="single"/>
        </w:rPr>
        <w:t>Subrogation</w:t>
      </w:r>
      <w:r>
        <w:rPr>
          <w:rFonts w:ascii="Times New Roman" w:hAnsi="Times New Roman"/>
          <w:sz w:val="24"/>
        </w:rPr>
        <w:t xml:space="preserve">. The Company hereby unconditionally and irrevocably agrees not to exercise any rights that it may now have or hereafter acquire against any Borrower or any other insider guarantor that arise from the existence, payment, performance or enforcement of the Company’s obligations under or in respect of this Guaranty, including, without limitation, any right of subrogation, reimbursement, exoneration, contribution or indemnification and any right to participate in any claim or remedy of the Administrative Agent or any Lender against any Borrower or any other insider guarantor or any collateral, whether or not such claim, remedy or right arises in equity or under contract, statute or common law, including, without limitation, the right to take or receive from any Borrower or any other insider guarantor, directly or indirectly, in cash or other property or by set-off or in any other manner, payment or security on account of such claim, remedy or right, unless and until all of the Guaranteed Obligations and all other amounts payable under this Guaranty shall have been paid in full in cash, all Letters of Credit shall have expired or been terminated and the Commitments shall have expired or been terminated. If any amount shall be paid to the Company in violation of the immediately preceding sentence at any time prior to the latest of (a) the payment in full in cash of the Guaranteed Obligations and all other amounts payable under this Guaranty, (b) the latest Maturity Date and (c) the latest date of expiration or termination of all Letters of Credit, such amount shall be received and held in trust for the benefit of the Administrative Agent and the Lenders, shall be segregated from other property and funds of the Company and shall forthwith be paid or delivered to the Administrative Agent in the same form as so received (with any necessary endorsement or assignment) to be credited and applied to the Guaranteed Obligations and all other amounts payable under this Guaranty, whether matured or unmatured, in accordance with the terms of this Agreement and the other Loan Documents, or to be held as collateral for any Guaranteed Obligations or other amounts payable under this Guaranty thereafter arising. If (i) the Company shall make payment to the Administrative Agent or any Lender of all or any part of the Guaranteed Obligations, (ii) all of the Guaranteed Obligations and all other amounts payable under this Guaranty shall have been paid in full in cash, (iii) the latest Maturity Date shall have occurred and (iv) all Letters of Credit shall have expired or been terminated, the Administrative Agent and the Lenders will, at the Company’s request and expense, execute and deliver to the Company appropriate documents, without recourse and without representation or warranty, necessary to evidence the transfer by subrogation to the Company of an interest in the Guaranteed Obligations resulting from such payment made by the Company pursuant to this Guaranty. </w:t>
      </w:r>
    </w:p>
    <w:p>
      <w:pPr>
        <w:pStyle w:val="TextBody"/>
        <w:bidi w:val="0"/>
        <w:spacing w:before="240" w:after="0"/>
        <w:jc w:val="both"/>
        <w:rPr>
          <w:rFonts w:ascii="Times New Roman" w:hAnsi="Times New Roman"/>
          <w:sz w:val="24"/>
        </w:rPr>
      </w:pPr>
      <w:r>
        <w:rPr>
          <w:rFonts w:ascii="Times New Roman" w:hAnsi="Times New Roman"/>
          <w:sz w:val="24"/>
        </w:rPr>
        <w:t>Section 11.5 </w:t>
      </w:r>
      <w:r>
        <w:rPr>
          <w:rFonts w:ascii="Times New Roman" w:hAnsi="Times New Roman"/>
          <w:sz w:val="24"/>
          <w:u w:val="single"/>
        </w:rPr>
        <w:t>Subordination</w:t>
      </w:r>
      <w:r>
        <w:rPr>
          <w:rFonts w:ascii="Times New Roman" w:hAnsi="Times New Roman"/>
          <w:sz w:val="24"/>
        </w:rPr>
        <w:t>. The Company hereby subordinates any and all debts, liabilities and other obligations owed to the Company by any Borrower (the “</w:t>
      </w:r>
      <w:r>
        <w:rPr>
          <w:rFonts w:ascii="Times New Roman" w:hAnsi="Times New Roman"/>
          <w:sz w:val="24"/>
          <w:u w:val="single"/>
        </w:rPr>
        <w:t>Subordinated Obligations</w:t>
      </w:r>
      <w:r>
        <w:rPr>
          <w:rFonts w:ascii="Times New Roman" w:hAnsi="Times New Roman"/>
          <w:sz w:val="24"/>
        </w:rPr>
        <w:t xml:space="preserve">”) to the Guaranteed Obligations to the extent and in the manner hereinafter set forth in this Section 11.5: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w:t>
      </w:r>
      <w:r>
        <w:rPr>
          <w:rFonts w:ascii="Times New Roman" w:hAnsi="Times New Roman"/>
          <w:sz w:val="24"/>
          <w:u w:val="single"/>
        </w:rPr>
        <w:t>Prohibited Payments, Etc</w:t>
      </w:r>
      <w:r>
        <w:rPr>
          <w:rFonts w:ascii="Times New Roman" w:hAnsi="Times New Roman"/>
          <w:sz w:val="24"/>
        </w:rPr>
        <w:t xml:space="preserve">. Except during the continuance of an Event of Default (including the commencement and continuation of any proceeding under any bankruptcy, insolvency or other similar law relating to such Borrower), and after notice from the Administrative Agent not to accept such payments, the Company may receive regularly scheduled payments from such Borrower on account of the Subordinated Obligations. After the occurrence and during the continuance of any Event of Default (including the commencement and continuation of any proceeding under any bankruptcy, insolvency or other similar law relating to such Borrower), however, unless the Majority Lenders otherwise agree, the Company shall not demand, accept or take any action to collect any payment on account of the Subordinated Obligations. </w:t>
      </w:r>
    </w:p>
    <w:p>
      <w:pPr>
        <w:pStyle w:val="TextBody"/>
        <w:bidi w:val="0"/>
        <w:spacing w:before="240" w:after="0"/>
        <w:jc w:val="both"/>
        <w:rPr>
          <w:rFonts w:ascii="Times New Roman" w:hAnsi="Times New Roman"/>
          <w:sz w:val="24"/>
        </w:rPr>
      </w:pPr>
      <w:r>
        <w:rPr>
          <w:rFonts w:ascii="Times New Roman" w:hAnsi="Times New Roman"/>
          <w:sz w:val="24"/>
        </w:rPr>
        <w:t xml:space="preserve">(b) </w:t>
      </w:r>
      <w:r>
        <w:rPr>
          <w:rFonts w:ascii="Times New Roman" w:hAnsi="Times New Roman"/>
          <w:sz w:val="24"/>
          <w:u w:val="single"/>
        </w:rPr>
        <w:t>Prior Payment of Guaranteed Obligations</w:t>
      </w:r>
      <w:r>
        <w:rPr>
          <w:rFonts w:ascii="Times New Roman" w:hAnsi="Times New Roman"/>
          <w:sz w:val="24"/>
        </w:rPr>
        <w:t>. In any proceeding under any bankruptcy, insolvency or other similar law relating to such Borrower, the Company agrees that the Administrative Agent and the Lenders shall be entitled to receive payment in full in cash of all Guaranteed Obligations (including all interest and expenses accruing after the commencement of a proceeding under any bankruptcy, insolvency or other similar law, whether or not constituting an allowed claim in such proceeding (“</w:t>
      </w:r>
      <w:r>
        <w:rPr>
          <w:rFonts w:ascii="Times New Roman" w:hAnsi="Times New Roman"/>
          <w:sz w:val="24"/>
          <w:u w:val="single"/>
        </w:rPr>
        <w:t>Post-Petition Interest</w:t>
      </w:r>
      <w:r>
        <w:rPr>
          <w:rFonts w:ascii="Times New Roman" w:hAnsi="Times New Roman"/>
          <w:sz w:val="24"/>
        </w:rPr>
        <w:t xml:space="preserve">”)) before the Company receives payment of any Subordinated Obligations. </w:t>
      </w:r>
    </w:p>
    <w:p>
      <w:pPr>
        <w:pStyle w:val="TextBody"/>
        <w:bidi w:val="0"/>
        <w:spacing w:before="240" w:after="0"/>
        <w:jc w:val="both"/>
        <w:rPr>
          <w:rFonts w:ascii="Times New Roman" w:hAnsi="Times New Roman"/>
          <w:sz w:val="24"/>
        </w:rPr>
      </w:pPr>
      <w:r>
        <w:rPr>
          <w:rFonts w:ascii="Times New Roman" w:hAnsi="Times New Roman"/>
          <w:sz w:val="24"/>
        </w:rPr>
        <w:t xml:space="preserve">(c) </w:t>
      </w:r>
      <w:r>
        <w:rPr>
          <w:rFonts w:ascii="Times New Roman" w:hAnsi="Times New Roman"/>
          <w:sz w:val="24"/>
          <w:u w:val="single"/>
        </w:rPr>
        <w:t>Turn-Over</w:t>
      </w:r>
      <w:r>
        <w:rPr>
          <w:rFonts w:ascii="Times New Roman" w:hAnsi="Times New Roman"/>
          <w:sz w:val="24"/>
        </w:rPr>
        <w:t xml:space="preserve">. After the occurrence and during the continuance of any Event of Default (including the commencement and continuation of any proceeding under any bankruptcy, insolvency or other similar law relating to such Borrower), the Company shall, if the Administrative Agent so requests, collect, enforce and receive payments on account of the Subordinated Obligations as trustee for the Administrative Agent and the Lenders and deliver such payments to the Administrative Agent on account of the Guaranteed Obligations (including all Post-Petition Interest), together with any necessary endorsements or other instruments of transfer, but without reducing or affecting in any manner the liability of the Company under the other provisions of this Guaranty. </w:t>
      </w:r>
    </w:p>
    <w:p>
      <w:pPr>
        <w:pStyle w:val="TextBody"/>
        <w:bidi w:val="0"/>
        <w:spacing w:before="240" w:after="0"/>
        <w:jc w:val="both"/>
        <w:rPr>
          <w:rFonts w:ascii="Times New Roman" w:hAnsi="Times New Roman"/>
          <w:sz w:val="24"/>
        </w:rPr>
      </w:pPr>
      <w:r>
        <w:rPr>
          <w:rFonts w:ascii="Times New Roman" w:hAnsi="Times New Roman"/>
          <w:sz w:val="24"/>
        </w:rPr>
        <w:t xml:space="preserve">(d) </w:t>
      </w:r>
      <w:r>
        <w:rPr>
          <w:rFonts w:ascii="Times New Roman" w:hAnsi="Times New Roman"/>
          <w:sz w:val="24"/>
          <w:u w:val="single"/>
        </w:rPr>
        <w:t>Administrative Agent Authorization</w:t>
      </w:r>
      <w:r>
        <w:rPr>
          <w:rFonts w:ascii="Times New Roman" w:hAnsi="Times New Roman"/>
          <w:sz w:val="24"/>
        </w:rPr>
        <w:t xml:space="preserve">. After the occurrence and during the continuance of any Event of Default (including the commencement and continuation of any proceeding under any bankruptcy, insolvency or other similar law relating to such Borrower), the Administrative Agent is authorized and empowered (but without any obligation to so do), in its discretion, (i) in the name of the Company, to collect and enforce, and to submit claims in respect of, Subordinated Obligations and to apply any amounts received thereon to the Guaranteed Obligations (including any and all Post-Petition Interest), and (ii) to require the Company (A) to collect and enforce, and to submit claims in respect of, Subordinated Obligations and (B) to pay any amounts received on such obligations to the Administrative Agent for application to the Guaranteed Obligations (including any and all Post-Petition Interest) until the payment in full of the Guaranteed Obligations. </w:t>
      </w:r>
    </w:p>
    <w:p>
      <w:pPr>
        <w:pStyle w:val="TextBody"/>
        <w:bidi w:val="0"/>
        <w:spacing w:before="240" w:after="0"/>
        <w:jc w:val="both"/>
        <w:rPr>
          <w:rFonts w:ascii="Times New Roman" w:hAnsi="Times New Roman"/>
          <w:sz w:val="24"/>
        </w:rPr>
      </w:pPr>
      <w:r>
        <w:rPr>
          <w:rFonts w:ascii="Times New Roman" w:hAnsi="Times New Roman"/>
          <w:sz w:val="24"/>
        </w:rPr>
        <w:t xml:space="preserve">Section 11.6 </w:t>
      </w:r>
      <w:r>
        <w:rPr>
          <w:rFonts w:ascii="Times New Roman" w:hAnsi="Times New Roman"/>
          <w:sz w:val="24"/>
          <w:u w:val="single"/>
        </w:rPr>
        <w:t>Continuing Guaranty; Assignments</w:t>
      </w:r>
      <w:r>
        <w:rPr>
          <w:rFonts w:ascii="Times New Roman" w:hAnsi="Times New Roman"/>
          <w:sz w:val="24"/>
        </w:rPr>
        <w:t xml:space="preserve">. This Guaranty is a continuing guaranty and shall (a) remain in full force and effect until the latest of (i) the payment in full in cash of the Guaranteed Obligations and all other amounts payable under this Guaranty, (ii) the latest Maturity Date and (iii) the latest date of expiration or termination of all Letters of Credit, (b) be binding upon the Company, its successors and assigns and (c) inure to the benefit of and be enforceable by the Administrative Agent and the Lenders and their successors, transferees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assigns. Without limiting the generality of clause (c) of the immediately preceding sentence, the Administrative Agent or any Lender may assign or otherwise transfer all or any portion of its rights and obligations under this Agreement (including, without limitation, all or any portion of its Commitments, the Advances owing to it and the Note or Notes held by it) to any other Person, and such other Person shall thereupon become vested with all the benefits in respect thereof granted to the Administrative Agent or such Lender herein or otherwise, in each case as and to the extent provided in Section 12.4. </w:t>
      </w:r>
    </w:p>
    <w:p>
      <w:pPr>
        <w:pStyle w:val="TextBody"/>
        <w:bidi w:val="0"/>
        <w:spacing w:before="240" w:after="0"/>
        <w:jc w:val="center"/>
        <w:rPr>
          <w:rFonts w:ascii="Times New Roman" w:hAnsi="Times New Roman"/>
          <w:sz w:val="24"/>
        </w:rPr>
      </w:pPr>
      <w:r>
        <w:rPr>
          <w:rFonts w:ascii="Times New Roman" w:hAnsi="Times New Roman"/>
          <w:sz w:val="24"/>
        </w:rPr>
        <w:t xml:space="preserve">ARTICLE 12 - MISCELLANEOUS </w:t>
      </w:r>
    </w:p>
    <w:p>
      <w:pPr>
        <w:pStyle w:val="TextBody"/>
        <w:bidi w:val="0"/>
        <w:spacing w:before="240" w:after="0"/>
        <w:jc w:val="both"/>
        <w:rPr>
          <w:rFonts w:ascii="Times New Roman" w:hAnsi="Times New Roman"/>
          <w:sz w:val="24"/>
        </w:rPr>
      </w:pPr>
      <w:r>
        <w:rPr>
          <w:rFonts w:ascii="Times New Roman" w:hAnsi="Times New Roman"/>
          <w:sz w:val="24"/>
        </w:rPr>
        <w:t>Section 12.1 </w:t>
      </w:r>
      <w:r>
        <w:rPr>
          <w:rFonts w:ascii="Times New Roman" w:hAnsi="Times New Roman"/>
          <w:sz w:val="24"/>
          <w:u w:val="single"/>
        </w:rPr>
        <w:t>Notices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Notices Generally</w:t>
      </w:r>
      <w:r>
        <w:rPr>
          <w:rFonts w:ascii="Times New Roman" w:hAnsi="Times New Roman"/>
          <w:sz w:val="24"/>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 </w:t>
      </w:r>
    </w:p>
    <w:p>
      <w:pPr>
        <w:pStyle w:val="TextBody"/>
        <w:bidi w:val="0"/>
        <w:spacing w:before="240" w:after="0"/>
        <w:jc w:val="both"/>
        <w:rPr>
          <w:rFonts w:ascii="Times New Roman" w:hAnsi="Times New Roman"/>
          <w:sz w:val="24"/>
        </w:rPr>
      </w:pPr>
      <w:r>
        <w:rPr>
          <w:rFonts w:ascii="Times New Roman" w:hAnsi="Times New Roman"/>
          <w:sz w:val="24"/>
        </w:rPr>
        <w:t xml:space="preserve">(i) if to any Borrower, the Administrative Agent, the Swingline Lender or any Issuing Bank, to the address, telecopier number, electronic mail address or telephone number specified for such Person on </w:t>
      </w:r>
      <w:r>
        <w:rPr>
          <w:rFonts w:ascii="Times New Roman" w:hAnsi="Times New Roman"/>
          <w:sz w:val="24"/>
          <w:u w:val="single"/>
        </w:rPr>
        <w:t>Schedule 5</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 xml:space="preserve">(ii) if to any other Lender, to the address, telecopier number, electronic mail address or telephone number specified to the Administrative Agent (including, as appropriate, notices delivered solely to the Person designated by a Lender for the delivery of notices that may contain material non-public information relating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Electronic Communications</w:t>
      </w:r>
      <w:r>
        <w:rPr>
          <w:rFonts w:ascii="Times New Roman" w:hAnsi="Times New Roman"/>
          <w:sz w:val="24"/>
        </w:rPr>
        <w:t xml:space="preserve">. Notices and other communications to the Lenders and the Issuing Banks hereunder may be delivered or furnished by electronic communication (including e-mail and Internet or intranet websites) pursuant to procedures approved by the Administrative Agent and the Company, </w:t>
      </w:r>
      <w:r>
        <w:rPr>
          <w:rFonts w:ascii="Times New Roman" w:hAnsi="Times New Roman"/>
          <w:sz w:val="24"/>
          <w:u w:val="single"/>
        </w:rPr>
        <w:t>provided</w:t>
      </w:r>
      <w:r>
        <w:rPr>
          <w:rFonts w:ascii="Times New Roman" w:hAnsi="Times New Roman"/>
          <w:sz w:val="24"/>
        </w:rPr>
        <w:t xml:space="preserve"> that the foregoing shall not apply to notices to any Lender, the Swingline Lender or the Issuing Banks pursuant to </w:t>
      </w:r>
      <w:r>
        <w:rPr>
          <w:rFonts w:ascii="Times New Roman" w:hAnsi="Times New Roman"/>
          <w:sz w:val="24"/>
          <w:u w:val="single"/>
        </w:rPr>
        <w:t>Article 2</w:t>
      </w:r>
      <w:r>
        <w:rPr>
          <w:rFonts w:ascii="Times New Roman" w:hAnsi="Times New Roman"/>
          <w:sz w:val="24"/>
        </w:rPr>
        <w:t xml:space="preserve"> if such Lender, Swingline Lender or such Issuing Bank, as applicable, has notified the Administrative Agent and the Company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hAnsi="Times New Roman"/>
          <w:sz w:val="24"/>
          <w:u w:val="single"/>
        </w:rPr>
        <w:t>provided</w:t>
      </w:r>
      <w:r>
        <w:rPr>
          <w:rFonts w:ascii="Times New Roman" w:hAnsi="Times New Roman"/>
          <w:sz w:val="24"/>
        </w:rPr>
        <w:t xml:space="preserve"> that approval of such procedures may be limited to particular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4"/>
          <w:u w:val="single"/>
        </w:rPr>
        <w:t>provided</w:t>
      </w:r>
      <w:r>
        <w:rPr>
          <w:rFonts w:ascii="Times New Roman" w:hAnsi="Times New Roman"/>
          <w:sz w:val="24"/>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The Platform</w:t>
      </w:r>
      <w:r>
        <w:rPr>
          <w:rFonts w:ascii="Times New Roman" w:hAnsi="Times New Roman"/>
          <w:sz w:val="24"/>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4"/>
          <w:u w:val="single"/>
        </w:rPr>
        <w:t>Agent Parties</w:t>
      </w:r>
      <w:r>
        <w:rPr>
          <w:rFonts w:ascii="Times New Roman" w:hAnsi="Times New Roman"/>
          <w:sz w:val="24"/>
        </w:rPr>
        <w:t xml:space="preserve">”) have any liability to any Borrower, any Lender, any Issuing Bank or any other Person for losses, claims, damages, liabilities or expenses of any kind (whether in tort, contract or otherwise) arising out of the Company’s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no event shall any Agent Party have any liability to any Borrower, any Lender, any Issuing Bank or any other Person for indirect, special, incidental, consequential or punitive damages (as opposed to direct or actual damages).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Change of Address, Etc</w:t>
      </w:r>
      <w:r>
        <w:rPr>
          <w:rFonts w:ascii="Times New Roman" w:hAnsi="Times New Roman"/>
          <w:sz w:val="24"/>
        </w:rPr>
        <w:t xml:space="preserve">. Each of the Borrowers, the Administrative Agent, the Swingline Lender and each Issuing Bank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Borrowers, the Administrative Agent, the Swingline Lender and the Issuing Banks.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may contain material non-public information with respect to the Company or its securities for purposes of United States Federal or state securities laws.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Reliance by Administrative Agent, Issuing Banks and Lenders</w:t>
      </w:r>
      <w:r>
        <w:rPr>
          <w:rFonts w:ascii="Times New Roman" w:hAnsi="Times New Roman"/>
          <w:sz w:val="24"/>
        </w:rPr>
        <w:t xml:space="preserve">. The Administrative Agent, the Swingline Lender, the Issuing Banks and the Lenders shall be entitled to rely and act upon any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the Swingline Lender, each Issuing Bank, each Lender and the Related Parties of each of them from all losses, costs, expenses and liabilities resulting from the reliance by such Person on each notice purportedly given by or on behalf of the Company. All telephonic notices to and other telephonic communications with the Administrative Agent may be recorded by the Administrative Agent, and each of the parties hereto hereby consents to such recording. </w:t>
      </w:r>
    </w:p>
    <w:p>
      <w:pPr>
        <w:pStyle w:val="TextBody"/>
        <w:bidi w:val="0"/>
        <w:spacing w:before="240" w:after="0"/>
        <w:jc w:val="both"/>
        <w:rPr>
          <w:rFonts w:ascii="Times New Roman" w:hAnsi="Times New Roman"/>
          <w:sz w:val="24"/>
        </w:rPr>
      </w:pPr>
      <w:r>
        <w:rPr>
          <w:rFonts w:ascii="Times New Roman" w:hAnsi="Times New Roman"/>
          <w:sz w:val="24"/>
        </w:rPr>
        <w:t>Section 12.2 </w:t>
      </w:r>
      <w:r>
        <w:rPr>
          <w:rFonts w:ascii="Times New Roman" w:hAnsi="Times New Roman"/>
          <w:sz w:val="24"/>
          <w:u w:val="single"/>
        </w:rPr>
        <w:t>Expenses</w:t>
      </w:r>
      <w:r>
        <w:rPr>
          <w:rFonts w:ascii="Times New Roman" w:hAnsi="Times New Roman"/>
          <w:sz w:val="24"/>
        </w:rPr>
        <w:t xml:space="preserve">. The Borrowers will promptly pay, or reimburse: </w:t>
      </w:r>
    </w:p>
    <w:p>
      <w:pPr>
        <w:pStyle w:val="TextBody"/>
        <w:bidi w:val="0"/>
        <w:spacing w:before="240" w:after="0"/>
        <w:jc w:val="both"/>
        <w:rPr>
          <w:rFonts w:ascii="Times New Roman" w:hAnsi="Times New Roman"/>
          <w:sz w:val="24"/>
        </w:rPr>
      </w:pPr>
      <w:r>
        <w:rPr>
          <w:rFonts w:ascii="Times New Roman" w:hAnsi="Times New Roman"/>
          <w:sz w:val="24"/>
        </w:rPr>
        <w:t xml:space="preserve">(a) all reasonable and documented out-of-pocket expenses of the Administrative Agent in connection with the preparation, negotiation, execution and delivery of this Agreement and the other Loan Documents, and the transactions contemplated hereunder and thereunder any amendments, waivers and consents associated therewith, including, without limitation, the reasonable and documented fees and disbursements of Shearman &amp; Sterling LLP, special counsel for the Administrative Agent; and </w:t>
      </w:r>
    </w:p>
    <w:p>
      <w:pPr>
        <w:pStyle w:val="TextBody"/>
        <w:bidi w:val="0"/>
        <w:spacing w:before="240" w:after="0"/>
        <w:jc w:val="both"/>
        <w:rPr>
          <w:rFonts w:ascii="Times New Roman" w:hAnsi="Times New Roman"/>
          <w:sz w:val="24"/>
        </w:rPr>
      </w:pPr>
      <w:r>
        <w:rPr>
          <w:rFonts w:ascii="Times New Roman" w:hAnsi="Times New Roman"/>
          <w:sz w:val="24"/>
        </w:rPr>
        <w:t xml:space="preserve">(b) all documented out-of-pocket costs and expenses of the Administrative Agent, the Lenders, the Swingline Lender and the Issuing Banks of enforcement under this Agreement or the other Loan Documents and all documented out-of-pocket costs and expenses of collection if an Event of Default occurs in the payment of the Notes, which in each case shall include, without limitation, reasonable fees and out-of-pocket expenses of one counsel for the Administrative Agent, the Swingline Lender and the Issuing Banks and one counsel for all of the Lenders. </w:t>
      </w:r>
    </w:p>
    <w:p>
      <w:pPr>
        <w:pStyle w:val="TextBody"/>
        <w:bidi w:val="0"/>
        <w:spacing w:before="240" w:after="0"/>
        <w:jc w:val="both"/>
        <w:rPr>
          <w:rFonts w:ascii="Times New Roman" w:hAnsi="Times New Roman"/>
          <w:sz w:val="24"/>
        </w:rPr>
      </w:pPr>
      <w:r>
        <w:rPr>
          <w:rFonts w:ascii="Times New Roman" w:hAnsi="Times New Roman"/>
          <w:sz w:val="24"/>
        </w:rPr>
        <w:t>Section 12.3 </w:t>
      </w:r>
      <w:r>
        <w:rPr>
          <w:rFonts w:ascii="Times New Roman" w:hAnsi="Times New Roman"/>
          <w:sz w:val="24"/>
          <w:u w:val="single"/>
        </w:rPr>
        <w:t>Waivers</w:t>
      </w:r>
      <w:r>
        <w:rPr>
          <w:rFonts w:ascii="Times New Roman" w:hAnsi="Times New Roman"/>
          <w:sz w:val="24"/>
        </w:rPr>
        <w:t xml:space="preserve">. The rights and remedies of the Administrative Agent, the Lenders and the Issuing Banks under this Agreement and the other Loan Documents shall be cumulative and not exclusive of any rights or remedies which they would otherwise have. No failure or delay by the Administrative Agent, the Majority Lenders, the Lenders, the Swingline Lender and the Issuing Banks, or any of them, in exercising any right, shall operate as a waiver of such right. No waiver of any provision of this Agreement or consent to any departure by the Company or any of its Subsidiaries therefrom shall in any event be effective unless the same shall be permitted by Section 12.13,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or any Lender may have had notice or knowledge of such Default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12.4 </w:t>
      </w:r>
      <w:r>
        <w:rPr>
          <w:rFonts w:ascii="Times New Roman" w:hAnsi="Times New Roman"/>
          <w:sz w:val="24"/>
          <w:u w:val="single"/>
        </w:rPr>
        <w:t>Assignment and Participation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Successors and Assigns Generally</w:t>
      </w:r>
      <w:r>
        <w:rPr>
          <w:rFonts w:ascii="Times New Roman" w:hAnsi="Times New Roman"/>
          <w:sz w:val="24"/>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the Swingline Lender, each Issuing Bank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(iii) by way of pledge or assignment of a security interest subject to the restrictions of subsection (f) of this Section, or (iv) to an SPC in accordance with the provisions of subsection (g)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Swingline Lender, the Issuing Banks and the Lenders) any legal or equitable right, remedy or claim under or by reason of this Agreement.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Assignments by Lenders</w:t>
      </w:r>
      <w:r>
        <w:rPr>
          <w:rFonts w:ascii="Times New Roman" w:hAnsi="Times New Roman"/>
          <w:sz w:val="24"/>
        </w:rPr>
        <w:t xml:space="preserve">. Any Lender may at any time assign to one or more assignees all or a portion of its rights and obligations under this Agreement (including all or a portion of its Commitment and the Loans (including for purposes of this subsection (b), participations in L/C Obligations and Swingline Loans) at the time owing to it); </w:t>
      </w:r>
      <w:r>
        <w:rPr>
          <w:rFonts w:ascii="Times New Roman" w:hAnsi="Times New Roman"/>
          <w:sz w:val="24"/>
          <w:u w:val="single"/>
        </w:rPr>
        <w:t>provided</w:t>
      </w:r>
      <w:r>
        <w:rPr>
          <w:rFonts w:ascii="Times New Roman" w:hAnsi="Times New Roman"/>
          <w:sz w:val="24"/>
        </w:rPr>
        <w:t xml:space="preserve"> that any such assignment shall be subject to the following conditions: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Minimum Amounts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(A) in the case of an assignment of the entire remaining amount of the assigning Lender’s Commitment and the Loans at the time owing to it or in the case of an assignment to a Lender, an Affiliate of a Lender, no minimum amount need be assigned; and </w:t>
      </w:r>
    </w:p>
    <w:p>
      <w:pPr>
        <w:pStyle w:val="TextBody"/>
        <w:bidi w:val="0"/>
        <w:spacing w:before="240" w:after="0"/>
        <w:jc w:val="both"/>
        <w:rPr>
          <w:rFonts w:ascii="Times New Roman" w:hAnsi="Times New Roman"/>
          <w:sz w:val="24"/>
        </w:rPr>
      </w:pPr>
      <w:r>
        <w:rPr>
          <w:rFonts w:ascii="Times New Roman" w:hAnsi="Times New Roman"/>
          <w:sz w:val="24"/>
        </w:rPr>
        <w:t xml:space="preserve">(B) in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Proportionate Amounts</w:t>
      </w:r>
      <w:r>
        <w:rPr>
          <w:rFonts w:ascii="Times New Roman" w:hAnsi="Times New Roman"/>
          <w:sz w:val="24"/>
        </w:rPr>
        <w:t xml:space="preserve">. Each partial assignment shall be made as an assignment of a proportionate part of all the assigning Lender’s rights and obligations under this Agreement with respect to the Loans or the Commitment assigned except that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this clause (ii) shall not apply to the Swingline Lender’s rights and obligations in respect of Swingline Loans;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Required Consents</w:t>
      </w:r>
      <w:r>
        <w:rPr>
          <w:rFonts w:ascii="Times New Roman" w:hAnsi="Times New Roman"/>
          <w:sz w:val="24"/>
        </w:rPr>
        <w:t xml:space="preserve">. No consent shall be required for any assignment except to the extent required by </w:t>
      </w:r>
      <w:r>
        <w:rPr>
          <w:rFonts w:ascii="Times New Roman" w:hAnsi="Times New Roman"/>
          <w:sz w:val="24"/>
          <w:u w:val="single"/>
        </w:rPr>
        <w:t>subsection (b)(i)(B)</w:t>
      </w:r>
      <w:r>
        <w:rPr>
          <w:rFonts w:ascii="Times New Roman" w:hAnsi="Times New Roman"/>
          <w:sz w:val="24"/>
        </w:rPr>
        <w:t xml:space="preserve"> of this Section and, in addition: </w:t>
      </w:r>
    </w:p>
    <w:p>
      <w:pPr>
        <w:pStyle w:val="TextBody"/>
        <w:bidi w:val="0"/>
        <w:spacing w:before="240" w:after="0"/>
        <w:jc w:val="both"/>
        <w:rPr>
          <w:rFonts w:ascii="Times New Roman" w:hAnsi="Times New Roman"/>
          <w:sz w:val="24"/>
        </w:rPr>
      </w:pPr>
      <w:r>
        <w:rPr>
          <w:rFonts w:ascii="Times New Roman" w:hAnsi="Times New Roman"/>
          <w:sz w:val="24"/>
        </w:rPr>
        <w:t xml:space="preserve">(A) the consent of the Company (such consent not to be unreasonably withheld or delayed) shall be required unless (1) an Event of Default has occurred and is continuing at the time of such assignment or (2) such assignment is to a Lender or an Affiliate of a Lender; </w:t>
      </w:r>
    </w:p>
    <w:p>
      <w:pPr>
        <w:pStyle w:val="TextBody"/>
        <w:bidi w:val="0"/>
        <w:spacing w:before="240" w:after="0"/>
        <w:jc w:val="both"/>
        <w:rPr>
          <w:rFonts w:ascii="Times New Roman" w:hAnsi="Times New Roman"/>
          <w:sz w:val="24"/>
        </w:rPr>
      </w:pPr>
      <w:r>
        <w:rPr>
          <w:rFonts w:ascii="Times New Roman" w:hAnsi="Times New Roman"/>
          <w:sz w:val="24"/>
        </w:rPr>
        <w:t xml:space="preserve">(B) the consent of the Administrative Agent (such consent not to be unreasonably withheld or delayed) shall be required if such assignment is to a Person that is not a Lender or an Affiliate of such Lender; and </w:t>
      </w:r>
    </w:p>
    <w:p>
      <w:pPr>
        <w:pStyle w:val="TextBody"/>
        <w:bidi w:val="0"/>
        <w:spacing w:before="240" w:after="0"/>
        <w:jc w:val="both"/>
        <w:rPr>
          <w:rFonts w:ascii="Times New Roman" w:hAnsi="Times New Roman"/>
          <w:sz w:val="24"/>
        </w:rPr>
      </w:pPr>
      <w:r>
        <w:rPr>
          <w:rFonts w:ascii="Times New Roman" w:hAnsi="Times New Roman"/>
          <w:sz w:val="24"/>
        </w:rPr>
        <w:t xml:space="preserve">(C) the consent of each Issuing Bank and the Swingline Lender (such consent not to be unreasonably withheld or delayed) shall be required for each assignment of Commitments.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Assignment and Assumption</w:t>
      </w:r>
      <w:r>
        <w:rPr>
          <w:rFonts w:ascii="Times New Roman" w:hAnsi="Times New Roman"/>
          <w:sz w:val="24"/>
        </w:rPr>
        <w:t xml:space="preserve">. The parties to each assignment shall execute and deliver to the Administrative Agent an Assignment and Assumption, together with a processing and recordation fee in the amount of $3,500;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Administrative Agent may, in its sole discretion, elect to waive such processing and recordation fee in the case of any assignment. The assignee, if it is not a Lender, shall deliver to the Administrative Agent an administrative questionnaire in form and substance reasonably satisfactory to the Administrative Agent.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No Assignment to Certain Persons</w:t>
      </w:r>
      <w:r>
        <w:rPr>
          <w:rFonts w:ascii="Times New Roman" w:hAnsi="Times New Roman"/>
          <w:sz w:val="24"/>
        </w:rPr>
        <w:t xml:space="preserve">. No such assignment shall be made (A) to the Company or any of the Company’s Affiliates, or (B) to any Defaulting Lender or any of its Subsidiaries, or any Person who, upon becoming a Lender hereunder, would constitute any of the foregoing Persons described in this clause (B), </w:t>
      </w:r>
      <w:r>
        <w:rPr>
          <w:rFonts w:ascii="Times New Roman" w:hAnsi="Times New Roman"/>
          <w:strike/>
          <w:color w:val="FF0000"/>
          <w:sz w:val="24"/>
        </w:rPr>
        <w:t xml:space="preserve">or </w:t>
      </w:r>
      <w:r>
        <w:rPr>
          <w:rFonts w:ascii="Times New Roman" w:hAnsi="Times New Roman"/>
          <w:sz w:val="24"/>
        </w:rPr>
        <w:t>(C) to a natural person</w:t>
      </w:r>
      <w:r>
        <w:rPr>
          <w:rFonts w:ascii="Times New Roman" w:hAnsi="Times New Roman"/>
          <w:color w:val="0000FF"/>
          <w:sz w:val="24"/>
          <w:u w:val="single"/>
          <w:bdr w:val="double" w:sz="2" w:space="1" w:color="000000"/>
        </w:rPr>
        <w:t>, or (D) any Loan extended to or for the account of the Dutch Borrower shall not be assigned to a Person that is not a Non -Public Lender.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(vi) </w:t>
      </w:r>
      <w:r>
        <w:rPr>
          <w:rFonts w:ascii="Times New Roman" w:hAnsi="Times New Roman"/>
          <w:sz w:val="24"/>
          <w:u w:val="single"/>
        </w:rPr>
        <w:t>Certain Additional Payments</w:t>
      </w:r>
      <w:r>
        <w:rPr>
          <w:rFonts w:ascii="Times New Roman" w:hAnsi="Times New Roman"/>
          <w:sz w:val="24"/>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under this Agreement then due and owing by such Defaulting Lender to the Administrative Agent, any Issuing Bank or any Lender hereunder (and interest accrued thereon) and (y) acquire (and fund as appropriate) its full pro rata share of all Loans and participations in Letters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Credit and Swingline Loans in accordance with its Commitment Ratio.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both"/>
        <w:rPr>
          <w:rFonts w:ascii="Times New Roman" w:hAnsi="Times New Roman"/>
          <w:sz w:val="24"/>
        </w:rPr>
      </w:pPr>
      <w:r>
        <w:rPr>
          <w:rFonts w:ascii="Times New Roman" w:hAnsi="Times New Roman"/>
          <w:sz w:val="24"/>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4"/>
          <w:u w:val="single"/>
        </w:rPr>
        <w:t>Sections 10.3</w:t>
      </w:r>
      <w:r>
        <w:rPr>
          <w:rFonts w:ascii="Times New Roman" w:hAnsi="Times New Roman"/>
          <w:sz w:val="24"/>
        </w:rPr>
        <w:t xml:space="preserve">, </w:t>
      </w:r>
      <w:r>
        <w:rPr>
          <w:rFonts w:ascii="Times New Roman" w:hAnsi="Times New Roman"/>
          <w:sz w:val="24"/>
          <w:u w:val="single"/>
        </w:rPr>
        <w:t>10.2</w:t>
      </w:r>
      <w:r>
        <w:rPr>
          <w:rFonts w:ascii="Times New Roman" w:hAnsi="Times New Roman"/>
          <w:sz w:val="24"/>
        </w:rPr>
        <w:t xml:space="preserve"> and </w:t>
      </w:r>
      <w:r>
        <w:rPr>
          <w:rFonts w:ascii="Times New Roman" w:hAnsi="Times New Roman"/>
          <w:sz w:val="24"/>
          <w:u w:val="single"/>
        </w:rPr>
        <w:t>10.5</w:t>
      </w:r>
      <w:r>
        <w:rPr>
          <w:rFonts w:ascii="Times New Roman" w:hAnsi="Times New Roman"/>
          <w:sz w:val="24"/>
        </w:rPr>
        <w:t xml:space="preserve"> with respect to facts and circumstances occurring prior to the effective date of such assignment. Upon request, the relevant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Register</w:t>
      </w:r>
      <w:r>
        <w:rPr>
          <w:rFonts w:ascii="Times New Roman" w:hAnsi="Times New Roman"/>
          <w:sz w:val="24"/>
        </w:rPr>
        <w:t>. The Administrative Agent, acting solely for this purpose as an agent of the Company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Times New Roman" w:hAnsi="Times New Roman"/>
          <w:sz w:val="24"/>
          <w:u w:val="single"/>
        </w:rPr>
        <w:t>Register</w:t>
      </w:r>
      <w:r>
        <w:rPr>
          <w:rFonts w:ascii="Times New Roman" w:hAnsi="Times New Roman"/>
          <w:sz w:val="24"/>
        </w:rPr>
        <w:t xml:space="preserve">”).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This Section 12.4(c) shall be construed so that the Obligations are at all times maintained in “registered form” within the meaning of Sections 163(f), 871(h)(2) and 881(c)(2) of the Code and any related regulations (and any other relevant or successor provisions of the Code or Treasury Regulations promulgated thereunder). The Register shall be available for inspection by the Company and any Lender, as to its Commitments only, at any reasonable time and from time to time upon reasonable prior notice.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Participations</w:t>
      </w:r>
      <w:r>
        <w:rPr>
          <w:rFonts w:ascii="Times New Roman" w:hAnsi="Times New Roman"/>
          <w:sz w:val="24"/>
        </w:rPr>
        <w:t>. Any Lender may at any time, without the consent of, or notice to, any Borrower or the Administrative Agent or any Issuing Bank, sell participations to any Person (other than a natural person, a Defaulting Lender or the Company or any of the Company’s Affiliates) (each, a “</w:t>
      </w:r>
      <w:r>
        <w:rPr>
          <w:rFonts w:ascii="Times New Roman" w:hAnsi="Times New Roman"/>
          <w:sz w:val="24"/>
          <w:u w:val="single"/>
        </w:rPr>
        <w:t>Participant</w:t>
      </w:r>
      <w:r>
        <w:rPr>
          <w:rFonts w:ascii="Times New Roman" w:hAnsi="Times New Roman"/>
          <w:sz w:val="24"/>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hAnsi="Times New Roman"/>
          <w:sz w:val="24"/>
          <w:u w:val="single"/>
        </w:rPr>
        <w:t>provided</w:t>
      </w:r>
      <w:r>
        <w:rPr>
          <w:rFonts w:ascii="Times New Roman" w:hAnsi="Times New Roman"/>
          <w:sz w:val="24"/>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Issuing Banks shall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continue to deal solely and directly with such Lender in connection with such Lender’s rights and obligations under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4"/>
          <w:u w:val="single"/>
        </w:rPr>
        <w:t>provided</w:t>
      </w:r>
      <w:r>
        <w:rPr>
          <w:rFonts w:ascii="Times New Roman" w:hAnsi="Times New Roman"/>
          <w:sz w:val="24"/>
        </w:rPr>
        <w:t xml:space="preserve"> that such agreement or instrument may provide that such Lender will not, without the consent of the Participant, agree to any amendment, waiver or other modification described in clauses (ii)(A), (B) or (C) of </w:t>
      </w:r>
      <w:r>
        <w:rPr>
          <w:rFonts w:ascii="Times New Roman" w:hAnsi="Times New Roman"/>
          <w:sz w:val="24"/>
          <w:u w:val="single"/>
        </w:rPr>
        <w:t>Section 12.12(a)</w:t>
      </w:r>
      <w:r>
        <w:rPr>
          <w:rFonts w:ascii="Times New Roman" w:hAnsi="Times New Roman"/>
          <w:sz w:val="24"/>
        </w:rPr>
        <w:t xml:space="preserve"> that affects such Participant. Subject to subsection (e) of this Section, the Borrowers agree that each Participant shall be entitled to the benefits of </w:t>
      </w:r>
      <w:r>
        <w:rPr>
          <w:rFonts w:ascii="Times New Roman" w:hAnsi="Times New Roman"/>
          <w:sz w:val="24"/>
          <w:u w:val="single"/>
        </w:rPr>
        <w:t>Section 10.3</w:t>
      </w:r>
      <w:r>
        <w:rPr>
          <w:rFonts w:ascii="Times New Roman" w:hAnsi="Times New Roman"/>
          <w:sz w:val="24"/>
        </w:rPr>
        <w:t xml:space="preserve"> to the same extent as if it were a Lender and had acquired its interest by assignment pursuant to subsection (b) of this Section. </w:t>
      </w:r>
    </w:p>
    <w:p>
      <w:pPr>
        <w:pStyle w:val="TextBody"/>
        <w:bidi w:val="0"/>
        <w:spacing w:before="240" w:after="0"/>
        <w:jc w:val="both"/>
        <w:rPr>
          <w:rFonts w:ascii="Times New Roman" w:hAnsi="Times New Roman"/>
          <w:sz w:val="24"/>
        </w:rPr>
      </w:pPr>
      <w:r>
        <w:rPr>
          <w:rFonts w:ascii="Times New Roman" w:hAnsi="Times New Roman"/>
          <w:sz w:val="24"/>
        </w:rPr>
        <w:t>A Participant shall not be entitled to receive any greater payment under Section 10.3 than the applicable Lender would have been entitled to receive with respect to the participation sold to such Participant. A Participant that would be a foreign Lender if it were a Lender shall not be entitled to the benefits of Section 2.12 unless the Company is notified of the participation sold to such Participant and such Participant agrees, for the benefit of the Company, to comply with Section 2.12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sz w:val="24"/>
          <w:u w:val="single"/>
        </w:rPr>
        <w:t>Participant Register</w:t>
      </w:r>
      <w:r>
        <w:rPr>
          <w:rFonts w:ascii="Times New Roman" w:hAnsi="Times New Roman"/>
          <w:sz w:val="24"/>
        </w:rPr>
        <w:t xml:space="preserve">”); provided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each Lender that sells a participation shall make a copy of the Participant Register available for the Borrower and the Administrative Agent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the Borrower, the Lenders and the Administrative Agent shall treat each Person whose name is recorded in the Participant Register as the owner of such participation for all purposes of this Agreement, notwithstanding any notice to the contrary.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Certain Pledges</w:t>
      </w:r>
      <w:r>
        <w:rPr>
          <w:rFonts w:ascii="Times New Roman" w:hAnsi="Times New Roman"/>
          <w:sz w:val="24"/>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banking authority; </w:t>
      </w:r>
      <w:r>
        <w:rPr>
          <w:rFonts w:ascii="Times New Roman" w:hAnsi="Times New Roman"/>
          <w:sz w:val="24"/>
          <w:u w:val="single"/>
        </w:rPr>
        <w:t>provided</w:t>
      </w:r>
      <w:r>
        <w:rPr>
          <w:rFonts w:ascii="Times New Roman" w:hAnsi="Times New Roman"/>
          <w:sz w:val="24"/>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both"/>
        <w:rPr>
          <w:rFonts w:ascii="Times New Roman" w:hAnsi="Times New Roman"/>
          <w:sz w:val="24"/>
        </w:rPr>
      </w:pPr>
      <w:r>
        <w:rPr>
          <w:rFonts w:ascii="Times New Roman" w:hAnsi="Times New Roman"/>
          <w:sz w:val="24"/>
        </w:rPr>
        <w:t>(f) Notwithstanding anything to the contrary contained herein, any Lender (a “</w:t>
      </w:r>
      <w:r>
        <w:rPr>
          <w:rFonts w:ascii="Times New Roman" w:hAnsi="Times New Roman"/>
          <w:sz w:val="24"/>
          <w:u w:val="single"/>
        </w:rPr>
        <w:t>Granting Lender</w:t>
      </w:r>
      <w:r>
        <w:rPr>
          <w:rFonts w:ascii="Times New Roman" w:hAnsi="Times New Roman"/>
          <w:sz w:val="24"/>
        </w:rPr>
        <w:t>”) may grant to a special purpose funding vehicle (an “</w:t>
      </w:r>
      <w:r>
        <w:rPr>
          <w:rFonts w:ascii="Times New Roman" w:hAnsi="Times New Roman"/>
          <w:sz w:val="24"/>
          <w:u w:val="single"/>
        </w:rPr>
        <w:t>SPC</w:t>
      </w:r>
      <w:r>
        <w:rPr>
          <w:rFonts w:ascii="Times New Roman" w:hAnsi="Times New Roman"/>
          <w:sz w:val="24"/>
        </w:rPr>
        <w:t xml:space="preserve">”) sponsored by such Granting Lender, identified as such in writing from time to time by the Granting Lender to the Administrative Agent and the relevant Borrower, the option to provide to the relevant Borrower all or any part of any Advance that such Granting Lender would otherwise be obligated to make to the relevant Borrower pursuant to this Agreement; </w:t>
      </w:r>
      <w:r>
        <w:rPr>
          <w:rFonts w:ascii="Times New Roman" w:hAnsi="Times New Roman"/>
          <w:sz w:val="24"/>
          <w:u w:val="single"/>
        </w:rPr>
        <w:t>provided</w:t>
      </w:r>
      <w:r>
        <w:rPr>
          <w:rFonts w:ascii="Times New Roman" w:hAnsi="Times New Roman"/>
          <w:sz w:val="24"/>
        </w:rPr>
        <w:t xml:space="preserve"> that (i) nothing herein shall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constitute a commitment by any SPC to make any Advance and (ii) if an SPC elects not to exercise such option or otherwise fails to provide all or any part of such Advance, the Granting Lender shall be obligated to make such Advance pursuant to the terms hereof. The Loans by an SPC hereunder shall be Revolving Loans of the Granting Lender to the same extent, and as if, such Loans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solely in its capacity as a party hereto and to any other Loan Document,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12.4, any SPC may (i) with notice to, but without the prior written consent of, the relevant Borrower and the Administrative Agent and without paying any processing fee therefor, assign all or a portion of its interests in any Advances to the Granting Lender or to any financial institutions (consented to by the relevant Borrower and the Administrative Agent) providing liquidity and/or credit support to or for the account of such SPC to support the funding or maintenance of Advances and (ii) disclose on a confidential basis any non-public information relating to its Advances to any rating agency, commercial paper dealer or provider of any surety, guarantee or credit or liquidity enhancement to such SPC. This Section 12.4(f) may not be amended without the written consent of any SPC which has been designated in writing as provided in the first sentence hereof and holds any outstanding Loans. The designation by a Granting Lender of an SPC to fund Advances shall be deemed to be a representation, warranty, covenant and agreement by such Granting Lender to the Borrowers and all other parties hereunder that (A) the funding and maintaining of such Advances by such SPC shall not constitute a “prohibited transaction” (as such term is defined in Section 406 of ERISA or Section 4975 of the Code), and (B) such designation, funding and maintenance would not result in any interest requiring registration under the Securities Act of 1933, as amended, or qualification under any state securities law. The SPC shall from time to time provide to the relevant Borrower the tax and other forms required pursuant to Section 2.12 hereof with respect to such SPC as though such SPC were a Lender hereunder. In no event shall any Borrower or any Lender other than the Granting Lender be obligated hereunder to pay any additional amounts under any provision of this Agreement (pursuant to Article 10 hereof or otherwise) by reason of a Granting Lender’s designation of an SPC or the funding or maintenance of Advances by such SPC, in excess of amounts which the relevant Borrower would have been obligated to pay if such Granting Lender had not made such designation and such Granting Lender were itself funding and maintaining such Advances. The Administrative Agent shall register the interest of any SPC in an Advance from time to time on the Register maintained pursuant to Section 12.4(c) hereof.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sz w:val="24"/>
          <w:u w:val="single"/>
        </w:rPr>
        <w:t>Resignation as Issuing Bank or Swingline Lender after Assignment</w:t>
      </w:r>
      <w:r>
        <w:rPr>
          <w:rFonts w:ascii="Times New Roman" w:hAnsi="Times New Roman"/>
          <w:sz w:val="24"/>
        </w:rPr>
        <w:t xml:space="preserve">. Notwithstanding anything to the contrary contained herein, if at any time Toronto Dominion assigns all of its Revolving Loan Commitment and Loans pursuant to subsection (b) above, Toronto Dominion may, (i) upon thirty (30) days’ notice to the Company and the Lenders, resign as Issuing Bank and (ii) (i) upon thirty (30) days’ notice to the Company, resign as Swingline Lender. In the event of any such resignation as Issuing Bank or Swingline Lender, the Company shall be entitled to appoint from among the Lenders a successor Issuing Bank or Swingline Lender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hereunder;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failure by the Company to appoint any such successor shall affect the resignation of Toronto Dominion as Issuing Bank or Swingline Lender, as the case may be. If Toronto Dominion resigns as Issuing Bank, it shall retain all the rights, powers, privileges and duties of an Issuing Bank hereunder with respect to all Letters of Credit outstanding as of the effective date of its resignation as Issuing Bank and all L/C Obligations with respect thereto (including the right to require the Lenders to make Base Rate Advances or fund risk participations in Unreimbursed Amounts pursuant to </w:t>
      </w:r>
      <w:r>
        <w:rPr>
          <w:rFonts w:ascii="Times New Roman" w:hAnsi="Times New Roman"/>
          <w:sz w:val="24"/>
          <w:u w:val="single"/>
        </w:rPr>
        <w:t>Section 2.13(c)</w:t>
      </w:r>
      <w:r>
        <w:rPr>
          <w:rFonts w:ascii="Times New Roman" w:hAnsi="Times New Roman"/>
          <w:sz w:val="24"/>
        </w:rPr>
        <w:t>). If Toronto Dominion resigns as Swingline Lender, it shall retain all the rights of the Swingline Lender provided for hereunder with respect to Swingline Loans made by it and outstanding as of the effective date of such resignation, including the right to require the Lenders to make Revolving Loans (in the form of Base Rate Advances) or fund risk participations in outstanding Swingline Loans pursuant to Section</w:t>
      </w:r>
      <w:r>
        <w:rPr>
          <w:rFonts w:ascii="Times New Roman" w:hAnsi="Times New Roman"/>
          <w:sz w:val="24"/>
          <w:u w:val="single"/>
        </w:rPr>
        <w:t> 2.17(c)</w:t>
      </w:r>
      <w:r>
        <w:rPr>
          <w:rFonts w:ascii="Times New Roman" w:hAnsi="Times New Roman"/>
          <w:sz w:val="24"/>
        </w:rPr>
        <w:t xml:space="preserve">. Upon the appointment of a successor Issuing Bank or Swingline Lender, (a) such successor shall succeed to and become vested with all of the rights, powers, privileges and duties of the retiring Issuing Bank or Swingline Lender, and (b) the successor Issuing Bank shall issue letters of credit in substitution for the Letters of Credit, if any, outstanding at the time of such succession or make other arrangements satisfactory to Toronto Dominion to effectively assume the obligations of Toronto Dominion with respect to such Letters of Credit. </w:t>
      </w:r>
    </w:p>
    <w:p>
      <w:pPr>
        <w:pStyle w:val="TextBody"/>
        <w:bidi w:val="0"/>
        <w:spacing w:before="240" w:after="0"/>
        <w:jc w:val="both"/>
        <w:rPr>
          <w:rFonts w:ascii="Times New Roman" w:hAnsi="Times New Roman"/>
          <w:sz w:val="24"/>
        </w:rPr>
      </w:pPr>
      <w:r>
        <w:rPr>
          <w:rFonts w:ascii="Times New Roman" w:hAnsi="Times New Roman"/>
          <w:sz w:val="24"/>
        </w:rPr>
        <w:t>Section 12.5 </w:t>
      </w:r>
      <w:r>
        <w:rPr>
          <w:rFonts w:ascii="Times New Roman" w:hAnsi="Times New Roman"/>
          <w:sz w:val="24"/>
          <w:u w:val="single"/>
        </w:rPr>
        <w:t>Indemnity</w:t>
      </w:r>
      <w:r>
        <w:rPr>
          <w:rFonts w:ascii="Times New Roman" w:hAnsi="Times New Roman"/>
          <w:sz w:val="24"/>
        </w:rPr>
        <w:t>. The Borrowers agree to indemnify and hold harmless each Lender, the Administrative Agent, the Issuing Banks and each of their respective Affiliates, employees, representatives, shareholders, partners, agents, officers and directors (any of the foregoing shall be an “</w:t>
      </w:r>
      <w:r>
        <w:rPr>
          <w:rFonts w:ascii="Times New Roman" w:hAnsi="Times New Roman"/>
          <w:sz w:val="24"/>
          <w:u w:val="single"/>
        </w:rPr>
        <w:t>Indemnitee</w:t>
      </w:r>
      <w:r>
        <w:rPr>
          <w:rFonts w:ascii="Times New Roman" w:hAnsi="Times New Roman"/>
          <w:sz w:val="24"/>
        </w:rPr>
        <w:t xml:space="preserve">”) from and against any and all claims, liabilities, obligations, losses, damages, actions, reasonable and documented external attorneys’ fees and expenses (as such fees and expenses are reasonably incurred), penalties, judgments, suits, reasonable and documented out -of -pocket costs and demands by any third party, including the costs of investigating and defending such claims, whether or not the Company or the Person seeking indemnification is the prevailing party (a) resulting from any breach or alleged breach by the Company of any representation or warranty made hereunder or under any Loan Document; or (b) otherwise arising out of (i) the Commitments or otherwise under this Agreement, any Loan Document or any transaction contemplated hereby or thereby, including, without limitation, the use of the proceeds of Loans hereunder in any fashion by any Borrower or the performance of its obligations under the Loan Documents, (ii) allegations of any participation by a Lender, the Administrative Agent, an Issuing Bank or any of them, in the affairs of the Company or any of its Subsidiaries, or allegations that any of them has any joint liability with the Company for any reason and (iii) any claims against the Lenders, the Administrative Agent, the Issuing Banks or any of them, by any shareholder or other investor in or lender to any Borrower, by any brokers or finders or investment advisers or investment bankers retained by such Borrower or by any other third party, arising out of the Commitments or otherwise under this Agreement, except to the extent that (A) the </w:t>
      </w:r>
      <w:r>
        <w:rPr>
          <w:rFonts w:ascii="Times New Roman" w:hAnsi="Times New Roman"/>
          <w:strike/>
          <w:color w:val="FF0000"/>
          <w:sz w:val="24"/>
        </w:rPr>
        <w:t>Person</w:t>
      </w:r>
      <w:r>
        <w:rPr>
          <w:rFonts w:ascii="Times New Roman" w:hAnsi="Times New Roman"/>
          <w:color w:val="0000FF"/>
          <w:sz w:val="24"/>
          <w:u w:val="single"/>
          <w:bdr w:val="double" w:sz="2" w:space="1" w:color="000000"/>
        </w:rPr>
        <w:t>Indemnitee</w:t>
      </w:r>
      <w:r>
        <w:rPr>
          <w:rFonts w:ascii="Times New Roman" w:hAnsi="Times New Roman"/>
          <w:sz w:val="24"/>
        </w:rPr>
        <w:t xml:space="preserve"> seeking indemnification hereunder is determined in such case to have acted with gross negligence or willful misconduct, in any case, by a final, non -appealable judicial order of a court of competent jurisdiction or (B) such claims are for lost profits, foreseeable and unforeseeable, consequential, special, incidental or indirect damages or punitive damages. Upon receipt of notice in writing of any actual or prospective claim, litigation, investigation or proceeding for which indemnification is provided pursuant to the immediately preceding sentence (a “</w:t>
      </w:r>
      <w:r>
        <w:rPr>
          <w:rFonts w:ascii="Times New Roman" w:hAnsi="Times New Roman"/>
          <w:sz w:val="24"/>
          <w:u w:val="single"/>
        </w:rPr>
        <w:t>Relevant Proceeding</w:t>
      </w:r>
      <w:r>
        <w:rPr>
          <w:rFonts w:ascii="Times New Roman" w:hAnsi="Times New Roman"/>
          <w:sz w:val="24"/>
        </w:rPr>
        <w:t xml:space="preserve">”), the recipient shall promptly notify the Administrative Agent (which shall promptly notify the other parties hereto) thereof, and the Company and the Lenders agree to consult, to the extent appropriate, with a view to minimizing the cost to the Company of its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obligations hereunder. The Company shall be entitled, to the extent feasible, to participate in any Relevant Proceeding and shall be entitled to assume the defense thereof with counsel of the Company’s choice;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counsel shall be reasonably satisfactory to such of the Indemnitees as are parties thereto;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however, that, after the Company has assumed the defense of any Relevant Proceeding, it will not settle, compromise or consent to the entry of any order adjudicating or otherwise disposing of any claims against any Indemnitee (1) if such settlement, compromise or order involves the payment of money damages, except if the Company agrees, as between the Company and such Indemnitee, to pay such money damages, and, if not simultaneously paid, to furnish such Indemnitee with satisfactory evidence of its ability to pay the same, and (2) if such settlement, compromise or order involves any relief against such Indemnitee other than the payment of money damages, except with the prior written consent of such Indemnitee (which consent shall not be unreasonably withheld). Notwithstanding the Company’s election to assume the defense of such Relevant Proceeding, such of the Indemnitees as are parties thereto shall have the right to employ separate counsel and to participate in the defense of such action or proceeding at the expense of such Indemnitee. The obligations of the Company under this Section 12.5 are in addition to, and shall not otherwise limit, any liabilities which the Company might otherwise have in connection with any warranties or similar obligations of the Company in any other Loan Document. Notwithstanding the foregoing, this Section 12.5 shall not apply with respect to Taxes other than any Taxes that represent losses, claims, damages, etc. arising from any non-Tax claim. </w:t>
      </w:r>
    </w:p>
    <w:p>
      <w:pPr>
        <w:pStyle w:val="TextBody"/>
        <w:bidi w:val="0"/>
        <w:spacing w:before="240" w:after="0"/>
        <w:jc w:val="both"/>
        <w:rPr>
          <w:rFonts w:ascii="Times New Roman" w:hAnsi="Times New Roman"/>
          <w:sz w:val="24"/>
        </w:rPr>
      </w:pPr>
      <w:r>
        <w:rPr>
          <w:rFonts w:ascii="Times New Roman" w:hAnsi="Times New Roman"/>
          <w:sz w:val="24"/>
        </w:rPr>
        <w:t>Section 12.6 </w:t>
      </w:r>
      <w:r>
        <w:rPr>
          <w:rFonts w:ascii="Times New Roman" w:hAnsi="Times New Roman"/>
          <w:sz w:val="24"/>
          <w:u w:val="single"/>
        </w:rPr>
        <w:t>Subsidiary Borrowers</w:t>
      </w:r>
      <w:r>
        <w:rPr>
          <w:rFonts w:ascii="Times New Roman" w:hAnsi="Times New Roman"/>
          <w:sz w:val="24"/>
        </w:rPr>
        <w:t>. (a)</w:t>
      </w:r>
      <w:r>
        <w:rPr>
          <w:rFonts w:ascii="Times New Roman" w:hAnsi="Times New Roman"/>
          <w:sz w:val="24"/>
          <w:u w:val="single"/>
        </w:rPr>
        <w:t> Designation</w:t>
      </w:r>
      <w:r>
        <w:rPr>
          <w:rFonts w:ascii="Times New Roman" w:hAnsi="Times New Roman"/>
          <w:sz w:val="24"/>
        </w:rPr>
        <w:t>. The Company may at any time, and from time to time, upon not less than fifteen (15) Business Days’ notice in the case of any Subsidiary so designated after the Effective Date, notify the Administrative Agent that the Company intends to designate a Subsidiary as a “Subsidiary Borrower” for purposes of this Agreement. On or after the date that is fifteen (15) Business Days after such notice, upon delivery to the Administrative Agent and each Lender of a Designation Letter duly executed by the Company and the respective Subsidiary and substantially in the form of Exhibit H hereto, such Subsidiary shall thereupon become a “Subsidiary Borrower” for purposes of this Agreement and, as such, shall have all of the rights and obligations of a Borrower hereunder. The Administrative Agent shall promptly notify each Lender of the Company’s notice of such pending designation by the Company and the identity of the respective Subsidiary. Following the giving of any notice pursuant to this Section 12.6(a), if the designation of such Subsidiary Borrower obligates the Administrative Agent or any Lender to comply with “know your customer” or similar identification procedures in circumstances where the necessary information is not already available to it, the Company shall, promptly upon the request of the Administrative Agent or any Lender, supply such documentation and other evidence as is reasonably requested by the Administrative Agent or any Lender in order for the Administrative Agent or such Lender to carry out and be satisfied it has complied with the results of all necessary “know your customer” or other similar checks under all applicable laws and regulations. As soon as practicable after receiving notice from the Company or the Administrative Agent of the Company’s intent to designate a Subsidiary as a Subsidiary Borrower, and in any event no later than five Business Days after the delivery of such notice, for a Subsidiary Borrower that is organized under the laws of a jurisdiction other than of the United States or a political subdivision thereof, any Lender that may not legally</w:t>
      </w:r>
      <w:r>
        <w:rPr>
          <w:rFonts w:ascii="Times New Roman" w:hAnsi="Times New Roman"/>
          <w:color w:val="0000FF"/>
          <w:sz w:val="24"/>
          <w:u w:val="single"/>
          <w:bdr w:val="double" w:sz="2" w:space="1" w:color="000000"/>
        </w:rPr>
        <w:t>, or due to internal policy,</w:t>
      </w:r>
      <w:r>
        <w:rPr>
          <w:rFonts w:ascii="Times New Roman" w:hAnsi="Times New Roman"/>
          <w:sz w:val="24"/>
        </w:rPr>
        <w:t xml:space="preserve"> lend to, establish credit for the account of and/or do any business whatsoever with such Subsidiary Borrower directly or through an Affiliate of such Lender as provided in the immediately preceding paragraph (a “</w:t>
      </w:r>
      <w:r>
        <w:rPr>
          <w:rFonts w:ascii="Times New Roman" w:hAnsi="Times New Roman"/>
          <w:sz w:val="24"/>
          <w:u w:val="single"/>
        </w:rPr>
        <w:t>Protesting Lender</w:t>
      </w:r>
      <w:r>
        <w:rPr>
          <w:rFonts w:ascii="Times New Roman" w:hAnsi="Times New Roman"/>
          <w:sz w:val="24"/>
        </w:rPr>
        <w:t xml:space="preserve">”) shall so notify the Company and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Administrative Agent in writing. With respect to each Protesting Lender, the Company shall, effective on or before the date that such Subsidiary Borrower shall have the right to borrow hereunder, either (A) notify the Administrative Agent and such Protesting Lender that the Commitments of such Protesting Lender shall be terminated; provided that such Protesting Lender shall have received payment of an amount equal to the outstanding principal of its Loans and/or Letter of Credit reimbursement obligations, accrued interest thereon, accrued fees and all other amounts payable to it hereunder, from the assignee (to the extent of such outstanding principal and accrued interest and fees) or the Company or the relevant Subsidiary Borrower (in the case of all other amounts), or (B) cancel its request to designate such Subsidiary as a “Subsidiary Borrower” hereunder.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Termination</w:t>
      </w:r>
      <w:r>
        <w:rPr>
          <w:rFonts w:ascii="Times New Roman" w:hAnsi="Times New Roman"/>
          <w:sz w:val="24"/>
        </w:rPr>
        <w:t xml:space="preserve">. Upon the payment and performance in full of all of the indebtedness, liabilities and obligations under this Agreement and the Notes of any Subsidiary Borrower then, so long as at the time no Request for Advance in respect of such Subsidiary Borrower is outstanding, such Subsidiary’s status as a “Subsidiary Borrower” shall terminate upon notice to such effect from the Administrative Agent to the Lenders (which notice the Administrative Agent shall give promptly upon its receipt of a request therefor from the Company). Thereafter, the Lenders shall be under no further obligation to make any Loan hereunder to such Subsidiary Borrower. </w:t>
      </w:r>
    </w:p>
    <w:p>
      <w:pPr>
        <w:pStyle w:val="TextBody"/>
        <w:bidi w:val="0"/>
        <w:spacing w:before="240" w:after="0"/>
        <w:jc w:val="both"/>
        <w:rPr>
          <w:rFonts w:ascii="Times New Roman" w:hAnsi="Times New Roman"/>
          <w:sz w:val="24"/>
        </w:rPr>
      </w:pPr>
      <w:r>
        <w:rPr>
          <w:rFonts w:ascii="Times New Roman" w:hAnsi="Times New Roman"/>
          <w:sz w:val="24"/>
        </w:rPr>
        <w:t>Section 12.7 </w:t>
      </w:r>
      <w:r>
        <w:rPr>
          <w:rFonts w:ascii="Times New Roman" w:hAnsi="Times New Roman"/>
          <w:sz w:val="24"/>
          <w:u w:val="single"/>
        </w:rPr>
        <w:t>Counterparts</w:t>
      </w:r>
      <w:r>
        <w:rPr>
          <w:rFonts w:ascii="Times New Roman" w:hAnsi="Times New Roman"/>
          <w:sz w:val="24"/>
        </w:rPr>
        <w:t xml:space="preserve">. This Agreement may be executed in any number of counterparts, each of which shall be deemed to be an original, but all such separate counterparts shall together constitute one and the same instrument.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Requests for Advances,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sz w:val="24"/>
          <w:u w:val="single"/>
        </w:rPr>
        <w:t>provided</w:t>
      </w:r>
      <w:r>
        <w:rPr>
          <w:rFonts w:ascii="Times New Roman" w:hAnsi="Times New Roman"/>
          <w:sz w:val="24"/>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240" w:after="0"/>
        <w:jc w:val="both"/>
        <w:rPr>
          <w:rFonts w:ascii="Times New Roman" w:hAnsi="Times New Roman"/>
          <w:sz w:val="24"/>
        </w:rPr>
      </w:pPr>
      <w:r>
        <w:rPr>
          <w:rFonts w:ascii="Times New Roman" w:hAnsi="Times New Roman"/>
          <w:sz w:val="24"/>
        </w:rPr>
        <w:t>Section 12.8 </w:t>
      </w:r>
      <w:r>
        <w:rPr>
          <w:rFonts w:ascii="Times New Roman" w:hAnsi="Times New Roman"/>
          <w:sz w:val="24"/>
          <w:u w:val="single"/>
        </w:rPr>
        <w:t>Governing Law; Jurisdiction</w:t>
      </w:r>
      <w:r>
        <w:rPr>
          <w:rFonts w:ascii="Times New Roman" w:hAnsi="Times New Roman"/>
          <w:sz w:val="24"/>
        </w:rPr>
        <w:t>. (a)</w:t>
      </w:r>
      <w:r>
        <w:rPr>
          <w:rFonts w:ascii="Times New Roman" w:hAnsi="Times New Roman"/>
          <w:sz w:val="24"/>
          <w:u w:val="single"/>
        </w:rPr>
        <w:t> Governing Law</w:t>
      </w:r>
      <w:r>
        <w:rPr>
          <w:rFonts w:ascii="Times New Roman" w:hAnsi="Times New Roman"/>
          <w:sz w:val="24"/>
        </w:rPr>
        <w:t xml:space="preserve">. This Agreement and the Notes shall be construed in accordance with and governed by the internal laws of the State of New York applicable to agreements made and to be performed the State of New York.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Jurisdiction</w:t>
      </w:r>
      <w:r>
        <w:rPr>
          <w:rFonts w:ascii="Times New Roman" w:hAnsi="Times New Roman"/>
          <w:sz w:val="24"/>
        </w:rPr>
        <w:t xml:space="preserve">. Each Borrower irrevocably and unconditionally agrees that it will not commence any action, litigation or proceeding of any kind or description, whether in law or equity, whether in contract or in tort or otherwise, against the Administrative Agent, any Lender, any Issuing Bank, or any Related Party of the foregoing in any way relating to this Agreement or any other Loan Document or the transactions relating hereto or thereto, in any forum other than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Bank may otherwise have to bring any action or proceeding relating to this Agreement or any other Loan Document against any Borrower or its properties in the courts of any jurisdiction.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Waiver of Venue</w:t>
      </w:r>
      <w:r>
        <w:rPr>
          <w:rFonts w:ascii="Times New Roman" w:hAnsi="Times New Roman"/>
          <w:sz w:val="24"/>
        </w:rPr>
        <w:t xml:space="preserve">.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Service of Process</w:t>
      </w:r>
      <w:r>
        <w:rPr>
          <w:rFonts w:ascii="Times New Roman" w:hAnsi="Times New Roman"/>
          <w:sz w:val="24"/>
        </w:rPr>
        <w:t xml:space="preserve">. Each party hereto irrevocably consents to service of process in the manner provided for notices in Section 12.1. Nothing in this Agreement will affect the right of any party hereto to serve process in any other manner permitted by applicable law. Each Subsidiary Borrower hereby agrees that service of process may be made upon the Company and each Subsidiary Borrower hereby irrevocably appoints the Company its authorized agent to accept such service of process, and agrees that the failure of the Company to give any notice of any such service shall not impair or affect the validity of such service or of any judgment rendered in any action or proceeding based thereon. To the extent that each Subsidiary Borrower has or hereafter may acquire any immunity from jurisdiction of any court or from any legal process (whether through service or notice, attachment prior to judgment, attachment in aid of execution, execution or otherwise) with respect to itself or its property, each Subsidiary Borrower hereby irrevocably waives such immunity in respect of its obligations under this Agreement. </w:t>
      </w:r>
    </w:p>
    <w:p>
      <w:pPr>
        <w:pStyle w:val="TextBody"/>
        <w:bidi w:val="0"/>
        <w:spacing w:before="240" w:after="0"/>
        <w:jc w:val="both"/>
        <w:rPr>
          <w:rFonts w:ascii="Times New Roman" w:hAnsi="Times New Roman"/>
          <w:sz w:val="24"/>
        </w:rPr>
      </w:pPr>
      <w:r>
        <w:rPr>
          <w:rFonts w:ascii="Times New Roman" w:hAnsi="Times New Roman"/>
          <w:sz w:val="24"/>
        </w:rPr>
        <w:t>Section 12.9 </w:t>
      </w:r>
      <w:r>
        <w:rPr>
          <w:rFonts w:ascii="Times New Roman" w:hAnsi="Times New Roman"/>
          <w:sz w:val="24"/>
          <w:u w:val="single"/>
        </w:rPr>
        <w:t>Severability</w:t>
      </w:r>
      <w:r>
        <w:rPr>
          <w:rFonts w:ascii="Times New Roman" w:hAnsi="Times New Roman"/>
          <w:sz w:val="24"/>
        </w:rPr>
        <w:t xml:space="preserve">. To the extent permitted by law, any provision of this Agreement which is prohibited or unenforceable in any jurisdiction shall be ineffective to the extent of such prohibition or unenforceability without invalidating the remaining provisions hereof in that jurisdiction or affecting the validity or enforceability of such provision in any other jurisdiction. </w:t>
      </w:r>
    </w:p>
    <w:p>
      <w:pPr>
        <w:pStyle w:val="TextBody"/>
        <w:bidi w:val="0"/>
        <w:spacing w:before="240" w:after="0"/>
        <w:jc w:val="both"/>
        <w:rPr>
          <w:rFonts w:ascii="Times New Roman" w:hAnsi="Times New Roman"/>
          <w:sz w:val="24"/>
        </w:rPr>
      </w:pPr>
      <w:r>
        <w:rPr>
          <w:rFonts w:ascii="Times New Roman" w:hAnsi="Times New Roman"/>
          <w:sz w:val="24"/>
        </w:rPr>
        <w:t>Section 12.10 </w:t>
      </w:r>
      <w:r>
        <w:rPr>
          <w:rFonts w:ascii="Times New Roman" w:hAnsi="Times New Roman"/>
          <w:sz w:val="24"/>
          <w:u w:val="single"/>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(a) In no event shall the amount of interest due or payable hereunder or under the Notes exceed the maximum rate of interest allowed by Applicable Law, and in the event any such payment is inadvertently made by any Borrower or inadvertently received by the Administrative Agent or any Lender, then such excess sum shall be credited as a payment of principal, unless, if no Event of Default shall have occurred and be continuing, the relevant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Borrower shall notify the Administrative Agent or such Lender, in writing, that it elects to have such excess sum returned forthwith. It is the express intent hereof that the Borrowers not pay and the Administrative Agent and the Lenders not receive, directly or indirectly in any manner whatsoever, interest in excess of that which may legally be paid by the Borrowers under Applicable Law. </w:t>
      </w:r>
    </w:p>
    <w:p>
      <w:pPr>
        <w:pStyle w:val="TextBody"/>
        <w:bidi w:val="0"/>
        <w:spacing w:before="240" w:after="0"/>
        <w:jc w:val="both"/>
        <w:rPr>
          <w:rFonts w:ascii="Times New Roman" w:hAnsi="Times New Roman"/>
          <w:sz w:val="24"/>
        </w:rPr>
      </w:pPr>
      <w:r>
        <w:rPr>
          <w:rFonts w:ascii="Times New Roman" w:hAnsi="Times New Roman"/>
          <w:sz w:val="24"/>
        </w:rPr>
        <w:t xml:space="preserve">(b) Notwithstanding the use by the Lenders of the Base Rate and the Term Rate as reference rates for the determination of interest on the Loans, the Lenders shall be under no obligation to obtain funds from any particular source in order to charge interest to the Borrowers at interest rates related to such reference rates. </w:t>
      </w:r>
    </w:p>
    <w:p>
      <w:pPr>
        <w:pStyle w:val="TextBody"/>
        <w:bidi w:val="0"/>
        <w:spacing w:before="240" w:after="0"/>
        <w:jc w:val="both"/>
        <w:rPr>
          <w:rFonts w:ascii="Times New Roman" w:hAnsi="Times New Roman"/>
          <w:sz w:val="24"/>
        </w:rPr>
      </w:pPr>
      <w:r>
        <w:rPr>
          <w:rFonts w:ascii="Times New Roman" w:hAnsi="Times New Roman"/>
          <w:sz w:val="24"/>
        </w:rPr>
        <w:t>Section 12.11 </w:t>
      </w:r>
      <w:r>
        <w:rPr>
          <w:rFonts w:ascii="Times New Roman" w:hAnsi="Times New Roman"/>
          <w:sz w:val="24"/>
          <w:u w:val="single"/>
        </w:rPr>
        <w:t>Table of Contents and Headings</w:t>
      </w:r>
      <w:r>
        <w:rPr>
          <w:rFonts w:ascii="Times New Roman" w:hAnsi="Times New Roman"/>
          <w:sz w:val="24"/>
        </w:rPr>
        <w:t xml:space="preserve">. The Table of Contents and the headings of the various subdivisions used in this Agreement are for convenience only and shall not in any way modify or amend any of the terms or provisions hereof, nor be used in connection with the interpretation of any provision hereof. </w:t>
      </w:r>
    </w:p>
    <w:p>
      <w:pPr>
        <w:pStyle w:val="TextBody"/>
        <w:bidi w:val="0"/>
        <w:spacing w:before="240" w:after="0"/>
        <w:jc w:val="both"/>
        <w:rPr>
          <w:rFonts w:ascii="Times New Roman" w:hAnsi="Times New Roman"/>
          <w:sz w:val="24"/>
        </w:rPr>
      </w:pPr>
      <w:r>
        <w:rPr>
          <w:rFonts w:ascii="Times New Roman" w:hAnsi="Times New Roman"/>
          <w:sz w:val="24"/>
        </w:rPr>
        <w:t>Section 12.12 </w:t>
      </w:r>
      <w:r>
        <w:rPr>
          <w:rFonts w:ascii="Times New Roman" w:hAnsi="Times New Roman"/>
          <w:sz w:val="24"/>
          <w:u w:val="single"/>
        </w:rPr>
        <w:t>Amendment and Waiver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(a) Neither this Agreement nor any Loan Document nor any term hereof or thereof may be amended orally, nor may any provision hereof or thereof be waived orally but only by an instrument in writing signed by or at the written direction of: </w:t>
      </w:r>
    </w:p>
    <w:p>
      <w:pPr>
        <w:pStyle w:val="TextBody"/>
        <w:bidi w:val="0"/>
        <w:spacing w:before="240" w:after="0"/>
        <w:jc w:val="both"/>
        <w:rPr>
          <w:rFonts w:ascii="Times New Roman" w:hAnsi="Times New Roman"/>
          <w:sz w:val="24"/>
        </w:rPr>
      </w:pPr>
      <w:r>
        <w:rPr>
          <w:rFonts w:ascii="Times New Roman" w:hAnsi="Times New Roman"/>
          <w:sz w:val="24"/>
        </w:rPr>
        <w:t xml:space="preserve">(i) except as set forth in (ii) and (iii) below, the Majority Lenders and, in the case of any amendment, by the Company; </w:t>
      </w:r>
    </w:p>
    <w:p>
      <w:pPr>
        <w:pStyle w:val="TextBody"/>
        <w:bidi w:val="0"/>
        <w:spacing w:before="240" w:after="0"/>
        <w:jc w:val="both"/>
        <w:rPr>
          <w:rFonts w:ascii="Times New Roman" w:hAnsi="Times New Roman"/>
          <w:sz w:val="24"/>
        </w:rPr>
      </w:pPr>
      <w:r>
        <w:rPr>
          <w:rFonts w:ascii="Times New Roman" w:hAnsi="Times New Roman"/>
          <w:sz w:val="24"/>
        </w:rPr>
        <w:t xml:space="preserve">(ii) with respect to (A) any increase in the amount of any Lender’s portion of the Commitments or Commitment Ratios or any extension of any Lender’s Commitments, (B) any reduction in the rate of, or postponement in the payment of any interest or fees due hereunder or the payment thereof to any Lender without a corresponding payment of such interest or fee amount by any Borrower, (C) (1) any waiver of any Default due to the failure by any Borrower to pay any sum due to any of the Lenders hereunder or (2) any reduction in the principal amount of the Loans or the L/C Obligations without a corresponding payment, (D) any release of any Borrower from this Agreement, except in connection with a merger, sale or other disposition otherwise permitted hereunder (in which case, such release shall require no further approval by the Lenders) and except, for the avoidance of doubt, in the case of any Subsidiary Borrower, pursuant to Section 12.6(b) above, (E) any amendment to the pro rata treatment of the Lenders or the order of payment set forth in Section 8.3 hereof, (F) any amendment of this Section 12.12, of the definition of Majority Lenders, or of any Section herein to the extent that such Section requires action by all Lenders or the Issuing Banks, (G) any subordination of the Loans in full to any other Indebtedness, (H) any extension of the Maturity Date or any other scheduled maturity of any Loan or the time for payment thereof (other than in accordance with Section 2.18), or (I) a release of any Guaranty provided in Article 11 hereto, the affected Lenders and in the case of an amendment, the Company, and, if applicable, the Swingline Lender or Issuing Banks (it being understood that, for purposes of this Section 12.12(a)(ii), changes to provisions of the Loan Documents that relate only to one or more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the Revolving Loans shall be deemed to “affect” only the Lenders holding such Loans); and </w:t>
      </w:r>
    </w:p>
    <w:p>
      <w:pPr>
        <w:pStyle w:val="TextBody"/>
        <w:bidi w:val="0"/>
        <w:spacing w:before="240" w:after="0"/>
        <w:jc w:val="both"/>
        <w:rPr>
          <w:rFonts w:ascii="Times New Roman" w:hAnsi="Times New Roman"/>
          <w:sz w:val="24"/>
        </w:rPr>
      </w:pPr>
      <w:r>
        <w:rPr>
          <w:rFonts w:ascii="Times New Roman" w:hAnsi="Times New Roman"/>
          <w:sz w:val="24"/>
        </w:rPr>
        <w:t xml:space="preserve">(iii) (x) no amendment, waiver or consent shall, unless in writing and signed by the Administrative Agent in addition to the Lenders required above to take such action, affect the rights or duties of the Administrative Agent under this Agreement or any other Loan Document, (y) no amendment, waiver or consent shall, unless in writing and signed by each Swingline Lender, in addition to the Lenders required above to take such action, affect the rights or obligations of the Swingline Lender under this Agreement, and (z) no amendment, waiver or consent shall, unless in writing and signed by the Issuing Banks in addition to the Lenders required above to take such action, adversely affect the rights or obligations of the Issuing Banks in their capacities as such under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(b) Notwithstanding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nor amounts owed to such Lender reduced or the final maturity thereof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w:t>
      </w:r>
    </w:p>
    <w:p>
      <w:pPr>
        <w:pStyle w:val="TextBody"/>
        <w:bidi w:val="0"/>
        <w:spacing w:before="240" w:after="0"/>
        <w:jc w:val="both"/>
        <w:rPr>
          <w:rFonts w:ascii="Times New Roman" w:hAnsi="Times New Roman"/>
          <w:sz w:val="24"/>
        </w:rPr>
      </w:pPr>
      <w:r>
        <w:rPr>
          <w:rFonts w:ascii="Times New Roman" w:hAnsi="Times New Roman"/>
          <w:sz w:val="24"/>
        </w:rPr>
        <w:t>(c) In connection with any proposed amendment, modification, waiver or termination (a “</w:t>
      </w:r>
      <w:r>
        <w:rPr>
          <w:rFonts w:ascii="Times New Roman" w:hAnsi="Times New Roman"/>
          <w:sz w:val="24"/>
          <w:u w:val="single"/>
        </w:rPr>
        <w:t>Proposed Change</w:t>
      </w:r>
      <w:r>
        <w:rPr>
          <w:rFonts w:ascii="Times New Roman" w:hAnsi="Times New Roman"/>
          <w:sz w:val="24"/>
        </w:rPr>
        <w:t>”) requiring the consent of all Lenders, if the consent of Majority Lenders is obtained, but the consent of the other Lenders whose consent is required is not obtained (any such Lender whose consent is not obtained being referred to as a “</w:t>
      </w:r>
      <w:r>
        <w:rPr>
          <w:rFonts w:ascii="Times New Roman" w:hAnsi="Times New Roman"/>
          <w:sz w:val="24"/>
          <w:u w:val="single"/>
        </w:rPr>
        <w:t>Non-Consenting Lender</w:t>
      </w:r>
      <w:r>
        <w:rPr>
          <w:rFonts w:ascii="Times New Roman" w:hAnsi="Times New Roman"/>
          <w:sz w:val="24"/>
        </w:rPr>
        <w:t xml:space="preserve">”), then, at the Company’s request (and at the Company’s sole cost and expense), a Replacement Lender selected by the Company and reasonably acceptable to the Administrative Agent, shall have the right to purchase from such Non-Consenting Lenders, and such Non-Consenting Lenders agree that they shall, upon the Company’s request, sell and assign to such Person, all of the Revolving Loan Commitments and all outstanding Loans of such Non-Consenting Lenders for an amount equal to the principal balance of all Loans held by the Non-Consenting Lenders and all accrued interest and fees and other amounts due (including without limitation amounts due to such Non-Consenting Lender pursuant to Section 2.9 hereof) or outstanding to such Non-Consenting Lender through the date of sale, such purchase and sale to be consummated pursuant to an executed Assignment and Assumption substantially in the form on </w:t>
      </w:r>
      <w:r>
        <w:rPr>
          <w:rFonts w:ascii="Times New Roman" w:hAnsi="Times New Roman"/>
          <w:sz w:val="24"/>
          <w:u w:val="single"/>
        </w:rPr>
        <w:t>Exhibit F</w:t>
      </w:r>
      <w:r>
        <w:rPr>
          <w:rFonts w:ascii="Times New Roman" w:hAnsi="Times New Roman"/>
          <w:sz w:val="24"/>
        </w:rPr>
        <w:t xml:space="preserve"> attached hereto. Upon execution of any Assignment and Assumption pursuant to this Section 12.12(c), (i) the Replacement Lender shall be entitled to vote on any pending waiver, amendment or consent in lieu of the Non-Consenting Lender replaced by such Replacement Lender, (ii) such Replacement Lender shall be deemed to be a “Lender” for purposes of this Agreement and (iii) such Non-Consenting Lender shall cease to be a “Lender” for purposes of this Agreement and shall no longer have any obligations or rights hereunder (other than any obligations or rights which according to this Agreement shall survive the termination of the Revolving Loan Commitments). </w:t>
      </w:r>
    </w:p>
    <w:p>
      <w:pPr>
        <w:pStyle w:val="TextBody"/>
        <w:bidi w:val="0"/>
        <w:spacing w:before="240" w:after="0"/>
        <w:jc w:val="both"/>
        <w:rPr>
          <w:rFonts w:ascii="Times New Roman" w:hAnsi="Times New Roman"/>
          <w:sz w:val="24"/>
        </w:rPr>
      </w:pPr>
      <w:r>
        <w:rPr>
          <w:rFonts w:ascii="Times New Roman" w:hAnsi="Times New Roman"/>
          <w:sz w:val="24"/>
        </w:rPr>
        <w:t xml:space="preserve">Section 12.13 </w:t>
      </w:r>
      <w:r>
        <w:rPr>
          <w:rFonts w:ascii="Times New Roman" w:hAnsi="Times New Roman"/>
          <w:sz w:val="24"/>
          <w:u w:val="single"/>
        </w:rPr>
        <w:t>Power of Attorney</w:t>
      </w:r>
      <w:r>
        <w:rPr>
          <w:rFonts w:ascii="Times New Roman" w:hAnsi="Times New Roman"/>
          <w:sz w:val="24"/>
        </w:rPr>
        <w:t xml:space="preserve">. Each Subsidiary of the Company may from time to time authorize and appoint the Company as its attorney-in-fact to execute and deliver (a)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amendment, waiver or consent in accordance with Section 12.1 on behalf of and in the name of such Subsidiary and (b) any notice or other communication hereunder, on behalf of and in the name of such Subsidiary. Such authorization shall become effective as of the date on which such Subsidiary delivers to the Administrative Agent a power of attorney enforceable under applicable law and any additional information to the Administrative Agent as necessary to make such power of attorney the legal, valid and binding obligation of such Subsidiary</w:t>
      </w:r>
      <w:r>
        <w:rPr>
          <w:rFonts w:ascii="Times New Roman" w:hAnsi="Times New Roman"/>
          <w:color w:val="0000FF"/>
          <w:sz w:val="24"/>
          <w:u w:val="single"/>
          <w:bdr w:val="double" w:sz="2" w:space="1" w:color="000000"/>
        </w:rPr>
        <w:t>. If any Borrower or Subsidiary of the Company incorporated under the laws of the Netherlands,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Section 12.14 </w:t>
      </w:r>
      <w:r>
        <w:rPr>
          <w:rFonts w:ascii="Times New Roman" w:hAnsi="Times New Roman"/>
          <w:sz w:val="24"/>
          <w:u w:val="single"/>
        </w:rPr>
        <w:t>Entire Agreement</w:t>
      </w:r>
      <w:r>
        <w:rPr>
          <w:rFonts w:ascii="Times New Roman" w:hAnsi="Times New Roman"/>
          <w:sz w:val="24"/>
        </w:rPr>
        <w:t xml:space="preserve">. Except as otherwise expressly provided herein, this Agreement, the other Loan Documents and the other documents described or contemplated herein or therein will embody the entire agreement and understanding among the parties hereto and thereto and supersede all prior agreements and understandings relating to the subject matter hereof and thereof. </w:t>
      </w:r>
    </w:p>
    <w:p>
      <w:pPr>
        <w:pStyle w:val="TextBody"/>
        <w:bidi w:val="0"/>
        <w:spacing w:before="240" w:after="0"/>
        <w:jc w:val="both"/>
        <w:rPr>
          <w:rFonts w:ascii="Times New Roman" w:hAnsi="Times New Roman"/>
          <w:sz w:val="24"/>
        </w:rPr>
      </w:pPr>
      <w:r>
        <w:rPr>
          <w:rFonts w:ascii="Times New Roman" w:hAnsi="Times New Roman"/>
          <w:sz w:val="24"/>
        </w:rPr>
        <w:t xml:space="preserve">Section 12.15 </w:t>
      </w:r>
      <w:r>
        <w:rPr>
          <w:rFonts w:ascii="Times New Roman" w:hAnsi="Times New Roman"/>
          <w:sz w:val="24"/>
          <w:u w:val="single"/>
        </w:rPr>
        <w:t>Other Relationships; No Fiduciary Relationships</w:t>
      </w:r>
      <w:r>
        <w:rPr>
          <w:rFonts w:ascii="Times New Roman" w:hAnsi="Times New Roman"/>
          <w:sz w:val="24"/>
        </w:rPr>
        <w:t xml:space="preserve">. No relationship created hereunder or under any other Loan Document shall in any way affect the ability of the Administrative Agent, each Issuing Bank and each Lender to enter into or maintain business relationships with the Company or any Affiliate thereof beyond the relationships specifically contemplated by this Agreement and the other Loan Documents. </w:t>
      </w:r>
      <w:r>
        <w:rPr>
          <w:rFonts w:ascii="Times New Roman" w:hAnsi="Times New Roman"/>
          <w:color w:val="0000FF"/>
          <w:sz w:val="24"/>
          <w:u w:val="single"/>
          <w:bdr w:val="double" w:sz="2" w:space="1" w:color="000000"/>
        </w:rPr>
        <w:t>The Administrative Agent, each Issuing Bank and each Lender and their respective Affiliates may be engaged in a broad range of transactions that involve economic interests that differ from those of the Company and its respective Affiliates, and none of the Administrative Agent, any Issuing Bank nor any Lender has any obligation to disclose any of such interests to the Company or any of its respective Affiliates.</w:t>
      </w:r>
      <w:r>
        <w:rPr>
          <w:rFonts w:ascii="Times New Roman" w:hAnsi="Times New Roman"/>
          <w:sz w:val="24"/>
        </w:rPr>
        <w:t xml:space="preserve"> The Company agrees that in connection with all aspects of the transactions contemplated hereby and any communications in connection therewith, the Company, its Subsidiaries and their respective Affiliates, on the one hand, and the Administrative Agent, the Lenders, the Issuing Banks and their respective Affiliates, on the other hand, will have a business relationship that does not create, by implication or otherwise, any fiduciary duty on the part of the Administrative Agent, any Lender, any Issuing Bank or any of their respective Affiliates, and no such duty will be deemed to have arisen in connection with any such transactions or communications. The Company acknowledges that certain of the Lenders or their respective Affiliates are the administrative agent and/or a lender under the Existing Credit Agreements, and that the rights and obligations that the Company and its Affiliates have under any other agreement with any Lender and its Affiliates (including the loan documentation relating to the Existing Credit Agreements) that currently or hereinafter may exist are, and shall be, separate and distinct from the rights and obligations of the parties pursuant to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Section 12.16 </w:t>
      </w:r>
      <w:r>
        <w:rPr>
          <w:rFonts w:ascii="Times New Roman" w:hAnsi="Times New Roman"/>
          <w:sz w:val="24"/>
          <w:u w:val="single"/>
        </w:rPr>
        <w:t>Directly or Indirectly</w:t>
      </w:r>
      <w:r>
        <w:rPr>
          <w:rFonts w:ascii="Times New Roman" w:hAnsi="Times New Roman"/>
          <w:sz w:val="24"/>
        </w:rPr>
        <w:t xml:space="preserve">. If any provision in this Agreement refers to any action taken or to be taken by any Person, or which such Person is prohibited from taking, such provision shall be applicable whether such action is taken directly or indirectly by such Person, whether or not expressly specified in such provision.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Section 12.17 </w:t>
      </w:r>
      <w:r>
        <w:rPr>
          <w:rFonts w:ascii="Times New Roman" w:hAnsi="Times New Roman"/>
          <w:sz w:val="24"/>
          <w:u w:val="single"/>
        </w:rPr>
        <w:t>Reliance on and Survival of Various Provisions</w:t>
      </w:r>
      <w:r>
        <w:rPr>
          <w:rFonts w:ascii="Times New Roman" w:hAnsi="Times New Roman"/>
          <w:sz w:val="24"/>
        </w:rPr>
        <w:t xml:space="preserve">. All covenants, agreements, statements, representations and warranties made by the Company herein or in any certificate delivered pursuant hereto shall (a) be deemed to have been relied upon by the Administrative Agent, each of the Lenders, the Swingline Lender and each Issuing Bank notwithstanding any investigation heretofore or hereafter made by them and (b) survive the execution and delivery of this Agreement and shall continue in full force and effect so long as any Loans are outstanding and unpaid. Any right to indemnification hereunder, including, without limitation, rights pursuant to Sections 2.9, 2.11, 10.3, 12.2 and 12.5 hereof, shall survive the termination of this Agreement and the payment and performance of all Obligations. </w:t>
      </w:r>
    </w:p>
    <w:p>
      <w:pPr>
        <w:pStyle w:val="TextBody"/>
        <w:bidi w:val="0"/>
        <w:spacing w:before="240" w:after="0"/>
        <w:jc w:val="both"/>
        <w:rPr>
          <w:rFonts w:ascii="Times New Roman" w:hAnsi="Times New Roman"/>
          <w:sz w:val="24"/>
        </w:rPr>
      </w:pPr>
      <w:r>
        <w:rPr>
          <w:rFonts w:ascii="Times New Roman" w:hAnsi="Times New Roman"/>
          <w:sz w:val="24"/>
        </w:rPr>
        <w:t xml:space="preserve">Section 12.18 </w:t>
      </w:r>
      <w:r>
        <w:rPr>
          <w:rFonts w:ascii="Times New Roman" w:hAnsi="Times New Roman"/>
          <w:sz w:val="24"/>
          <w:u w:val="single"/>
        </w:rPr>
        <w:t>Senior Debt</w:t>
      </w:r>
      <w:r>
        <w:rPr>
          <w:rFonts w:ascii="Times New Roman" w:hAnsi="Times New Roman"/>
          <w:sz w:val="24"/>
        </w:rPr>
        <w:t xml:space="preserve">. The Obligations are intended by the parties hereto to be senior in right of payment to any Indebtedness of the Company that by its terms is subordinated to any other Indebtedness of the Company. </w:t>
      </w:r>
    </w:p>
    <w:p>
      <w:pPr>
        <w:pStyle w:val="TextBody"/>
        <w:bidi w:val="0"/>
        <w:spacing w:before="240" w:after="0"/>
        <w:jc w:val="both"/>
        <w:rPr>
          <w:rFonts w:ascii="Times New Roman" w:hAnsi="Times New Roman"/>
          <w:sz w:val="24"/>
        </w:rPr>
      </w:pPr>
      <w:r>
        <w:rPr>
          <w:rFonts w:ascii="Times New Roman" w:hAnsi="Times New Roman"/>
          <w:sz w:val="24"/>
        </w:rPr>
        <w:t xml:space="preserve">Section 12.19 </w:t>
      </w:r>
      <w:r>
        <w:rPr>
          <w:rFonts w:ascii="Times New Roman" w:hAnsi="Times New Roman"/>
          <w:sz w:val="24"/>
          <w:u w:val="single"/>
        </w:rPr>
        <w:t>Obligations</w:t>
      </w:r>
      <w:r>
        <w:rPr>
          <w:rFonts w:ascii="Times New Roman" w:hAnsi="Times New Roman"/>
          <w:sz w:val="24"/>
        </w:rPr>
        <w:t xml:space="preserve">. The obligations of the Administrative Agent, each of the Lenders and each of the Issuing Banks hereunder are several, not joint. </w:t>
      </w:r>
    </w:p>
    <w:p>
      <w:pPr>
        <w:pStyle w:val="TextBody"/>
        <w:bidi w:val="0"/>
        <w:spacing w:before="240" w:after="0"/>
        <w:jc w:val="both"/>
        <w:rPr>
          <w:rFonts w:ascii="Times New Roman" w:hAnsi="Times New Roman"/>
          <w:sz w:val="24"/>
        </w:rPr>
      </w:pPr>
      <w:r>
        <w:rPr>
          <w:rFonts w:ascii="Times New Roman" w:hAnsi="Times New Roman"/>
          <w:sz w:val="24"/>
        </w:rPr>
        <w:t xml:space="preserve">Section 12.20 </w:t>
      </w:r>
      <w:r>
        <w:rPr>
          <w:rFonts w:ascii="Times New Roman" w:hAnsi="Times New Roman"/>
          <w:sz w:val="24"/>
          <w:u w:val="single"/>
        </w:rPr>
        <w:t>Confidentiality</w:t>
      </w:r>
      <w:r>
        <w:rPr>
          <w:rFonts w:ascii="Times New Roman" w:hAnsi="Times New Roman"/>
          <w:sz w:val="24"/>
        </w:rPr>
        <w:t xml:space="preserve">. The Administrative Agent, the Lenders, the Swingline Lender and the Issuing Banks shall hold confidentially all non-public and proprietary information and all other information designated by the Company as confidential, in each case, obtained from the Company or its Affiliates pursuant to the requirements of this Agreement in accordance with their customary procedures for handling confidential information of this nature and in accordance with safe and sound lending practices;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Administrative Agent, the Lenders, the Swingline Lender and the Issuing Banks may make disclosure of any such information (a) to their examiners, Affiliates, outside auditors, counsel, consultants, appraisers, agents, other professional advisors, any credit insurance provider relating to the Borrowers and their obligations and any direct or indirect contractual counterparty in swap agreements or such counterparty’s professional advisor in connection with this Agreement or as reasonably required by any proposed syndicate member or any proposed transferee or participant in connection with the contemplated transfer of any Note or participation therein (including, without limitation, any pledgee referred to in Section 12.4(e) hereof), in each case, so long as any such Person (other than any examiners) receiving such information is advised of the provisions of this Section 12.20 and agrees to be bound thereby, (b) as required or requested by any governmental authority or self-regulatory body or representative thereof or in connection with the enforcement hereof or of any Loan Document or related document, or (c) pursuant to legal process or with respect to any litigation between or among the Company and any of the Administrative Agent, the Lenders, the Swingline Lender or the Issuing Banks. In no event shall the Administrative Agent, any Lender, the Swingline Lender or any Issuing Bank be obligated or required to return any materials furnished to it by the Company. The foregoing provisions shall not apply to the Administrative Agent, any Lender, the Swingline Lender or any Issuing Bank with respect to information that (i) is or becomes generally available to the public (other than through the Administrative Agent, such Lender, the Swingline Lender or such Issuing Bank), (ii) is already in the possession of the Administrative Agent, such Lender, the Swingline Lender or such Issuing Bank on a non-confidential basis, or (iii) comes into the possession of the Administrative Agent, such Lender, the Swingline Lender or such Issuing Bank from a source other than the Company or its Affiliates in a manner not known to the Administrative Agent, such Lender, the Swingline Lender or such Issuing Bank to involve a breach of a duty of confidentiality owing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or its Affiliates. For the avoidance of doubt, nothing in this Section 12.20 shall prohibit any Person from voluntarily disclosing or providing any information within the scope of this Section 12.20 to any governmental, regulatory or self-regulatory organization (any such entity, a “</w:t>
      </w:r>
      <w:r>
        <w:rPr>
          <w:rFonts w:ascii="Times New Roman" w:hAnsi="Times New Roman"/>
          <w:sz w:val="24"/>
          <w:u w:val="single"/>
        </w:rPr>
        <w:t>Regulatory Authority</w:t>
      </w:r>
      <w:r>
        <w:rPr>
          <w:rFonts w:ascii="Times New Roman" w:hAnsi="Times New Roman"/>
          <w:sz w:val="24"/>
        </w:rPr>
        <w:t xml:space="preserve">”) to the extent that any such prohibition on disclosure set forth in this Section 12.20 shall be prohibited by the laws or regulations applicable to such Regulatory Authority. </w:t>
      </w:r>
    </w:p>
    <w:p>
      <w:pPr>
        <w:pStyle w:val="TextBody"/>
        <w:bidi w:val="0"/>
        <w:spacing w:before="240" w:after="0"/>
        <w:jc w:val="both"/>
        <w:rPr>
          <w:rFonts w:ascii="Times New Roman" w:hAnsi="Times New Roman"/>
          <w:sz w:val="24"/>
        </w:rPr>
      </w:pPr>
      <w:r>
        <w:rPr>
          <w:rFonts w:ascii="Times New Roman" w:hAnsi="Times New Roman"/>
          <w:sz w:val="24"/>
        </w:rPr>
        <w:t xml:space="preserve">Section 12.21 </w:t>
      </w:r>
      <w:r>
        <w:rPr>
          <w:rFonts w:ascii="Times New Roman" w:hAnsi="Times New Roman"/>
          <w:sz w:val="24"/>
          <w:u w:val="single"/>
        </w:rPr>
        <w:t>Judgment</w:t>
      </w:r>
      <w:r>
        <w:rPr>
          <w:rFonts w:ascii="Times New Roman" w:hAnsi="Times New Roman"/>
          <w:sz w:val="24"/>
        </w:rPr>
        <w:t xml:space="preserve">.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Administrative Agent could purchase Dollars with such other currency at the Administrative Agent’s principal office in London at 11:00 A.M. (London time) on the Business Day preceding that on which final judgment is given. </w:t>
      </w:r>
    </w:p>
    <w:p>
      <w:pPr>
        <w:pStyle w:val="TextBody"/>
        <w:bidi w:val="0"/>
        <w:spacing w:before="240" w:after="0"/>
        <w:jc w:val="both"/>
        <w:rPr>
          <w:rFonts w:ascii="Times New Roman" w:hAnsi="Times New Roman"/>
          <w:sz w:val="24"/>
        </w:rPr>
      </w:pPr>
      <w:r>
        <w:rPr>
          <w:rFonts w:ascii="Times New Roman" w:hAnsi="Times New Roman"/>
          <w:sz w:val="24"/>
        </w:rPr>
        <w:t xml:space="preserve">(b) If for the purposes of obtaining judgment in any court it is necessary to convert a sum due hereunder in an Alternative Currency into Dollars, the parties agree to the fullest extent that they may effectively do so, that the rate of exchange used shall be that at which in accordance with normal banking procedures the Administrative Agent could purchase such Alternative Currency with Dollars at the Administrative Agent’s principal office in London at 11:00 A.M. (London time) on the Business Day preceding that on which final judgment is given. </w:t>
      </w:r>
    </w:p>
    <w:p>
      <w:pPr>
        <w:pStyle w:val="TextBody"/>
        <w:bidi w:val="0"/>
        <w:spacing w:before="240" w:after="0"/>
        <w:jc w:val="both"/>
        <w:rPr>
          <w:rFonts w:ascii="Times New Roman" w:hAnsi="Times New Roman"/>
          <w:sz w:val="24"/>
        </w:rPr>
      </w:pPr>
      <w:r>
        <w:rPr>
          <w:rFonts w:ascii="Times New Roman" w:hAnsi="Times New Roman"/>
          <w:sz w:val="24"/>
        </w:rPr>
        <w:t>(c) The obligation of any Borrower in respect of any sum due from it in any currency (the “</w:t>
      </w:r>
      <w:r>
        <w:rPr>
          <w:rFonts w:ascii="Times New Roman" w:hAnsi="Times New Roman"/>
          <w:sz w:val="24"/>
          <w:u w:val="single"/>
        </w:rPr>
        <w:t>Primary Currency</w:t>
      </w:r>
      <w:r>
        <w:rPr>
          <w:rFonts w:ascii="Times New Roman" w:hAnsi="Times New Roman"/>
          <w:sz w:val="24"/>
        </w:rPr>
        <w:t xml:space="preserve">”) to any Lender or the Administrative Agent hereunder shall, notwithstanding any judgment in any other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the applicable Primary Currency with such other currency; if the amount of the applicable Primary Currency so purchased is less than such sum due to such Lender or the Administrative Agent (as the case may be) in the applicable Primary Currency, each Borrower agrees, as a separate obligation and notwithstanding any such judgment, to indemnify such Lender or the Administrative Agent (as the case may be) against such loss, and if the amount of the applicable Primary Currency so purchased exceeds such sum due to any Lender or the Administrative Agent (as the case may be) in the applicable Primary Currency, such Lender or the Administrative Agent (as the case may be) agrees to remit to such Borrower such excess. </w:t>
      </w:r>
    </w:p>
    <w:p>
      <w:pPr>
        <w:pStyle w:val="TextBody"/>
        <w:bidi w:val="0"/>
        <w:spacing w:before="240" w:after="0"/>
        <w:jc w:val="both"/>
        <w:rPr>
          <w:rFonts w:ascii="Times New Roman" w:hAnsi="Times New Roman"/>
          <w:sz w:val="24"/>
        </w:rPr>
      </w:pPr>
      <w:r>
        <w:rPr>
          <w:rFonts w:ascii="Times New Roman" w:hAnsi="Times New Roman"/>
          <w:sz w:val="24"/>
        </w:rPr>
        <w:t xml:space="preserve">Section 12.22 </w:t>
      </w:r>
      <w:r>
        <w:rPr>
          <w:rFonts w:ascii="Times New Roman" w:hAnsi="Times New Roman"/>
          <w:sz w:val="24"/>
          <w:u w:val="single"/>
        </w:rPr>
        <w:t>Substitution of Currency</w:t>
      </w:r>
      <w:r>
        <w:rPr>
          <w:rFonts w:ascii="Times New Roman" w:hAnsi="Times New Roman"/>
          <w:sz w:val="24"/>
        </w:rPr>
        <w:t xml:space="preserve">. If a change in any Alternative Currency occurs pursuant to any applicable law, rule or regulation of any governmental, monetary or multi-national authority, this Agreement (including, without limitation, the definition of Term Rate) will be amended to the extent determined by the Administrative Agent (acting reasonably and in consultation with the Company) to be necessary to reflect the change in currency and to put the Lenders and the Borrowers in the same position, so far as possible, that they would have been in if no change in such Alternative Currency had occurred. </w:t>
      </w:r>
    </w:p>
    <w:p>
      <w:pPr>
        <w:pStyle w:val="TextBody"/>
        <w:bidi w:val="0"/>
        <w:spacing w:before="240" w:after="0"/>
        <w:jc w:val="both"/>
        <w:rPr>
          <w:rFonts w:ascii="Times New Roman" w:hAnsi="Times New Roman"/>
          <w:sz w:val="24"/>
        </w:rPr>
      </w:pPr>
      <w:r>
        <w:rPr>
          <w:rFonts w:ascii="Times New Roman" w:hAnsi="Times New Roman"/>
          <w:sz w:val="24"/>
        </w:rPr>
        <w:t xml:space="preserve">Section 12.23 </w:t>
      </w:r>
      <w:r>
        <w:rPr>
          <w:rFonts w:ascii="Times New Roman" w:hAnsi="Times New Roman"/>
          <w:sz w:val="24"/>
          <w:u w:val="single"/>
        </w:rPr>
        <w:t>Right of Set-off</w:t>
      </w:r>
      <w:r>
        <w:rPr>
          <w:rFonts w:ascii="Times New Roman" w:hAnsi="Times New Roman"/>
          <w:sz w:val="24"/>
        </w:rPr>
        <w:t xml:space="preserve">. If an Event of Default shall have occurred and be continuing, each Lender, each Issuing Bank, and each of their respective Affiliates is hereby authorized at any time and from time to time, to the fullest extent permitted by applicable law, to set off and apply any and all deposits (general or special, time or demand, provisional or final, in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whatever currency) at any time held, and other obligations (in whatever currency) at any time owing, by such Lender, such Issuing Bank or any such Affiliate, to or for the credit or the account of the Borrower against any and all of the obligations of the Borrower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of the Borrower may be contingent or unmatured or are owed to a branch, office or Affiliate of such Lender or such Issuing Bank different from the branch, office or Affiliate holding such deposit or obligated on such indebtedness; </w:t>
      </w:r>
      <w:r>
        <w:rPr>
          <w:rFonts w:ascii="Times New Roman" w:hAnsi="Times New Roman"/>
          <w:sz w:val="24"/>
          <w:u w:val="single"/>
        </w:rPr>
        <w:t>provided</w:t>
      </w:r>
      <w:r>
        <w:rPr>
          <w:rFonts w:ascii="Times New Roman" w:hAnsi="Times New Roman"/>
          <w:sz w:val="24"/>
        </w:rPr>
        <w:t xml:space="preserve"> that in the event that any Defaulting Lender shall exercise any such right of setoff, (x) all amounts so set off shall be paid over immediately to the Administrative Agent for further application in accordance with the provisions of Section 2.16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Advances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 w:hAnsi="Times New Roman"/>
          <w:sz w:val="24"/>
          <w:u w:val="single"/>
        </w:rPr>
        <w:t>provided</w:t>
      </w:r>
      <w:r>
        <w:rPr>
          <w:rFonts w:ascii="Times New Roman" w:hAnsi="Times New Roman"/>
          <w:sz w:val="24"/>
        </w:rPr>
        <w:t xml:space="preserve"> that the failure to give such notice shall not affect the validity of such setoff and application. </w:t>
      </w:r>
    </w:p>
    <w:p>
      <w:pPr>
        <w:pStyle w:val="TextBody"/>
        <w:bidi w:val="0"/>
        <w:spacing w:before="240" w:after="0"/>
        <w:jc w:val="both"/>
        <w:rPr>
          <w:rFonts w:ascii="Times New Roman" w:hAnsi="Times New Roman"/>
          <w:sz w:val="24"/>
        </w:rPr>
      </w:pPr>
      <w:r>
        <w:rPr>
          <w:rFonts w:ascii="Times New Roman" w:hAnsi="Times New Roman"/>
          <w:sz w:val="24"/>
        </w:rPr>
        <w:t xml:space="preserve">Section 12.24 </w:t>
      </w:r>
      <w:r>
        <w:rPr>
          <w:rFonts w:ascii="Times New Roman" w:hAnsi="Times New Roman"/>
          <w:sz w:val="24"/>
          <w:u w:val="single"/>
        </w:rPr>
        <w:t>Acknowledgement and Consent to Bail-In of Affected Financial Institutions</w:t>
      </w:r>
      <w:r>
        <w:rPr>
          <w:rFonts w:ascii="Times New Roman" w:hAnsi="Times New Roman"/>
          <w:sz w:val="24"/>
        </w:rPr>
        <w:t xml:space="preserve">. Notwithstanding anything to the contrary in this Agreement,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both"/>
        <w:rPr>
          <w:rFonts w:ascii="Times New Roman" w:hAnsi="Times New Roman"/>
          <w:sz w:val="24"/>
        </w:rPr>
      </w:pPr>
      <w:r>
        <w:rPr>
          <w:rFonts w:ascii="Times New Roman" w:hAnsi="Times New Roman"/>
          <w:sz w:val="24"/>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both"/>
        <w:rPr>
          <w:rFonts w:ascii="Times New Roman" w:hAnsi="Times New Roman"/>
          <w:sz w:val="24"/>
        </w:rPr>
      </w:pPr>
      <w:r>
        <w:rPr>
          <w:rFonts w:ascii="Times New Roman" w:hAnsi="Times New Roman"/>
          <w:sz w:val="24"/>
        </w:rPr>
        <w:t xml:space="preserve">(b) the effects of any Bail-In Action on any such liability, including, if applicable: </w:t>
      </w:r>
    </w:p>
    <w:p>
      <w:pPr>
        <w:pStyle w:val="TextBody"/>
        <w:bidi w:val="0"/>
        <w:spacing w:before="240" w:after="0"/>
        <w:jc w:val="both"/>
        <w:rPr>
          <w:rFonts w:ascii="Times New Roman" w:hAnsi="Times New Roman"/>
          <w:sz w:val="24"/>
        </w:rPr>
      </w:pPr>
      <w:r>
        <w:rPr>
          <w:rFonts w:ascii="Times New Roman" w:hAnsi="Times New Roman"/>
          <w:sz w:val="24"/>
        </w:rPr>
        <w:t xml:space="preserve">(i) a reduction in full or in part or cancellation of any such liability; </w:t>
      </w:r>
    </w:p>
    <w:p>
      <w:pPr>
        <w:pStyle w:val="TextBody"/>
        <w:bidi w:val="0"/>
        <w:spacing w:before="240" w:after="0"/>
        <w:jc w:val="both"/>
        <w:rPr>
          <w:rFonts w:ascii="Times New Roman" w:hAnsi="Times New Roman"/>
          <w:sz w:val="24"/>
        </w:rPr>
      </w:pPr>
      <w:r>
        <w:rPr>
          <w:rFonts w:ascii="Times New Roman" w:hAnsi="Times New Roman"/>
          <w:sz w:val="24"/>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(iii) the variation of the terms of such liability in connection with the exercise of the Write-Down and Conversion Powers of any applicable Resolution Authority. </w:t>
      </w:r>
    </w:p>
    <w:p>
      <w:pPr>
        <w:pStyle w:val="TextBody"/>
        <w:bidi w:val="0"/>
        <w:spacing w:before="240" w:after="0"/>
        <w:jc w:val="both"/>
        <w:rPr>
          <w:rFonts w:ascii="Times New Roman" w:hAnsi="Times New Roman"/>
          <w:sz w:val="24"/>
        </w:rPr>
      </w:pPr>
      <w:r>
        <w:rPr>
          <w:rFonts w:ascii="Times New Roman" w:hAnsi="Times New Roman"/>
          <w:sz w:val="24"/>
        </w:rPr>
        <w:t xml:space="preserve">Section 12.25 </w:t>
      </w:r>
      <w:r>
        <w:rPr>
          <w:rFonts w:ascii="Times New Roman" w:hAnsi="Times New Roman"/>
          <w:sz w:val="24"/>
          <w:u w:val="single"/>
        </w:rPr>
        <w:t>USA Patriot Act and Beneficial Ownership Regulation</w:t>
      </w:r>
      <w:r>
        <w:rPr>
          <w:rFonts w:ascii="Times New Roman" w:hAnsi="Times New Roman"/>
          <w:sz w:val="24"/>
        </w:rPr>
        <w:t>. Each Lender that is subject to the Act (as hereinafter defined) and the Administrative Agent (for itself and not on behalf of any Lender) hereby notifies each Borrower that pursuant to the requirements of the USA Patriot Act (Title III of Pub. L. 107-56 (signed into law October 26, 2001)) (the “</w:t>
      </w:r>
      <w:r>
        <w:rPr>
          <w:rFonts w:ascii="Times New Roman" w:hAnsi="Times New Roman"/>
          <w:sz w:val="24"/>
          <w:u w:val="single"/>
        </w:rPr>
        <w:t>Act</w:t>
      </w:r>
      <w:r>
        <w:rPr>
          <w:rFonts w:ascii="Times New Roman" w:hAnsi="Times New Roman"/>
          <w:sz w:val="24"/>
        </w:rPr>
        <w:t xml:space="preserve">”) and the Beneficial Ownership Regulation, it is required to obtain, verify and record information that identifies each Borrower, which information includes the name and address of each Borrower and other information that will allow such Lender or the Administrative Agent, as applicable, to identify each Borrower in accordance with the Act and the Beneficial Ownership Regulation. </w:t>
      </w:r>
    </w:p>
    <w:p>
      <w:pPr>
        <w:pStyle w:val="TextBody"/>
        <w:bidi w:val="0"/>
        <w:spacing w:before="240" w:after="0"/>
        <w:jc w:val="center"/>
        <w:rPr>
          <w:rFonts w:ascii="Times New Roman" w:hAnsi="Times New Roman"/>
          <w:sz w:val="24"/>
        </w:rPr>
      </w:pPr>
      <w:r>
        <w:rPr>
          <w:rFonts w:ascii="Times New Roman" w:hAnsi="Times New Roman"/>
          <w:sz w:val="24"/>
        </w:rPr>
        <w:t xml:space="preserve">ARTICLE 13 - WAIVER OF JURY TRIAL </w:t>
      </w:r>
    </w:p>
    <w:p>
      <w:pPr>
        <w:pStyle w:val="TextBody"/>
        <w:bidi w:val="0"/>
        <w:spacing w:before="240" w:after="0"/>
        <w:jc w:val="both"/>
        <w:rPr>
          <w:rFonts w:ascii="Times New Roman" w:hAnsi="Times New Roman"/>
          <w:sz w:val="24"/>
        </w:rPr>
      </w:pPr>
      <w:r>
        <w:rPr>
          <w:rFonts w:ascii="Times New Roman" w:hAnsi="Times New Roman"/>
          <w:sz w:val="24"/>
        </w:rPr>
        <w:t>Section 13.1 </w:t>
      </w:r>
      <w:r>
        <w:rPr>
          <w:rFonts w:ascii="Times New Roman" w:hAnsi="Times New Roman"/>
          <w:sz w:val="24"/>
          <w:u w:val="single"/>
        </w:rPr>
        <w:t>Waiver of Jury Trial</w:t>
      </w:r>
      <w:r>
        <w:rPr>
          <w:rFonts w:ascii="Times New Roman" w:hAnsi="Times New Roman"/>
          <w:sz w:val="24"/>
        </w:rPr>
        <w:t xml:space="preserve">. EACH OF THE COMPANY, EACH SUBSIDIARY BORROWER AND THE ADMINISTRATIVE AGENT, THE ISSUING BANKS AND THE LENDERS, HEREBY AGREE, TO THE EXTENT PERMITTED BY LAW, TO WAIVE AND HEREBY WAIVE THE RIGHT TO A TRIAL BY JURY IN ANY COURT AND IN ANY ACTION OR PROCEEDING OF ANY TYPE IN WHICH THE COMPANY, ANY SUBSIDIARY BORROWER, ANY OF THE LENDERS, THE ADMINISTRATIVE AGENT, THE SWINGLINE LENDER, ANY OF THE ISSUING BANKS, OR ANY OF THEIR RESPECTIVE SUCCESSORS OR ASSIGNS IS A PARTY, AS TO ALL MATTERS AND THINGS ARISING DIRECTLY OR INDIRECTLY OUT OF THIS AGREEMENT, ANY OF THE NOTES OR THE OTHER LOAN DOCUMENTS AND THE RELATIONS AMONG THE PARTIES LISTED IN THIS SECTION 13.1. EXCEPT AS PROHIBITED BY LAW, EACH PARTY TO THIS AGREEMENT WAIVES ANY RIGHTS IT MAY HAVE TO CLAIM OR RECOVER IN ANY LITIGATION REFERRED TO IN THIS SECTION, ANY SPECIAL, EXEMPLARY, PUNITIVE OR CONSEQUENTIAL DAMAGES OR ANY DAMAGES OTHER THAN, OR IN ADDITION TO, ACTUAL DAMAGES. EACH PARTY TO THIS AGREEMENT (A) CERTIFIES THAT NO REPRESENTATIVE, AGENT OR ATTORNEY OF THE ADMINISTRATIVE AGENT, THE SWINGLINE LENDER, ANY ISSUING BANK OR ANY LENDER HAS REPRESENTED, EXPRESSLY OR OTHERWISE, THAT THE ADMINISTRATIVE AGENT, ANY ISSUING BANK, THE SWINGLINE LENDER OR ANY LENDER WOULD NOT, IN THE EVENT OF LITIGATION, SEEK TO ENFORCE THE FOREGOING WAIVERS AND (B) ACKNOWLEDGES THAT IT HAS BEEN INDUCED TO ENTER INTO THIS AGREEMENT AND EACH OTHER LOAN DOCUMENT BY, AMONG OTHER THINGS, THE MUTUAL WAIVERS AND CERTIFICATIONS IN THIS SECTION. THE PROVISIONS OF THIS SECTION HAVE BEEN FULLY DISCLOSED BY AND TO THE PARTIES AND THE PROVISIONS SHALL BE SUBJECT TO NO EXCEPTIONS. NO PARTY HAS IN ANY WAY AGREED WITH OR REPRESENTED TO ANY OTHER PARTY THAT THE PROVISIONS OF THIS SECTION WILL NOT BE FULLY ENFORCED IN ALL INSTANCES. </w:t>
      </w:r>
    </w:p>
    <w:p>
      <w:pPr>
        <w:pStyle w:val="TextBody"/>
        <w:bidi w:val="0"/>
        <w:spacing w:before="240" w:after="0"/>
        <w:jc w:val="center"/>
        <w:rPr>
          <w:rFonts w:ascii="Times New Roman" w:hAnsi="Times New Roman"/>
          <w:sz w:val="24"/>
        </w:rPr>
      </w:pPr>
      <w:r>
        <w:rPr>
          <w:rFonts w:ascii="Times New Roman" w:hAnsi="Times New Roman"/>
          <w:sz w:val="24"/>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Exhibit B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Solvency Certificate </w:t>
      </w:r>
    </w:p>
    <w:p>
      <w:pPr>
        <w:pStyle w:val="TextBody"/>
        <w:bidi w:val="0"/>
        <w:spacing w:before="0" w:after="0"/>
        <w:jc w:val="center"/>
        <w:rPr>
          <w:rFonts w:ascii="Times New Roman" w:hAnsi="Times New Roman"/>
          <w:sz w:val="24"/>
        </w:rPr>
      </w:pPr>
      <w:r>
        <w:rPr>
          <w:rFonts w:ascii="Times New Roman" w:hAnsi="Times New Roman"/>
          <w:sz w:val="24"/>
        </w:rPr>
        <w:t xml:space="preserve">(See attached).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4. to Third Amended </w:t>
      </w:r>
    </w:p>
    <w:p>
      <w:pPr>
        <w:pStyle w:val="TextBody"/>
        <w:bidi w:val="0"/>
        <w:spacing w:before="0" w:after="0"/>
        <w:jc w:val="right"/>
        <w:rPr>
          <w:rFonts w:ascii="Times New Roman" w:hAnsi="Times New Roman"/>
          <w:sz w:val="16"/>
        </w:rPr>
      </w:pPr>
      <w:r>
        <w:rPr>
          <w:rFonts w:ascii="Times New Roman" w:hAnsi="Times New Roman"/>
          <w:sz w:val="16"/>
        </w:rPr>
        <w:t xml:space="preserve">and Restated Multicurrency Revolving Credit Agreement </w:t>
      </w:r>
    </w:p>
    <w:p>
      <w:pPr>
        <w:pStyle w:val="TextBody"/>
        <w:bidi w:val="0"/>
        <w:spacing w:before="240" w:after="0"/>
        <w:jc w:val="center"/>
        <w:rPr>
          <w:rFonts w:ascii="Times New Roman" w:hAnsi="Times New Roman"/>
          <w:sz w:val="24"/>
        </w:rPr>
      </w:pPr>
      <w:r>
        <w:rPr>
          <w:rFonts w:ascii="Times New Roman" w:hAnsi="Times New Roman"/>
          <w:sz w:val="24"/>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4"/>
        </w:rPr>
      </w:pPr>
      <w:r>
        <w:rPr>
          <w:rFonts w:ascii="Times New Roman" w:hAnsi="Times New Roman"/>
          <w:b/>
          <w:i/>
          <w:sz w:val="24"/>
        </w:rPr>
        <w:t xml:space="preserve">EXHIBIT B </w:t>
      </w:r>
    </w:p>
    <w:p>
      <w:pPr>
        <w:pStyle w:val="TextBody"/>
        <w:bidi w:val="0"/>
        <w:spacing w:before="240" w:after="0"/>
        <w:jc w:val="center"/>
        <w:rPr>
          <w:rFonts w:ascii="Times New Roman" w:hAnsi="Times New Roman"/>
          <w:b/>
          <w:sz w:val="24"/>
        </w:rPr>
      </w:pPr>
      <w:r>
        <w:rPr>
          <w:rFonts w:ascii="Times New Roman" w:hAnsi="Times New Roman"/>
          <w:b/>
          <w:sz w:val="24"/>
        </w:rPr>
        <w:t xml:space="preserve">FORM OF SOLVENCY CERTIFICATE </w:t>
      </w:r>
    </w:p>
    <w:p>
      <w:pPr>
        <w:pStyle w:val="TextBody"/>
        <w:bidi w:val="0"/>
        <w:spacing w:before="240" w:after="0"/>
        <w:jc w:val="center"/>
        <w:rPr>
          <w:rFonts w:ascii="Times New Roman" w:hAnsi="Times New Roman"/>
          <w:b/>
          <w:sz w:val="24"/>
        </w:rPr>
      </w:pPr>
      <w:r>
        <w:rPr>
          <w:rFonts w:ascii="Times New Roman" w:hAnsi="Times New Roman"/>
          <w:b/>
          <w:sz w:val="24"/>
        </w:rPr>
        <w:t xml:space="preserve">SOLVENCY CERTIFICATE </w:t>
      </w:r>
    </w:p>
    <w:p>
      <w:pPr>
        <w:pStyle w:val="TextBody"/>
        <w:bidi w:val="0"/>
        <w:spacing w:before="120" w:after="0"/>
        <w:jc w:val="center"/>
        <w:rPr>
          <w:rFonts w:ascii="Times New Roman" w:hAnsi="Times New Roman"/>
          <w:b/>
          <w:sz w:val="24"/>
        </w:rPr>
      </w:pPr>
      <w:r>
        <w:rPr>
          <w:rFonts w:ascii="Times New Roman" w:hAnsi="Times New Roman"/>
          <w:b/>
          <w:sz w:val="24"/>
        </w:rPr>
        <w:t xml:space="preserve">of </w:t>
      </w:r>
    </w:p>
    <w:p>
      <w:pPr>
        <w:pStyle w:val="TextBody"/>
        <w:bidi w:val="0"/>
        <w:spacing w:before="0" w:after="0"/>
        <w:jc w:val="center"/>
        <w:rPr>
          <w:rFonts w:ascii="Times New Roman" w:hAnsi="Times New Roman"/>
          <w:b/>
          <w:sz w:val="24"/>
        </w:rPr>
      </w:pPr>
      <w:r>
        <w:rPr>
          <w:rFonts w:ascii="Times New Roman" w:hAnsi="Times New Roman"/>
          <w:b/>
          <w:sz w:val="24"/>
        </w:rPr>
        <w:t xml:space="preserve">BORROWER AND ITS SUBSIDIARIES </w:t>
      </w:r>
    </w:p>
    <w:p>
      <w:pPr>
        <w:pStyle w:val="TextBody"/>
        <w:bidi w:val="0"/>
        <w:spacing w:before="240" w:after="0"/>
        <w:jc w:val="both"/>
        <w:rPr>
          <w:rFonts w:ascii="Times New Roman" w:hAnsi="Times New Roman"/>
          <w:sz w:val="24"/>
        </w:rPr>
      </w:pPr>
      <w:r>
        <w:rPr>
          <w:rFonts w:ascii="Times New Roman" w:hAnsi="Times New Roman"/>
          <w:sz w:val="24"/>
        </w:rPr>
        <w:t>Reference is made to that certain Third Amended and Restated Multicurrency Revolving Credit Agreement, dated as of December 8, 2021 (as amended by Amendment No. 1 to the Third Amended and Restated Multicurrency Revolving Credit Agreement, dated as of June 29, 2023, and Notice of Benchmark Replacement, Amendment No. 2 to the Credit Agreement, dated as of June 27, 2024, Amendment No. 3 to the Credit Agreement, dated as of January 28, 2025 and Amendment No. 4 to the Third Amended and Restated Multicurrency Revolving Credit Agreement, dated as of May 7, 2026, and as further amended, restated, extended, supplemented or otherwise modified in writing from time to time, the “</w:t>
      </w:r>
      <w:r>
        <w:rPr>
          <w:rFonts w:ascii="Times New Roman" w:hAnsi="Times New Roman"/>
          <w:sz w:val="24"/>
          <w:u w:val="single"/>
        </w:rPr>
        <w:t>Agreement</w:t>
      </w:r>
      <w:r>
        <w:rPr>
          <w:rFonts w:ascii="Times New Roman" w:hAnsi="Times New Roman"/>
          <w:sz w:val="24"/>
        </w:rPr>
        <w:t>;” the terms defined therein being used herein as therein defined), among American Tower Corporation, a Delaware corporation (the “</w:t>
      </w:r>
      <w:r>
        <w:rPr>
          <w:rFonts w:ascii="Times New Roman" w:hAnsi="Times New Roman"/>
          <w:sz w:val="24"/>
          <w:u w:val="single"/>
        </w:rPr>
        <w:t>Company</w:t>
      </w:r>
      <w:r>
        <w:rPr>
          <w:rFonts w:ascii="Times New Roman" w:hAnsi="Times New Roman"/>
          <w:sz w:val="24"/>
        </w:rPr>
        <w:t xml:space="preserve">”), the Subsidiary Borrowers from time to time party thereto, the Lenders from time to time party thereto, and Toronto Dominion (Texas) LLC, as Administrative Agent. Capitalized terms used but not defined herein have the meanings ascribed to them in the Agreement. </w:t>
      </w:r>
    </w:p>
    <w:p>
      <w:pPr>
        <w:pStyle w:val="TextBody"/>
        <w:bidi w:val="0"/>
        <w:spacing w:before="240" w:after="0"/>
        <w:jc w:val="both"/>
        <w:rPr>
          <w:rFonts w:ascii="Times New Roman" w:hAnsi="Times New Roman"/>
          <w:sz w:val="24"/>
        </w:rPr>
      </w:pPr>
      <w:r>
        <w:rPr>
          <w:rFonts w:ascii="Times New Roman" w:hAnsi="Times New Roman"/>
          <w:sz w:val="24"/>
        </w:rPr>
        <w:t>Pursuant to Section 3.5(e) of the Credit Agreement, the undersigned hereby certifies, solely in such undersigned’s capacity as [chief financial officer] [chief accounting officer] [</w:t>
      </w:r>
      <w:r>
        <w:rPr>
          <w:rFonts w:ascii="Times New Roman" w:hAnsi="Times New Roman"/>
          <w:i/>
          <w:sz w:val="24"/>
        </w:rPr>
        <w:t>specify other officer with equivalent duties</w:t>
      </w:r>
      <w:r>
        <w:rPr>
          <w:rFonts w:ascii="Times New Roman" w:hAnsi="Times New Roman"/>
          <w:sz w:val="24"/>
        </w:rPr>
        <w:t xml:space="preserve">] of the Company, and not individually, as follows: </w:t>
      </w:r>
    </w:p>
    <w:p>
      <w:pPr>
        <w:pStyle w:val="TextBody"/>
        <w:bidi w:val="0"/>
        <w:spacing w:before="240" w:after="0"/>
        <w:jc w:val="both"/>
        <w:rPr>
          <w:rFonts w:ascii="Times New Roman" w:hAnsi="Times New Roman"/>
          <w:sz w:val="24"/>
        </w:rPr>
      </w:pPr>
      <w:r>
        <w:rPr>
          <w:rFonts w:ascii="Times New Roman" w:hAnsi="Times New Roman"/>
          <w:sz w:val="24"/>
        </w:rPr>
        <w:t>As of the date hereof, after giving effect to the consummation of [_]1(the “</w:t>
      </w:r>
      <w:r>
        <w:rPr>
          <w:rFonts w:ascii="Times New Roman" w:hAnsi="Times New Roman"/>
          <w:sz w:val="24"/>
          <w:u w:val="single"/>
        </w:rPr>
        <w:t>Applicable</w:t>
      </w:r>
      <w:r>
        <w:rPr>
          <w:rFonts w:ascii="Times New Roman" w:hAnsi="Times New Roman"/>
          <w:sz w:val="24"/>
        </w:rPr>
        <w:t xml:space="preserve"> </w:t>
      </w:r>
      <w:r>
        <w:rPr>
          <w:rFonts w:ascii="Times New Roman" w:hAnsi="Times New Roman"/>
          <w:sz w:val="24"/>
          <w:u w:val="single"/>
        </w:rPr>
        <w:t>Certain Funds Acquisition</w:t>
      </w:r>
      <w:r>
        <w:rPr>
          <w:rFonts w:ascii="Times New Roman" w:hAnsi="Times New Roman"/>
          <w:sz w:val="24"/>
        </w:rPr>
        <w:t xml:space="preserve">”), including the making of the applicable Certain Funds Advances under the Credit Agreement in connection with the Applicable Certain Funds Acquisition, and after giving effect to the application of the proceeds of such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5"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fair value of the assets of the Company and its Subsidiaries, on a consolidated basis, exceeds, on a consolidated basis, their debts and liabilities, subordinated, contingent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3"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present fair saleable value of the property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575"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Company and its Subsidiaries, on a consolidated basis, are able to pay their debts and liabilities, subordinated, contingent or otherwise, as such liabilities become absolute and matured; and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refer to specific Certain Funds Acquisition.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120"/>
        <w:gridCol w:w="509"/>
        <w:gridCol w:w="8576"/>
      </w:tblGrid>
      <w:tr>
        <w:trPr/>
        <w:tc>
          <w:tcPr>
            <w:tcW w:w="1120"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576"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Company and its Subsidiaries, on a consolidated basis, are not engaged in, and are not about to engage in, business for which they have unreasonably small capital. </w:t>
            </w:r>
          </w:p>
        </w:tc>
      </w:tr>
    </w:tbl>
    <w:p>
      <w:pPr>
        <w:pStyle w:val="TextBody"/>
        <w:bidi w:val="0"/>
        <w:spacing w:before="240" w:after="0"/>
        <w:jc w:val="both"/>
        <w:rPr>
          <w:rFonts w:ascii="Times New Roman" w:hAnsi="Times New Roman"/>
          <w:sz w:val="24"/>
        </w:rPr>
      </w:pPr>
      <w:r>
        <w:rPr>
          <w:rFonts w:ascii="Times New Roman" w:hAnsi="Times New Roman"/>
          <w:sz w:val="24"/>
        </w:rPr>
        <w:t xml:space="preserve">For purposes of this Certificate, the amount of any contingent liability at any time shall be computed as the amount that would reasonably be expected to become an actual and matured liability. Capitalized terms used but not otherwise defined herein shall have the meanings assigned to them in the Credit Agreement. </w:t>
      </w:r>
    </w:p>
    <w:p>
      <w:pPr>
        <w:pStyle w:val="TextBody"/>
        <w:bidi w:val="0"/>
        <w:spacing w:before="240" w:after="0"/>
        <w:jc w:val="both"/>
        <w:rPr>
          <w:rFonts w:ascii="Times New Roman" w:hAnsi="Times New Roman"/>
          <w:sz w:val="24"/>
        </w:rPr>
      </w:pPr>
      <w:r>
        <w:rPr>
          <w:rFonts w:ascii="Times New Roman" w:hAnsi="Times New Roman"/>
          <w:sz w:val="24"/>
        </w:rPr>
        <w:t>IN WITNESS WHEREOF, the undersigned has executed this Certificate in such undersigned’s capacity as [chief financial officer] [chief accounting officer] [</w:t>
      </w:r>
      <w:r>
        <w:rPr>
          <w:rFonts w:ascii="Times New Roman" w:hAnsi="Times New Roman"/>
          <w:i/>
          <w:sz w:val="24"/>
        </w:rPr>
        <w:t>specify other officer with equivalent duties</w:t>
      </w:r>
      <w:r>
        <w:rPr>
          <w:rFonts w:ascii="Times New Roman" w:hAnsi="Times New Roman"/>
          <w:sz w:val="24"/>
        </w:rPr>
        <w:t xml:space="preserve">] of the Company, on behalf of the Company, and not individually, as of the date first stated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25"/>
        <w:gridCol w:w="151"/>
        <w:gridCol w:w="2306"/>
      </w:tblGrid>
      <w:tr>
        <w:trPr/>
        <w:tc>
          <w:tcPr>
            <w:tcW w:w="162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AMERICAN TOWER CORPORATION</w:t>
            </w:r>
          </w:p>
        </w:tc>
      </w:tr>
      <w:tr>
        <w:trPr>
          <w:trHeight w:val="240" w:hRule="atLeast"/>
        </w:trPr>
        <w:tc>
          <w:tcPr>
            <w:tcW w:w="1625" w:type="dxa"/>
            <w:tcBorders/>
            <w:vAlign w:val="center"/>
          </w:tcPr>
          <w:p>
            <w:pPr>
              <w:pStyle w:val="TableContents"/>
              <w:bidi w:val="0"/>
              <w:spacing w:before="0" w:after="283"/>
              <w:jc w:val="left"/>
              <w:rPr>
                <w:sz w:val="4"/>
                <w:szCs w:val="4"/>
              </w:rPr>
            </w:pPr>
            <w:r>
              <w:rPr>
                <w:sz w:val="4"/>
                <w:szCs w:val="4"/>
              </w:rPr>
            </w:r>
          </w:p>
        </w:tc>
        <w:tc>
          <w:tcPr>
            <w:tcW w:w="2457"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tcPr>
          <w:p>
            <w:pPr>
              <w:pStyle w:val="TableContents"/>
              <w:bidi w:val="0"/>
              <w:spacing w:before="0" w:after="283"/>
              <w:jc w:val="left"/>
              <w:rPr/>
            </w:pPr>
            <w:r>
              <w:rPr/>
              <w:t>By:</w:t>
            </w:r>
          </w:p>
        </w:tc>
        <w:tc>
          <w:tcPr>
            <w:tcW w:w="1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06" w:type="dxa"/>
            <w:tcBorders>
              <w:bottom w:val="single" w:sz="2" w:space="0" w:color="000000"/>
            </w:tcBorders>
            <w:tcMar>
              <w:bottom w:w="28" w:type="dxa"/>
            </w:tcMar>
          </w:tcPr>
          <w:p>
            <w:pPr>
              <w:pStyle w:val="TableContents"/>
              <w:bidi w:val="0"/>
              <w:spacing w:before="0" w:after="283"/>
              <w:jc w:val="left"/>
              <w:rPr/>
            </w:pPr>
            <w:r>
              <w:rPr/>
              <w:t> </w:t>
            </w:r>
          </w:p>
        </w:tc>
      </w:tr>
      <w:tr>
        <w:trPr/>
        <w:tc>
          <w:tcPr>
            <w:tcW w:w="1625" w:type="dxa"/>
            <w:tcBorders/>
          </w:tcPr>
          <w:p>
            <w:pPr>
              <w:pStyle w:val="TableContents"/>
              <w:bidi w:val="0"/>
              <w:spacing w:before="0" w:after="0"/>
              <w:jc w:val="left"/>
              <w:rPr>
                <w:rFonts w:ascii="Times New Roman" w:hAnsi="Times New Roman"/>
                <w:sz w:val="24"/>
              </w:rPr>
            </w:pPr>
            <w:r>
              <w:rPr>
                <w:rFonts w:ascii="Times New Roman" w:hAnsi="Times New Roman"/>
                <w:sz w:val="24"/>
              </w:rPr>
              <w:t>Name:</w:t>
            </w:r>
          </w:p>
        </w:tc>
        <w:tc>
          <w:tcPr>
            <w:tcW w:w="151" w:type="dxa"/>
            <w:tcBorders/>
            <w:vAlign w:val="bottom"/>
          </w:tcPr>
          <w:p>
            <w:pPr>
              <w:pStyle w:val="TableContents"/>
              <w:bidi w:val="0"/>
              <w:spacing w:before="0" w:after="283"/>
              <w:jc w:val="left"/>
              <w:rPr/>
            </w:pPr>
            <w:r>
              <w:rPr/>
              <w:t> </w:t>
            </w:r>
          </w:p>
        </w:tc>
        <w:tc>
          <w:tcPr>
            <w:tcW w:w="2306" w:type="dxa"/>
            <w:tcBorders/>
          </w:tcPr>
          <w:p>
            <w:pPr>
              <w:pStyle w:val="TableContents"/>
              <w:bidi w:val="0"/>
              <w:spacing w:before="0" w:after="283"/>
              <w:jc w:val="left"/>
              <w:rPr>
                <w:sz w:val="4"/>
                <w:szCs w:val="4"/>
              </w:rPr>
            </w:pPr>
            <w:r>
              <w:rPr>
                <w:sz w:val="4"/>
                <w:szCs w:val="4"/>
              </w:rPr>
            </w:r>
          </w:p>
        </w:tc>
      </w:tr>
      <w:tr>
        <w:trPr/>
        <w:tc>
          <w:tcPr>
            <w:tcW w:w="1625" w:type="dxa"/>
            <w:tcBorders/>
          </w:tcPr>
          <w:p>
            <w:pPr>
              <w:pStyle w:val="TableContents"/>
              <w:bidi w:val="0"/>
              <w:spacing w:before="0" w:after="0"/>
              <w:jc w:val="left"/>
              <w:rPr>
                <w:rFonts w:ascii="Times New Roman" w:hAnsi="Times New Roman"/>
                <w:sz w:val="24"/>
              </w:rPr>
            </w:pPr>
            <w:r>
              <w:rPr>
                <w:rFonts w:ascii="Times New Roman" w:hAnsi="Times New Roman"/>
                <w:sz w:val="24"/>
              </w:rPr>
              <w:t>Title:</w:t>
            </w:r>
          </w:p>
        </w:tc>
        <w:tc>
          <w:tcPr>
            <w:tcW w:w="151" w:type="dxa"/>
            <w:tcBorders/>
            <w:vAlign w:val="bottom"/>
          </w:tcPr>
          <w:p>
            <w:pPr>
              <w:pStyle w:val="TableContents"/>
              <w:bidi w:val="0"/>
              <w:spacing w:before="0" w:after="283"/>
              <w:jc w:val="left"/>
              <w:rPr/>
            </w:pPr>
            <w:r>
              <w:rPr/>
              <w:t> </w:t>
            </w:r>
          </w:p>
        </w:tc>
        <w:tc>
          <w:tcPr>
            <w:tcW w:w="230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4"/>
        </w:rPr>
      </w:pPr>
      <w:bookmarkStart w:id="2" w:name="Exhibit108.htm"/>
      <w:bookmarkStart w:id="3" w:name="ksExhibit108"/>
      <w:bookmarkEnd w:id="2"/>
      <w:bookmarkEnd w:id="3"/>
      <w:r>
        <w:rPr>
          <w:rFonts w:ascii="Times New Roman" w:hAnsi="Times New Roman"/>
          <w:b/>
          <w:sz w:val="24"/>
        </w:rPr>
        <w:t xml:space="preserve">Exhibit 10.8 </w:t>
      </w:r>
      <w:r>
        <w:br w:type="page"/>
      </w:r>
    </w:p>
    <w:p>
      <w:pPr>
        <w:pStyle w:val="TextBody"/>
        <w:bidi w:val="0"/>
        <w:spacing w:before="360" w:after="0"/>
        <w:jc w:val="right"/>
        <w:rPr>
          <w:rFonts w:ascii="Times New Roman" w:hAnsi="Times New Roman"/>
          <w:b/>
          <w:i/>
          <w:sz w:val="24"/>
        </w:rPr>
      </w:pPr>
      <w:r>
        <w:rPr>
          <w:rFonts w:ascii="Times New Roman" w:hAnsi="Times New Roman"/>
          <w:b/>
          <w:i/>
          <w:sz w:val="24"/>
        </w:rPr>
        <w:t xml:space="preserve">Execution Version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3 TO THE </w:t>
      </w:r>
    </w:p>
    <w:p>
      <w:pPr>
        <w:pStyle w:val="TextBody"/>
        <w:bidi w:val="0"/>
        <w:spacing w:before="0" w:after="0"/>
        <w:jc w:val="center"/>
        <w:rPr>
          <w:rFonts w:ascii="Times New Roman" w:hAnsi="Times New Roman"/>
          <w:b/>
          <w:sz w:val="24"/>
        </w:rPr>
      </w:pPr>
      <w:r>
        <w:rPr>
          <w:rFonts w:ascii="Times New Roman" w:hAnsi="Times New Roman"/>
          <w:b/>
          <w:sz w:val="24"/>
        </w:rPr>
        <w:t xml:space="preserve">FOURTH AMENDED AND RESTATED REVOLVING CREDIT AGREEMENT </w:t>
      </w:r>
    </w:p>
    <w:p>
      <w:pPr>
        <w:pStyle w:val="TextBody"/>
        <w:bidi w:val="0"/>
        <w:spacing w:before="240" w:after="0"/>
        <w:jc w:val="right"/>
        <w:rPr>
          <w:rFonts w:ascii="Times New Roman" w:hAnsi="Times New Roman"/>
          <w:sz w:val="24"/>
        </w:rPr>
      </w:pPr>
      <w:r>
        <w:rPr>
          <w:rFonts w:ascii="Times New Roman" w:hAnsi="Times New Roman"/>
          <w:sz w:val="24"/>
        </w:rPr>
        <w:t xml:space="preserve">Dated as of May 7, 2026 </w:t>
      </w:r>
    </w:p>
    <w:p>
      <w:pPr>
        <w:pStyle w:val="TextBody"/>
        <w:bidi w:val="0"/>
        <w:spacing w:before="240" w:after="0"/>
        <w:jc w:val="both"/>
        <w:rPr>
          <w:rFonts w:ascii="Times New Roman" w:hAnsi="Times New Roman"/>
          <w:sz w:val="24"/>
        </w:rPr>
      </w:pPr>
      <w:r>
        <w:rPr>
          <w:rFonts w:ascii="Times New Roman" w:hAnsi="Times New Roman"/>
          <w:b/>
          <w:sz w:val="24"/>
        </w:rPr>
        <w:t xml:space="preserve">AMENDMENT NO. 3 TO THE FOURTH AMENDED AND RESTATED REVOLVING CREDIT AGREEMENT </w:t>
      </w:r>
      <w:r>
        <w:rPr>
          <w:rFonts w:ascii="Times New Roman" w:hAnsi="Times New Roman"/>
          <w:sz w:val="24"/>
        </w:rPr>
        <w:t>(this “</w:t>
      </w:r>
      <w:r>
        <w:rPr>
          <w:rFonts w:ascii="Times New Roman" w:hAnsi="Times New Roman"/>
          <w:sz w:val="24"/>
          <w:u w:val="single"/>
        </w:rPr>
        <w:t>Amendment</w:t>
      </w:r>
      <w:r>
        <w:rPr>
          <w:rFonts w:ascii="Times New Roman" w:hAnsi="Times New Roman"/>
          <w:sz w:val="24"/>
        </w:rPr>
        <w:t xml:space="preserve">”) by and among </w:t>
      </w:r>
      <w:r>
        <w:rPr>
          <w:rFonts w:ascii="Times New Roman" w:hAnsi="Times New Roman"/>
          <w:b/>
          <w:sz w:val="24"/>
        </w:rPr>
        <w:t>AMERICAN TOWER CORPORATION</w:t>
      </w:r>
      <w:r>
        <w:rPr>
          <w:rFonts w:ascii="Times New Roman" w:hAnsi="Times New Roman"/>
          <w:sz w:val="24"/>
        </w:rPr>
        <w:t>, a Delaware corporation (the “</w:t>
      </w:r>
      <w:r>
        <w:rPr>
          <w:rFonts w:ascii="Times New Roman" w:hAnsi="Times New Roman"/>
          <w:sz w:val="24"/>
          <w:u w:val="single"/>
        </w:rPr>
        <w:t>Borrower</w:t>
      </w:r>
      <w:r>
        <w:rPr>
          <w:rFonts w:ascii="Times New Roman" w:hAnsi="Times New Roman"/>
          <w:sz w:val="24"/>
        </w:rPr>
        <w:t>”), the financial institutions party hereto (collectively, the “</w:t>
      </w:r>
      <w:r>
        <w:rPr>
          <w:rFonts w:ascii="Times New Roman" w:hAnsi="Times New Roman"/>
          <w:sz w:val="24"/>
          <w:u w:val="single"/>
        </w:rPr>
        <w:t>Lenders</w:t>
      </w:r>
      <w:r>
        <w:rPr>
          <w:rFonts w:ascii="Times New Roman" w:hAnsi="Times New Roman"/>
          <w:sz w:val="24"/>
        </w:rPr>
        <w:t xml:space="preserve">”), and </w:t>
      </w:r>
      <w:r>
        <w:rPr>
          <w:rFonts w:ascii="Times New Roman" w:hAnsi="Times New Roman"/>
          <w:b/>
          <w:sz w:val="24"/>
        </w:rPr>
        <w:t>TORONTO DOMINION (TEXAS) LLC</w:t>
      </w:r>
      <w:r>
        <w:rPr>
          <w:rFonts w:ascii="Times New Roman" w:hAnsi="Times New Roman"/>
          <w:sz w:val="24"/>
        </w:rPr>
        <w:t>, as administrative agent for the Lenders (in such capacity, the “</w:t>
      </w:r>
      <w:r>
        <w:rPr>
          <w:rFonts w:ascii="Times New Roman" w:hAnsi="Times New Roman"/>
          <w:sz w:val="24"/>
          <w:u w:val="single"/>
        </w:rPr>
        <w:t>Administrative Agent</w:t>
      </w:r>
      <w:r>
        <w:rPr>
          <w:rFonts w:ascii="Times New Roman" w:hAnsi="Times New Roman"/>
          <w:sz w:val="24"/>
        </w:rPr>
        <w:t xml:space="preserve">”). </w:t>
      </w:r>
    </w:p>
    <w:p>
      <w:pPr>
        <w:pStyle w:val="TextBody"/>
        <w:bidi w:val="0"/>
        <w:spacing w:before="240" w:after="0"/>
        <w:jc w:val="left"/>
        <w:rPr>
          <w:rFonts w:ascii="Times New Roman" w:hAnsi="Times New Roman"/>
          <w:b/>
          <w:sz w:val="24"/>
        </w:rPr>
      </w:pPr>
      <w:r>
        <w:rPr>
          <w:rFonts w:ascii="Times New Roman" w:hAnsi="Times New Roman"/>
          <w:b/>
          <w:sz w:val="24"/>
        </w:rPr>
        <w:t xml:space="preserve">PRELIMINARY STATEMENTS: </w:t>
      </w:r>
    </w:p>
    <w:p>
      <w:pPr>
        <w:pStyle w:val="TextBody"/>
        <w:bidi w:val="0"/>
        <w:spacing w:before="240" w:after="0"/>
        <w:jc w:val="both"/>
        <w:rPr>
          <w:rFonts w:ascii="Times New Roman" w:hAnsi="Times New Roman"/>
          <w:sz w:val="24"/>
        </w:rPr>
      </w:pPr>
      <w:r>
        <w:rPr>
          <w:rFonts w:ascii="Times New Roman" w:hAnsi="Times New Roman"/>
          <w:sz w:val="24"/>
        </w:rPr>
        <w:t>(1) The Borrower, the lenders from time to time party thereto and the Administrative Agent are parties to a Fourth Amended and Restated Revolving Credit Agreement dated as of December 8, 2021 (as amended by Amendment No. 1 to the Fourth Amended and Restated Revolving Credit Agreement, dated as of June 29, 2023, Amendment No. 2 to the Fourth Amended and Restated Revolving Credit Agreement, dated as of January 28, 2025, and as further amended, supplemented or otherwise modified through the date hereof, the “</w:t>
      </w:r>
      <w:r>
        <w:rPr>
          <w:rFonts w:ascii="Times New Roman" w:hAnsi="Times New Roman"/>
          <w:sz w:val="24"/>
          <w:u w:val="single"/>
        </w:rPr>
        <w:t>Credit Agreement</w:t>
      </w:r>
      <w:r>
        <w:rPr>
          <w:rFonts w:ascii="Times New Roman" w:hAnsi="Times New Roman"/>
          <w:sz w:val="24"/>
        </w:rPr>
        <w:t xml:space="preserve">”). Capitalized terms not otherwise defined in this Amendment have the same meanings as specified in the Credit Agreement. </w:t>
      </w:r>
    </w:p>
    <w:p>
      <w:pPr>
        <w:pStyle w:val="TextBody"/>
        <w:bidi w:val="0"/>
        <w:spacing w:before="240" w:after="0"/>
        <w:jc w:val="both"/>
        <w:rPr>
          <w:rFonts w:ascii="Times New Roman" w:hAnsi="Times New Roman"/>
          <w:sz w:val="24"/>
        </w:rPr>
      </w:pPr>
      <w:r>
        <w:rPr>
          <w:rFonts w:ascii="Times New Roman" w:hAnsi="Times New Roman"/>
          <w:sz w:val="24"/>
        </w:rPr>
        <w:t>(2) The parties hereto desire to make the amendments to the Credit Agreement set forth below on the terms as hereinafter set forth (the Credit Agreement as so amended, the “</w:t>
      </w:r>
      <w:r>
        <w:rPr>
          <w:rFonts w:ascii="Times New Roman" w:hAnsi="Times New Roman"/>
          <w:sz w:val="24"/>
          <w:u w:val="single"/>
        </w:rPr>
        <w:t>Amended Credit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NOW, THEREFORE, in consideration of the foregoing and for other good and valuable consideration, the receipt and sufficiency of all of which are hereby acknowledged, the parties hereto hereby agree as follows: </w:t>
      </w:r>
    </w:p>
    <w:p>
      <w:pPr>
        <w:pStyle w:val="TextBody"/>
        <w:bidi w:val="0"/>
        <w:spacing w:before="240" w:after="0"/>
        <w:jc w:val="both"/>
        <w:rPr>
          <w:rFonts w:ascii="Times New Roman" w:hAnsi="Times New Roman"/>
          <w:sz w:val="24"/>
        </w:rPr>
      </w:pPr>
      <w:r>
        <w:rPr>
          <w:rFonts w:ascii="Times New Roman" w:hAnsi="Times New Roman"/>
          <w:sz w:val="24"/>
        </w:rPr>
        <w:t>SECTION 1. </w:t>
      </w:r>
      <w:r>
        <w:rPr>
          <w:rFonts w:ascii="Times New Roman" w:hAnsi="Times New Roman"/>
          <w:sz w:val="24"/>
          <w:u w:val="single"/>
        </w:rPr>
        <w:t>Certain Amendments to Credit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the parties hereto agrees that, effective on and as of the Amendment Effective Date (as defined below), the Credit Agreement shall be amended to delete the stricken text (indicated textually in the same manner as the following example: </w:t>
      </w:r>
      <w:r>
        <w:rPr>
          <w:rFonts w:ascii="Times New Roman" w:hAnsi="Times New Roman"/>
          <w:strike/>
          <w:color w:val="FF0000"/>
          <w:sz w:val="24"/>
        </w:rPr>
        <w:t>stricken text</w:t>
      </w:r>
      <w:r>
        <w:rPr>
          <w:rFonts w:ascii="Times New Roman" w:hAnsi="Times New Roman"/>
          <w:sz w:val="24"/>
        </w:rPr>
        <w:t xml:space="preserve">) and to add the double-underlined text (indicated textually in the same manner as the following example: </w:t>
      </w:r>
      <w:r>
        <w:rPr>
          <w:rFonts w:ascii="Times New Roman" w:hAnsi="Times New Roman"/>
          <w:color w:val="0000FF"/>
          <w:sz w:val="24"/>
          <w:u w:val="single"/>
          <w:bdr w:val="double" w:sz="2" w:space="1" w:color="000000"/>
        </w:rPr>
        <w:t>double-underlined text</w:t>
      </w:r>
      <w:r>
        <w:rPr>
          <w:rFonts w:ascii="Times New Roman" w:hAnsi="Times New Roman"/>
          <w:sz w:val="24"/>
        </w:rPr>
        <w:t xml:space="preserve">) as set forth in </w:t>
      </w:r>
      <w:r>
        <w:rPr>
          <w:rFonts w:ascii="Times New Roman" w:hAnsi="Times New Roman"/>
          <w:sz w:val="24"/>
          <w:u w:val="single"/>
        </w:rPr>
        <w:t>Exhibit A</w:t>
      </w:r>
      <w:r>
        <w:rPr>
          <w:rFonts w:ascii="Times New Roman" w:hAnsi="Times New Roman"/>
          <w:sz w:val="24"/>
        </w:rPr>
        <w:t xml:space="preserve"> hereto. </w:t>
      </w:r>
    </w:p>
    <w:p>
      <w:pPr>
        <w:pStyle w:val="TextBody"/>
        <w:bidi w:val="0"/>
        <w:spacing w:before="240" w:after="0"/>
        <w:jc w:val="both"/>
        <w:rPr>
          <w:rFonts w:ascii="Times New Roman" w:hAnsi="Times New Roman"/>
          <w:sz w:val="24"/>
        </w:rPr>
      </w:pPr>
      <w:r>
        <w:rPr>
          <w:rFonts w:ascii="Times New Roman" w:hAnsi="Times New Roman"/>
          <w:sz w:val="24"/>
        </w:rPr>
        <w:t xml:space="preserve">(b) Each of the parties here agrees that, effective on and as of the Amendment Effective Date, Schedule 1 to the Credit Agreement (Commitments; Commitment Ratios) shall hereby be amended and restated in the form attached as Schedule I hereto (for the avoidance of doubt, all other schedules and all exhibits to the Credit Agreement will remain in full force and effect in the form attached to the Credit Agreement immediately prior to the Amendment Effective Date).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Fourth Amended and Restated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2. </w:t>
      </w:r>
      <w:r>
        <w:rPr>
          <w:rFonts w:ascii="Times New Roman" w:hAnsi="Times New Roman"/>
          <w:sz w:val="24"/>
          <w:u w:val="single"/>
        </w:rPr>
        <w:t>Waiver; Assignment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requirements of Sections 12.4 and 12.12(c) of the Credit Agreement are hereby waived to the extent that such Sections require prior notice or execution and delivery of an assignment agreement to effect an assignment by any Lender that does not agree to extend its Revolving Loan Commitment as set forth in this Amendment. Accordingly, after giving effect to this Amendment, only those Lenders listed on </w:t>
      </w:r>
      <w:r>
        <w:rPr>
          <w:rFonts w:ascii="Times New Roman" w:hAnsi="Times New Roman"/>
          <w:sz w:val="24"/>
          <w:u w:val="single"/>
        </w:rPr>
        <w:t>Schedule 1</w:t>
      </w:r>
      <w:r>
        <w:rPr>
          <w:rFonts w:ascii="Times New Roman" w:hAnsi="Times New Roman"/>
          <w:sz w:val="24"/>
        </w:rPr>
        <w:t xml:space="preserve"> to this Amendment shall have any Revolving Loan Commitment or be considered Lenders under the Credit Agreement, with Revolving Loan Commitments in such amounts as set forth on </w:t>
      </w:r>
      <w:r>
        <w:rPr>
          <w:rFonts w:ascii="Times New Roman" w:hAnsi="Times New Roman"/>
          <w:sz w:val="24"/>
          <w:u w:val="single"/>
        </w:rPr>
        <w:t>Schedule 1</w:t>
      </w:r>
      <w:r>
        <w:rPr>
          <w:rFonts w:ascii="Times New Roman" w:hAnsi="Times New Roman"/>
          <w:sz w:val="24"/>
        </w:rPr>
        <w:t xml:space="preserve">. The execution and delivery of this Amendment is evidence of the consent of the Borrower, the Swingline Lenders, the Issuing Banks and the Administrative Agent to assignment of each Assignor’s (as defined below) Revolving Loan Commitments to the Assignees (as defined below), as required pursuant to Section 12.4(b)(iii) of the Credit Agreement. </w:t>
      </w:r>
    </w:p>
    <w:p>
      <w:pPr>
        <w:pStyle w:val="TextBody"/>
        <w:bidi w:val="0"/>
        <w:spacing w:before="240" w:after="0"/>
        <w:jc w:val="both"/>
        <w:rPr>
          <w:rFonts w:ascii="Times New Roman" w:hAnsi="Times New Roman"/>
          <w:sz w:val="24"/>
        </w:rPr>
      </w:pPr>
      <w:r>
        <w:rPr>
          <w:rFonts w:ascii="Times New Roman" w:hAnsi="Times New Roman"/>
          <w:sz w:val="24"/>
        </w:rPr>
        <w:t>(b) Each Lender whose Revolving Loan Commitment is reduced or terminated by giving effect to this Amendment (each, an “</w:t>
      </w:r>
      <w:r>
        <w:rPr>
          <w:rFonts w:ascii="Times New Roman" w:hAnsi="Times New Roman"/>
          <w:sz w:val="24"/>
          <w:u w:val="single"/>
        </w:rPr>
        <w:t>Assignor</w:t>
      </w:r>
      <w:r>
        <w:rPr>
          <w:rFonts w:ascii="Times New Roman" w:hAnsi="Times New Roman"/>
          <w:sz w:val="24"/>
        </w:rPr>
        <w:t>”) hereby irrevocably sells and assigns, at par, to each Lender whose Revolving Loan Commitment is increased (or created) by giving effect to this Amendment (each, an “</w:t>
      </w:r>
      <w:r>
        <w:rPr>
          <w:rFonts w:ascii="Times New Roman" w:hAnsi="Times New Roman"/>
          <w:sz w:val="24"/>
          <w:u w:val="single"/>
        </w:rPr>
        <w:t>Assignee</w:t>
      </w:r>
      <w:r>
        <w:rPr>
          <w:rFonts w:ascii="Times New Roman" w:hAnsi="Times New Roman"/>
          <w:sz w:val="24"/>
        </w:rPr>
        <w:t xml:space="preserve">”), and each Assignee hereby irrevocably purchases and assumes from each Assignor, subject to and in accordance with this Amendment and the Credit Agreement, as of the Amendment Effective Date (as defined below), the Assigned Interests (as defined below). Such sales and assignments and purchases and assumptions shall be made on the terms set forth in Exhibit F to the Credit Agreement and shall comply with Section 12.4(b) of the Credit Agreement, notwithstanding any failure of such sales, assignments, purchases and assumptions to comply with (x) the minimum assignment requirement in Section 12.4(b)(i) of the Credit Agreement, (y) the requirement to pay the processing and recordation fees referenced in Section 12.4(b)(iv) of the Credit Agreement or (z) any requirement to execute and deliver an Assignment and Assumption in the form of Exhibit F to the Credit Agreement in respect thereof. Without limiting the generality of the foregoing, each Assignee and each Assignor hereby makes the representations, warranties and agreements required to be made by such under Section 1 of Annex 1 to Exhibit F to the Credit Agreement by an Assignee or an Assignor, respectively, with respect to the Assigned Interests being assigned or assumed by such Assignee or such Assignor, respectively, hereunder. Each sale and assignment hereunder is without recourse to any Assignor and, except as expressly provided in Section 1 of Annex 1 to Exhibit F to the Credit Agreement, without representation or warranty by any Assignor. </w:t>
      </w:r>
    </w:p>
    <w:p>
      <w:pPr>
        <w:pStyle w:val="TextBody"/>
        <w:bidi w:val="0"/>
        <w:spacing w:before="240" w:after="0"/>
        <w:jc w:val="both"/>
        <w:rPr>
          <w:rFonts w:ascii="Times New Roman" w:hAnsi="Times New Roman"/>
          <w:sz w:val="24"/>
        </w:rPr>
      </w:pPr>
      <w:r>
        <w:rPr>
          <w:rFonts w:ascii="Times New Roman" w:hAnsi="Times New Roman"/>
          <w:sz w:val="24"/>
        </w:rPr>
        <w:t>(c) As used herein, “</w:t>
      </w:r>
      <w:r>
        <w:rPr>
          <w:rFonts w:ascii="Times New Roman" w:hAnsi="Times New Roman"/>
          <w:sz w:val="24"/>
          <w:u w:val="single"/>
        </w:rPr>
        <w:t>Assigned Interest</w:t>
      </w:r>
      <w:r>
        <w:rPr>
          <w:rFonts w:ascii="Times New Roman" w:hAnsi="Times New Roman"/>
          <w:sz w:val="24"/>
        </w:rPr>
        <w:t xml:space="preserve">” means (i) all of the respective Assignors’ rights and obligations in their respective capacities as Lenders under the Credit Agreement and any other documents or instruments delivered pursuant thereto to the extent related to the Revolving Loan Commitments of the respective Assignors to the extent being assigned under this Amendment and (ii) to the extent permitted to be assigned under Applicable Law, all claims, suits, causes of action and any other right of 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Fourth Amended and Restated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(d) On the Amendment Effective Date, subject to the terms and conditions set forth herein, (x) to the extent any Loans or funded L/C Obligations are outstanding on such date, each Assignee purchasing and assuming Assigned Interests pursuant to paragraph (b) above shall pay the purchase price for such Assigned Interests (equal to the principal amount of such outstanding Loans and funded L/C Obligations with respect to such Assigned Interest) by wire transfer of immediately available funds to the Administrative Agent not later than 12:00 Noon (New York City time), (y) the Borrower shall pay all accrued and unpaid interest and fees and other amounts accrued to but excluding the Amendment Effective Date for the account of each Assignor in respect of such Assignor’s Assigned Interests (including such amount, if any, as would be payable pursuant to Section 2.9 of the Credit Agreement if the outstanding Loans of such Assignor were prepaid in their entirety on the date of consummation of the assignment of the Assigned Interests) by wire transfer of immediately available funds to the Administrative Agent not later than 12:00 Noon (New York City time) and (z) the Administrative Agent shall pay to each of the Assignors, out of the amounts received by the Administrative Agent pursuant to clauses (x) and (y) above, the purchase price for the Assigned Interests assigned by such Assignor pursuant hereto and all unpaid interest and fees and other amounts accrued for the account of each Assignor to but excluding the Amendment Effective Date by wire transfer of immediately available funds to the account designated by such Assignor to the Administrative Agent not later than 5:00 p.m. (New York City time) on the Amendment Effective Date. </w:t>
      </w:r>
    </w:p>
    <w:p>
      <w:pPr>
        <w:pStyle w:val="TextBody"/>
        <w:bidi w:val="0"/>
        <w:spacing w:before="240" w:after="0"/>
        <w:jc w:val="both"/>
        <w:rPr>
          <w:rFonts w:ascii="Times New Roman" w:hAnsi="Times New Roman"/>
          <w:sz w:val="24"/>
        </w:rPr>
      </w:pPr>
      <w:r>
        <w:rPr>
          <w:rFonts w:ascii="Times New Roman" w:hAnsi="Times New Roman"/>
          <w:sz w:val="24"/>
        </w:rPr>
        <w:t>SECTION 3. </w:t>
      </w:r>
      <w:r>
        <w:rPr>
          <w:rFonts w:ascii="Times New Roman" w:hAnsi="Times New Roman"/>
          <w:sz w:val="24"/>
          <w:u w:val="single"/>
        </w:rPr>
        <w:t>Conditions to Effectiveness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amendments to the Credit Agreement set forth in Section 1 and the assignments set forth in Sections 2 shall become effective on the first date (the “</w:t>
      </w:r>
      <w:r>
        <w:rPr>
          <w:rFonts w:ascii="Times New Roman" w:hAnsi="Times New Roman"/>
          <w:sz w:val="24"/>
          <w:u w:val="single"/>
        </w:rPr>
        <w:t>Amendment Effective Date</w:t>
      </w:r>
      <w:r>
        <w:rPr>
          <w:rFonts w:ascii="Times New Roman" w:hAnsi="Times New Roman"/>
          <w:sz w:val="24"/>
        </w:rPr>
        <w:t xml:space="preserve">”) on which the following conditions have been satisfied: </w:t>
      </w:r>
    </w:p>
    <w:p>
      <w:pPr>
        <w:pStyle w:val="TextBody"/>
        <w:bidi w:val="0"/>
        <w:spacing w:before="240" w:after="0"/>
        <w:jc w:val="both"/>
        <w:rPr>
          <w:rFonts w:ascii="Times New Roman" w:hAnsi="Times New Roman"/>
          <w:sz w:val="24"/>
        </w:rPr>
      </w:pPr>
      <w:r>
        <w:rPr>
          <w:rFonts w:ascii="Times New Roman" w:hAnsi="Times New Roman"/>
          <w:sz w:val="24"/>
        </w:rPr>
        <w:t xml:space="preserve">(a) the Administrative Agent shall have received counterparts hereof executed by the Administrative Agent, the Borrower, each Swingline Lender, each Issuing Bank and each other Lender; </w:t>
      </w:r>
    </w:p>
    <w:p>
      <w:pPr>
        <w:pStyle w:val="TextBody"/>
        <w:bidi w:val="0"/>
        <w:spacing w:before="240" w:after="0"/>
        <w:jc w:val="both"/>
        <w:rPr>
          <w:rFonts w:ascii="Times New Roman" w:hAnsi="Times New Roman"/>
          <w:sz w:val="24"/>
        </w:rPr>
      </w:pPr>
      <w:r>
        <w:rPr>
          <w:rFonts w:ascii="Times New Roman" w:hAnsi="Times New Roman"/>
          <w:sz w:val="24"/>
        </w:rPr>
        <w:t xml:space="preserve">(b) the Borrower shall have paid all fees required to be paid to certain of the Joint Lead Arrangers and to the Lenders in connection with this Amendment as separately agreed; </w:t>
      </w:r>
    </w:p>
    <w:p>
      <w:pPr>
        <w:pStyle w:val="TextBody"/>
        <w:bidi w:val="0"/>
        <w:spacing w:before="240" w:after="0"/>
        <w:jc w:val="both"/>
        <w:rPr>
          <w:rFonts w:ascii="Times New Roman" w:hAnsi="Times New Roman"/>
          <w:sz w:val="24"/>
        </w:rPr>
      </w:pPr>
      <w:r>
        <w:rPr>
          <w:rFonts w:ascii="Times New Roman" w:hAnsi="Times New Roman"/>
          <w:sz w:val="24"/>
        </w:rPr>
        <w:t xml:space="preserve">(c) the Administrative Agent and the Joint Lead Arrangers shall have received payment for all reasonable and documented costs and expenses required to be paid or reimbursed under Section 12.2 of the Credit Agreement, as amended hereby; </w:t>
      </w:r>
    </w:p>
    <w:p>
      <w:pPr>
        <w:pStyle w:val="TextBody"/>
        <w:bidi w:val="0"/>
        <w:spacing w:before="240" w:after="0"/>
        <w:jc w:val="both"/>
        <w:rPr>
          <w:rFonts w:ascii="Times New Roman" w:hAnsi="Times New Roman"/>
          <w:sz w:val="24"/>
        </w:rPr>
      </w:pPr>
      <w:r>
        <w:rPr>
          <w:rFonts w:ascii="Times New Roman" w:hAnsi="Times New Roman"/>
          <w:sz w:val="24"/>
        </w:rPr>
        <w:t xml:space="preserve">(d) to the extent reasonably requested by the Administrative Agent, the Administrative Agent shall have received: </w:t>
      </w:r>
    </w:p>
    <w:p>
      <w:pPr>
        <w:pStyle w:val="TextBody"/>
        <w:bidi w:val="0"/>
        <w:spacing w:before="120" w:after="0"/>
        <w:jc w:val="both"/>
        <w:rPr>
          <w:rFonts w:ascii="Times New Roman" w:hAnsi="Times New Roman"/>
          <w:sz w:val="24"/>
        </w:rPr>
      </w:pPr>
      <w:r>
        <w:rPr>
          <w:rFonts w:ascii="Times New Roman" w:hAnsi="Times New Roman"/>
          <w:sz w:val="24"/>
        </w:rPr>
        <w:t xml:space="preserve">(i) from the Borrower, certificates and other documentation, dated the Amendment Effective Date, in form and substance substantially consistent with the certificates and other documentation delivered on the Effective Date pursuant to Section 3.1 of the Credit Agreement or otherwise reasonably acceptable to the Administrative Agent; and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Fourth Amended and Restated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(ii) a certificate of a Responsible Officer of the Borrower dated the Amendment Effective Date certifying as to the representations and warranties set forth in Section 4 of this Amendment; and </w:t>
      </w:r>
    </w:p>
    <w:p>
      <w:pPr>
        <w:pStyle w:val="TextBody"/>
        <w:bidi w:val="0"/>
        <w:spacing w:before="240" w:after="0"/>
        <w:jc w:val="both"/>
        <w:rPr>
          <w:rFonts w:ascii="Times New Roman" w:hAnsi="Times New Roman"/>
          <w:sz w:val="24"/>
        </w:rPr>
      </w:pPr>
      <w:r>
        <w:rPr>
          <w:rFonts w:ascii="Times New Roman" w:hAnsi="Times New Roman"/>
          <w:sz w:val="24"/>
        </w:rPr>
        <w:t xml:space="preserve">(e) at least five (5) Business Days prior to the Amendment Effective Date, to the extent reasonably requested in writing at least ten (10) Business Days prior to the Amendment Effective Date, the documentation that the Administrative Agent and the Lenders are required to obtain from the Borrower under Section 326 of the USA PATRIOT ACT (P.L. 107-56, 115 Stat. 272 (2001)) and under any other provision of the Patriot Act, the Bank Secrecy Act (P.L. 91-508, 84 Stat. 1118 (1970)) or any regulations under such Act or the Patriot Act that contain document collection requirements that apply to the Administrative Agent and the Lenders and (ii) to the extent the Borrower qualifies as a “legal entity customer” under the Beneficial Ownership Regulation, the Beneficial Ownership Certification to each Lender that so requests. </w:t>
      </w:r>
    </w:p>
    <w:p>
      <w:pPr>
        <w:pStyle w:val="TextBody"/>
        <w:bidi w:val="0"/>
        <w:spacing w:before="240" w:after="0"/>
        <w:jc w:val="both"/>
        <w:rPr>
          <w:rFonts w:ascii="Times New Roman" w:hAnsi="Times New Roman"/>
          <w:sz w:val="24"/>
        </w:rPr>
      </w:pPr>
      <w:r>
        <w:rPr>
          <w:rFonts w:ascii="Times New Roman" w:hAnsi="Times New Roman"/>
          <w:sz w:val="24"/>
        </w:rPr>
        <w:t>SECTION 4. </w:t>
      </w:r>
      <w:r>
        <w:rPr>
          <w:rFonts w:ascii="Times New Roman" w:hAnsi="Times New Roman"/>
          <w:sz w:val="24"/>
          <w:u w:val="single"/>
        </w:rPr>
        <w:t>Representations</w:t>
      </w:r>
      <w:r>
        <w:rPr>
          <w:rFonts w:ascii="Times New Roman" w:hAnsi="Times New Roman"/>
          <w:sz w:val="24"/>
        </w:rPr>
        <w:t xml:space="preserve">. The Borrower hereby represents and warrants that, as of the Amendment Effective Date, (i) all of the representations and warranties of the Borrower under the Credit Agreement and the other Loan Documents (other than those set forth in Section 4.1(f)(ii) and Section 4.1(i) of the Credit Agreement), in each case are true and correct at such time in all material respects, except for those representations and warranties that are qualified by materiality or Materially Adverse Effect, which shall be true and correct in all respects, both before and after giving effect to this Amendment, and after giving effect to any updates to information provided to the Lenders in accordance with the terms of the Credit Agreement except to the extent stated to have been made as of the Effective 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representations in Section 4.1(h) of the Credit Agreement shall be deemed to refer to the audited financial statements for the Borrower and its Subsidiaries on a consolidated basis for the fiscal year ended December 31, 2025, and the consolidated balance sheet of the Borrower and its Subsidiaries as of December 31, 2025, and (ii) no Default shall then exist or be caused hereby. </w:t>
      </w:r>
    </w:p>
    <w:p>
      <w:pPr>
        <w:pStyle w:val="TextBody"/>
        <w:bidi w:val="0"/>
        <w:spacing w:before="240" w:after="0"/>
        <w:jc w:val="both"/>
        <w:rPr>
          <w:rFonts w:ascii="Times New Roman" w:hAnsi="Times New Roman"/>
          <w:sz w:val="24"/>
        </w:rPr>
      </w:pPr>
      <w:r>
        <w:rPr>
          <w:rFonts w:ascii="Times New Roman" w:hAnsi="Times New Roman"/>
          <w:sz w:val="24"/>
        </w:rPr>
        <w:t>SECTION 5. </w:t>
      </w:r>
      <w:r>
        <w:rPr>
          <w:rFonts w:ascii="Times New Roman" w:hAnsi="Times New Roman"/>
          <w:sz w:val="24"/>
          <w:u w:val="single"/>
        </w:rPr>
        <w:t>Reference to and Effect on the Credit Agreement and the Other Loan</w:t>
      </w:r>
      <w:r>
        <w:rPr>
          <w:rFonts w:ascii="Times New Roman" w:hAnsi="Times New Roman"/>
          <w:sz w:val="24"/>
        </w:rPr>
        <w:t xml:space="preserve"> </w:t>
      </w:r>
      <w:r>
        <w:rPr>
          <w:rFonts w:ascii="Times New Roman" w:hAnsi="Times New Roman"/>
          <w:sz w:val="24"/>
          <w:u w:val="single"/>
        </w:rPr>
        <w:t>Documents</w:t>
      </w:r>
      <w:r>
        <w:rPr>
          <w:rFonts w:ascii="Times New Roman" w:hAnsi="Times New Roman"/>
          <w:sz w:val="24"/>
        </w:rPr>
        <w:t xml:space="preserve">. On and after the effectiveness of this Amendment, each reference in the Credit Agreement to “this Agreement”, “hereunder”, “hereof” or words of like import referring to the Credit Agreement, and each reference in any other Loan Document to “the Credit Agreement”, “thereunder”, “thereof” or words of like import referring to the Credit Agreement, shall mean and be a reference to the Amended Credit Agreement. </w:t>
      </w:r>
    </w:p>
    <w:p>
      <w:pPr>
        <w:pStyle w:val="TextBody"/>
        <w:bidi w:val="0"/>
        <w:spacing w:before="240" w:after="0"/>
        <w:jc w:val="both"/>
        <w:rPr>
          <w:rFonts w:ascii="Times New Roman" w:hAnsi="Times New Roman"/>
          <w:sz w:val="24"/>
        </w:rPr>
      </w:pPr>
      <w:r>
        <w:rPr>
          <w:rFonts w:ascii="Times New Roman" w:hAnsi="Times New Roman"/>
          <w:sz w:val="24"/>
        </w:rPr>
        <w:t xml:space="preserve">(b) The Credit Agreement and the other Loan Documents, as specifically amended by this Amendment, are and shall continue to be in full force and effect and are hereby in all respects ratified and confirmed. </w:t>
      </w:r>
    </w:p>
    <w:p>
      <w:pPr>
        <w:pStyle w:val="TextBody"/>
        <w:bidi w:val="0"/>
        <w:spacing w:before="240" w:after="0"/>
        <w:jc w:val="both"/>
        <w:rPr>
          <w:rFonts w:ascii="Times New Roman" w:hAnsi="Times New Roman"/>
          <w:sz w:val="24"/>
        </w:rPr>
      </w:pPr>
      <w:r>
        <w:rPr>
          <w:rFonts w:ascii="Times New Roman" w:hAnsi="Times New Roman"/>
          <w:sz w:val="24"/>
        </w:rPr>
        <w:t xml:space="preserve">(c) The execution, delivery and effectiveness of this Amendment shall not, except as expressly provided herein, operate as a waiver of any right, power or remedy of any Lender or the Administrative Agent under the Credit Agreement, nor constitute a waiver of any provision of the Credit Agreement. </w:t>
      </w:r>
    </w:p>
    <w:p>
      <w:pPr>
        <w:pStyle w:val="TextBody"/>
        <w:bidi w:val="0"/>
        <w:spacing w:before="240" w:after="0"/>
        <w:jc w:val="both"/>
        <w:rPr>
          <w:rFonts w:ascii="Times New Roman" w:hAnsi="Times New Roman"/>
          <w:sz w:val="24"/>
        </w:rPr>
      </w:pPr>
      <w:r>
        <w:rPr>
          <w:rFonts w:ascii="Times New Roman" w:hAnsi="Times New Roman"/>
          <w:sz w:val="24"/>
        </w:rPr>
        <w:t xml:space="preserve">(d) This Amendment is subject to the provisions of Section 12.12 of the Credit Agreement and constitutes a Loan Document.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Fourth Amended and Restated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(e) The execution, delivery and effectiveness of this Amendment shall not, except as expressly provided herein, operate as a waiver of any right, power or remedy of the Lenders, the Borrowers, or the Administrative Agent under any of the Loan Documents, nor constitute a waiver or amendment of any other provision of any of the Loan Documents or for any purpose except as expressly set forth herein. Each of the parties hereto acknowledge that this Amendment shall not be construed as a novation of the obligations under the Credit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SECTION 6. </w:t>
      </w:r>
      <w:r>
        <w:rPr>
          <w:rFonts w:ascii="Times New Roman" w:hAnsi="Times New Roman"/>
          <w:sz w:val="24"/>
          <w:u w:val="single"/>
        </w:rPr>
        <w:t>Costs and Expenses</w:t>
      </w:r>
      <w:r>
        <w:rPr>
          <w:rFonts w:ascii="Times New Roman" w:hAnsi="Times New Roman"/>
          <w:sz w:val="24"/>
        </w:rPr>
        <w:t xml:space="preserve">. The Borrower agrees to all reasonable documented out-of-pocket expenses incurred by the Administrative Agent in connection with the preparation, negotiation, execution, delivery and administration of this Amendment in accordance with the terms of Section 12.2 of the Credit Agreement, as amended hereby. </w:t>
      </w:r>
    </w:p>
    <w:p>
      <w:pPr>
        <w:pStyle w:val="TextBody"/>
        <w:bidi w:val="0"/>
        <w:spacing w:before="240" w:after="0"/>
        <w:jc w:val="both"/>
        <w:rPr>
          <w:rFonts w:ascii="Times New Roman" w:hAnsi="Times New Roman"/>
          <w:sz w:val="24"/>
        </w:rPr>
      </w:pPr>
      <w:r>
        <w:rPr>
          <w:rFonts w:ascii="Times New Roman" w:hAnsi="Times New Roman"/>
          <w:sz w:val="24"/>
        </w:rPr>
        <w:t>SECTION 7. </w:t>
      </w:r>
      <w:r>
        <w:rPr>
          <w:rFonts w:ascii="Times New Roman" w:hAnsi="Times New Roman"/>
          <w:sz w:val="24"/>
          <w:u w:val="single"/>
        </w:rPr>
        <w:t>Execution in Counterparts</w:t>
      </w:r>
      <w:r>
        <w:rPr>
          <w:rFonts w:ascii="Times New Roman" w:hAnsi="Times New Roman"/>
          <w:sz w:val="24"/>
        </w:rPr>
        <w:t xml:space="preserve">.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Agreement.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w:t>
      </w:r>
    </w:p>
    <w:p>
      <w:pPr>
        <w:pStyle w:val="TextBody"/>
        <w:bidi w:val="0"/>
        <w:spacing w:before="240" w:after="0"/>
        <w:jc w:val="both"/>
        <w:rPr>
          <w:rFonts w:ascii="Times New Roman" w:hAnsi="Times New Roman"/>
          <w:sz w:val="24"/>
        </w:rPr>
      </w:pPr>
      <w:r>
        <w:rPr>
          <w:rFonts w:ascii="Times New Roman" w:hAnsi="Times New Roman"/>
          <w:sz w:val="24"/>
        </w:rPr>
        <w:t>SECTION 8. </w:t>
      </w:r>
      <w:r>
        <w:rPr>
          <w:rFonts w:ascii="Times New Roman" w:hAnsi="Times New Roman"/>
          <w:sz w:val="24"/>
          <w:u w:val="single"/>
        </w:rPr>
        <w:t>Governing Law</w:t>
      </w:r>
      <w:r>
        <w:rPr>
          <w:rFonts w:ascii="Times New Roman" w:hAnsi="Times New Roman"/>
          <w:sz w:val="24"/>
        </w:rPr>
        <w:t xml:space="preserve">. This Amendment shall be construed in accordance with and governed by the internal laws of the State of New York applicable to agreements made and to be performed the State of New York. Sections 12.8(b) through (d) and Section 13.1 of the Credit Agreement are hereby incorporated by reference, </w:t>
      </w:r>
      <w:r>
        <w:rPr>
          <w:rFonts w:ascii="Times New Roman" w:hAnsi="Times New Roman"/>
          <w:i/>
          <w:sz w:val="24"/>
        </w:rPr>
        <w:t>mutatis mutandis</w:t>
      </w:r>
      <w:r>
        <w:rPr>
          <w:rFonts w:ascii="Times New Roman" w:hAnsi="Times New Roman"/>
          <w:sz w:val="24"/>
        </w:rPr>
        <w:t xml:space="preserve">. </w:t>
      </w:r>
    </w:p>
    <w:p>
      <w:pPr>
        <w:pStyle w:val="TextBody"/>
        <w:bidi w:val="0"/>
        <w:spacing w:before="240" w:after="0"/>
        <w:jc w:val="center"/>
        <w:rPr>
          <w:rFonts w:ascii="Times New Roman" w:hAnsi="Times New Roman"/>
          <w:sz w:val="24"/>
        </w:rPr>
      </w:pPr>
      <w:r>
        <w:rPr>
          <w:rFonts w:ascii="Times New Roman" w:hAnsi="Times New Roman"/>
          <w:sz w:val="24"/>
        </w:rPr>
        <w:t xml:space="preserve">[Remainder of Page Intentionally Left Blank]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Fourth Amended and Restated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undersigned have duly executed this Amendment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7"/>
        <w:gridCol w:w="60"/>
        <w:gridCol w:w="3375"/>
      </w:tblGrid>
      <w:tr>
        <w:trPr/>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AMERICAN TOWER CORPORATION</w:t>
            </w:r>
          </w:p>
        </w:tc>
      </w:tr>
      <w:tr>
        <w:trPr>
          <w:trHeight w:val="36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vAlign w:val="bottom"/>
          </w:tcPr>
          <w:p>
            <w:pPr>
              <w:pStyle w:val="TableContents"/>
              <w:bidi w:val="0"/>
              <w:spacing w:before="0" w:after="283"/>
              <w:jc w:val="left"/>
              <w:rPr/>
            </w:pPr>
            <w:r>
              <w:rPr/>
              <w:t>/s/ Rodney M. Smith</w:t>
            </w:r>
          </w:p>
        </w:tc>
      </w:tr>
      <w:tr>
        <w:trPr/>
        <w:tc>
          <w:tcPr>
            <w:tcW w:w="64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Rodney M. Smith</w:t>
            </w:r>
          </w:p>
        </w:tc>
      </w:tr>
      <w:tr>
        <w:trPr/>
        <w:tc>
          <w:tcPr>
            <w:tcW w:w="64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Executive Vice President, Chief</w:t>
            </w:r>
          </w:p>
        </w:tc>
      </w:tr>
      <w:tr>
        <w:trPr/>
        <w:tc>
          <w:tcPr>
            <w:tcW w:w="6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3255"/>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TORONTO DOMINION (TEXAS) LLC,</w:t>
            </w:r>
          </w:p>
          <w:p>
            <w:pPr>
              <w:pStyle w:val="TableContents"/>
              <w:bidi w:val="0"/>
              <w:spacing w:before="0" w:after="20"/>
              <w:jc w:val="left"/>
              <w:rPr>
                <w:rFonts w:ascii="Times New Roman" w:hAnsi="Times New Roman"/>
                <w:sz w:val="24"/>
              </w:rPr>
            </w:pPr>
            <w:r>
              <w:rPr>
                <w:rFonts w:ascii="Times New Roman" w:hAnsi="Times New Roman"/>
                <w:sz w:val="24"/>
              </w:rPr>
              <w:t>as Administrative Agent</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331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5" w:type="dxa"/>
            <w:tcBorders>
              <w:bottom w:val="single" w:sz="2" w:space="0" w:color="000000"/>
            </w:tcBorders>
            <w:tcMar>
              <w:bottom w:w="28" w:type="dxa"/>
            </w:tcMar>
            <w:vAlign w:val="bottom"/>
          </w:tcPr>
          <w:p>
            <w:pPr>
              <w:pStyle w:val="TableContents"/>
              <w:bidi w:val="0"/>
              <w:spacing w:before="0" w:after="283"/>
              <w:jc w:val="left"/>
              <w:rPr/>
            </w:pPr>
            <w:r>
              <w:rPr/>
              <w:t>/s/ Ronald Davis</w:t>
            </w:r>
          </w:p>
        </w:tc>
      </w:tr>
      <w:tr>
        <w:trPr/>
        <w:tc>
          <w:tcPr>
            <w:tcW w:w="7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Ronald Davis</w:t>
            </w:r>
          </w:p>
        </w:tc>
      </w:tr>
      <w:tr>
        <w:trPr/>
        <w:tc>
          <w:tcPr>
            <w:tcW w:w="7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0"/>
        <w:gridCol w:w="60"/>
        <w:gridCol w:w="3262"/>
      </w:tblGrid>
      <w:tr>
        <w:trPr/>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THE TORONTO-DOMINION BANK, NEW YORK BRANCH,</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60" w:type="dxa"/>
            <w:tcBorders/>
            <w:vAlign w:val="center"/>
          </w:tcPr>
          <w:p>
            <w:pPr>
              <w:pStyle w:val="TableContents"/>
              <w:bidi w:val="0"/>
              <w:spacing w:before="0" w:after="283"/>
              <w:jc w:val="left"/>
              <w:rPr>
                <w:sz w:val="4"/>
                <w:szCs w:val="4"/>
              </w:rPr>
            </w:pPr>
            <w:r>
              <w:rPr>
                <w:sz w:val="4"/>
                <w:szCs w:val="4"/>
              </w:rPr>
            </w:r>
          </w:p>
        </w:tc>
        <w:tc>
          <w:tcPr>
            <w:tcW w:w="3322" w:type="dxa"/>
            <w:gridSpan w:val="2"/>
            <w:tcBorders/>
            <w:vAlign w:val="center"/>
          </w:tcPr>
          <w:p>
            <w:pPr>
              <w:pStyle w:val="TableContents"/>
              <w:bidi w:val="0"/>
              <w:spacing w:before="0" w:after="283"/>
              <w:jc w:val="left"/>
              <w:rPr>
                <w:sz w:val="4"/>
                <w:szCs w:val="4"/>
              </w:rPr>
            </w:pPr>
            <w:r>
              <w:rPr>
                <w:sz w:val="4"/>
                <w:szCs w:val="4"/>
              </w:rPr>
            </w:r>
          </w:p>
        </w:tc>
      </w:tr>
      <w:tr>
        <w:trPr/>
        <w:tc>
          <w:tcPr>
            <w:tcW w:w="76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62" w:type="dxa"/>
            <w:tcBorders>
              <w:bottom w:val="single" w:sz="2" w:space="0" w:color="000000"/>
            </w:tcBorders>
            <w:tcMar>
              <w:bottom w:w="28" w:type="dxa"/>
            </w:tcMar>
            <w:vAlign w:val="bottom"/>
          </w:tcPr>
          <w:p>
            <w:pPr>
              <w:pStyle w:val="TableContents"/>
              <w:bidi w:val="0"/>
              <w:spacing w:before="0" w:after="283"/>
              <w:jc w:val="left"/>
              <w:rPr/>
            </w:pPr>
            <w:r>
              <w:rPr/>
              <w:t>/s/ John Colquhoun</w:t>
            </w:r>
          </w:p>
        </w:tc>
      </w:tr>
      <w:tr>
        <w:trPr/>
        <w:tc>
          <w:tcPr>
            <w:tcW w:w="76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62" w:type="dxa"/>
            <w:tcBorders/>
            <w:vAlign w:val="bottom"/>
          </w:tcPr>
          <w:p>
            <w:pPr>
              <w:pStyle w:val="TableContents"/>
              <w:bidi w:val="0"/>
              <w:spacing w:before="0" w:after="283"/>
              <w:jc w:val="left"/>
              <w:rPr/>
            </w:pPr>
            <w:r>
              <w:rPr/>
              <w:t>Jon Colquhoun</w:t>
            </w:r>
          </w:p>
        </w:tc>
      </w:tr>
      <w:tr>
        <w:trPr/>
        <w:tc>
          <w:tcPr>
            <w:tcW w:w="76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62"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MIZUHO BANK, LTD.,</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8" w:type="dxa"/>
            <w:tcBorders>
              <w:bottom w:val="single" w:sz="2" w:space="0" w:color="000000"/>
            </w:tcBorders>
            <w:tcMar>
              <w:bottom w:w="28" w:type="dxa"/>
            </w:tcMar>
            <w:vAlign w:val="bottom"/>
          </w:tcPr>
          <w:p>
            <w:pPr>
              <w:pStyle w:val="TableContents"/>
              <w:bidi w:val="0"/>
              <w:spacing w:before="0" w:after="283"/>
              <w:jc w:val="left"/>
              <w:rPr/>
            </w:pPr>
            <w:r>
              <w:rPr/>
              <w:t>/s/ Tracy Rahn</w:t>
            </w:r>
          </w:p>
        </w:tc>
      </w:tr>
      <w:tr>
        <w:trPr/>
        <w:tc>
          <w:tcPr>
            <w:tcW w:w="7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Tracy Rahn</w:t>
            </w:r>
          </w:p>
        </w:tc>
      </w:tr>
      <w:tr>
        <w:trPr/>
        <w:tc>
          <w:tcPr>
            <w:tcW w:w="7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0"/>
        <w:gridCol w:w="60"/>
        <w:gridCol w:w="3252"/>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BANK OF AMERICA, N.A.,</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70" w:type="dxa"/>
            <w:tcBorders/>
            <w:vAlign w:val="center"/>
          </w:tcPr>
          <w:p>
            <w:pPr>
              <w:pStyle w:val="TableContents"/>
              <w:bidi w:val="0"/>
              <w:spacing w:before="0" w:after="283"/>
              <w:jc w:val="left"/>
              <w:rPr>
                <w:sz w:val="4"/>
                <w:szCs w:val="4"/>
              </w:rPr>
            </w:pPr>
            <w:r>
              <w:rPr>
                <w:sz w:val="4"/>
                <w:szCs w:val="4"/>
              </w:rPr>
            </w:r>
          </w:p>
        </w:tc>
        <w:tc>
          <w:tcPr>
            <w:tcW w:w="3312"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2" w:type="dxa"/>
            <w:tcBorders>
              <w:bottom w:val="single" w:sz="2" w:space="0" w:color="000000"/>
            </w:tcBorders>
            <w:tcMar>
              <w:bottom w:w="28" w:type="dxa"/>
            </w:tcMar>
            <w:vAlign w:val="bottom"/>
          </w:tcPr>
          <w:p>
            <w:pPr>
              <w:pStyle w:val="TableContents"/>
              <w:bidi w:val="0"/>
              <w:spacing w:before="0" w:after="283"/>
              <w:jc w:val="left"/>
              <w:rPr/>
            </w:pPr>
            <w:r>
              <w:rPr/>
              <w:t>/s/ Lindsay Sames</w:t>
            </w:r>
          </w:p>
        </w:tc>
      </w:tr>
      <w:tr>
        <w:trPr/>
        <w:tc>
          <w:tcPr>
            <w:tcW w:w="77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2" w:type="dxa"/>
            <w:tcBorders/>
            <w:vAlign w:val="bottom"/>
          </w:tcPr>
          <w:p>
            <w:pPr>
              <w:pStyle w:val="TableContents"/>
              <w:bidi w:val="0"/>
              <w:spacing w:before="0" w:after="283"/>
              <w:jc w:val="left"/>
              <w:rPr/>
            </w:pPr>
            <w:r>
              <w:rPr/>
              <w:t>Lindsay Sames</w:t>
            </w:r>
          </w:p>
        </w:tc>
      </w:tr>
      <w:tr>
        <w:trPr/>
        <w:tc>
          <w:tcPr>
            <w:tcW w:w="77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2"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8"/>
        <w:gridCol w:w="60"/>
        <w:gridCol w:w="3254"/>
      </w:tblGrid>
      <w:tr>
        <w:trPr/>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CITIBANK, N.A.,</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68" w:type="dxa"/>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4" w:type="dxa"/>
            <w:tcBorders>
              <w:bottom w:val="single" w:sz="2" w:space="0" w:color="000000"/>
            </w:tcBorders>
            <w:tcMar>
              <w:bottom w:w="28" w:type="dxa"/>
            </w:tcMar>
            <w:vAlign w:val="bottom"/>
          </w:tcPr>
          <w:p>
            <w:pPr>
              <w:pStyle w:val="TableContents"/>
              <w:bidi w:val="0"/>
              <w:spacing w:before="0" w:after="283"/>
              <w:jc w:val="left"/>
              <w:rPr/>
            </w:pPr>
            <w:r>
              <w:rPr/>
              <w:t>/s/ Michael Vondriska</w:t>
            </w:r>
          </w:p>
        </w:tc>
      </w:tr>
      <w:tr>
        <w:trPr/>
        <w:tc>
          <w:tcPr>
            <w:tcW w:w="76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4" w:type="dxa"/>
            <w:tcBorders/>
            <w:vAlign w:val="bottom"/>
          </w:tcPr>
          <w:p>
            <w:pPr>
              <w:pStyle w:val="TableContents"/>
              <w:bidi w:val="0"/>
              <w:spacing w:before="0" w:after="283"/>
              <w:jc w:val="left"/>
              <w:rPr/>
            </w:pPr>
            <w:r>
              <w:rPr/>
              <w:t>Michael Vondriska</w:t>
            </w:r>
          </w:p>
        </w:tc>
      </w:tr>
      <w:tr>
        <w:trPr/>
        <w:tc>
          <w:tcPr>
            <w:tcW w:w="76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9"/>
        <w:gridCol w:w="60"/>
        <w:gridCol w:w="3263"/>
      </w:tblGrid>
      <w:tr>
        <w:trPr/>
        <w:tc>
          <w:tcPr>
            <w:tcW w:w="7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JPMORGAN CHASE BANK, N.A.,</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59" w:type="dxa"/>
            <w:tcBorders/>
            <w:vAlign w:val="center"/>
          </w:tcPr>
          <w:p>
            <w:pPr>
              <w:pStyle w:val="TableContents"/>
              <w:bidi w:val="0"/>
              <w:spacing w:before="0" w:after="283"/>
              <w:jc w:val="left"/>
              <w:rPr>
                <w:sz w:val="4"/>
                <w:szCs w:val="4"/>
              </w:rPr>
            </w:pPr>
            <w:r>
              <w:rPr>
                <w:sz w:val="4"/>
                <w:szCs w:val="4"/>
              </w:rPr>
            </w:r>
          </w:p>
        </w:tc>
        <w:tc>
          <w:tcPr>
            <w:tcW w:w="3323" w:type="dxa"/>
            <w:gridSpan w:val="2"/>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63" w:type="dxa"/>
            <w:tcBorders>
              <w:bottom w:val="single" w:sz="2" w:space="0" w:color="000000"/>
            </w:tcBorders>
            <w:tcMar>
              <w:bottom w:w="28" w:type="dxa"/>
            </w:tcMar>
            <w:vAlign w:val="bottom"/>
          </w:tcPr>
          <w:p>
            <w:pPr>
              <w:pStyle w:val="TableContents"/>
              <w:bidi w:val="0"/>
              <w:spacing w:before="0" w:after="283"/>
              <w:jc w:val="left"/>
              <w:rPr/>
            </w:pPr>
            <w:r>
              <w:rPr/>
              <w:t>/s/ Ryan Zimmerman</w:t>
            </w:r>
          </w:p>
        </w:tc>
      </w:tr>
      <w:tr>
        <w:trPr/>
        <w:tc>
          <w:tcPr>
            <w:tcW w:w="75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pPr>
            <w:r>
              <w:rPr/>
              <w:t>Ryan Zimmerman</w:t>
            </w:r>
          </w:p>
        </w:tc>
      </w:tr>
      <w:tr>
        <w:trPr/>
        <w:tc>
          <w:tcPr>
            <w:tcW w:w="75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pPr>
            <w:r>
              <w:rPr/>
              <w:t>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3255"/>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MORGAN STANLEY BANK, N.A.</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331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5" w:type="dxa"/>
            <w:tcBorders>
              <w:bottom w:val="single" w:sz="2" w:space="0" w:color="000000"/>
            </w:tcBorders>
            <w:tcMar>
              <w:bottom w:w="28" w:type="dxa"/>
            </w:tcMar>
            <w:vAlign w:val="bottom"/>
          </w:tcPr>
          <w:p>
            <w:pPr>
              <w:pStyle w:val="TableContents"/>
              <w:bidi w:val="0"/>
              <w:spacing w:before="0" w:after="283"/>
              <w:jc w:val="left"/>
              <w:rPr/>
            </w:pPr>
            <w:r>
              <w:rPr/>
              <w:t>/s/ Michael King</w:t>
            </w:r>
          </w:p>
        </w:tc>
      </w:tr>
      <w:tr>
        <w:trPr/>
        <w:tc>
          <w:tcPr>
            <w:tcW w:w="7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Michael King</w:t>
            </w:r>
          </w:p>
        </w:tc>
      </w:tr>
      <w:tr>
        <w:trPr/>
        <w:tc>
          <w:tcPr>
            <w:tcW w:w="7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MUFG Bank, Ltd.,</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8" w:type="dxa"/>
            <w:tcBorders>
              <w:bottom w:val="single" w:sz="2" w:space="0" w:color="000000"/>
            </w:tcBorders>
            <w:tcMar>
              <w:bottom w:w="28" w:type="dxa"/>
            </w:tcMar>
            <w:vAlign w:val="bottom"/>
          </w:tcPr>
          <w:p>
            <w:pPr>
              <w:pStyle w:val="TableContents"/>
              <w:bidi w:val="0"/>
              <w:spacing w:before="0" w:after="283"/>
              <w:jc w:val="left"/>
              <w:rPr/>
            </w:pPr>
            <w:r>
              <w:rPr/>
              <w:t>/s/ Thomas E. Lane</w:t>
            </w:r>
          </w:p>
        </w:tc>
      </w:tr>
      <w:tr>
        <w:trPr/>
        <w:tc>
          <w:tcPr>
            <w:tcW w:w="7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Thomas E. Lane</w:t>
            </w:r>
          </w:p>
        </w:tc>
      </w:tr>
      <w:tr>
        <w:trPr/>
        <w:tc>
          <w:tcPr>
            <w:tcW w:w="7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3255"/>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ROYAL BANK OF CANADA,</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331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5" w:type="dxa"/>
            <w:tcBorders>
              <w:bottom w:val="single" w:sz="2" w:space="0" w:color="000000"/>
            </w:tcBorders>
            <w:tcMar>
              <w:bottom w:w="28" w:type="dxa"/>
            </w:tcMar>
            <w:vAlign w:val="bottom"/>
          </w:tcPr>
          <w:p>
            <w:pPr>
              <w:pStyle w:val="TableContents"/>
              <w:bidi w:val="0"/>
              <w:spacing w:before="0" w:after="283"/>
              <w:jc w:val="left"/>
              <w:rPr/>
            </w:pPr>
            <w:r>
              <w:rPr/>
              <w:t>/s/ Theodore Brown</w:t>
            </w:r>
          </w:p>
        </w:tc>
      </w:tr>
      <w:tr>
        <w:trPr/>
        <w:tc>
          <w:tcPr>
            <w:tcW w:w="7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Theodore Brown</w:t>
            </w:r>
          </w:p>
        </w:tc>
      </w:tr>
      <w:tr>
        <w:trPr/>
        <w:tc>
          <w:tcPr>
            <w:tcW w:w="7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83"/>
        <w:gridCol w:w="60"/>
        <w:gridCol w:w="3239"/>
      </w:tblGrid>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SUMITOMO MITSUI BANKING CORPORATION,</w:t>
            </w:r>
          </w:p>
          <w:p>
            <w:pPr>
              <w:pStyle w:val="TableContents"/>
              <w:bidi w:val="0"/>
              <w:spacing w:before="0" w:after="20"/>
              <w:jc w:val="left"/>
              <w:rPr>
                <w:rFonts w:ascii="Times New Roman" w:hAnsi="Times New Roman"/>
                <w:sz w:val="24"/>
              </w:rPr>
            </w:pPr>
            <w:r>
              <w:rPr>
                <w:rFonts w:ascii="Times New Roman" w:hAnsi="Times New Roman"/>
                <w:sz w:val="24"/>
              </w:rPr>
              <w:t>as a Lender and Issuing Bank</w:t>
            </w:r>
          </w:p>
        </w:tc>
      </w:tr>
      <w:tr>
        <w:trPr>
          <w:trHeight w:val="240" w:hRule="atLeast"/>
        </w:trPr>
        <w:tc>
          <w:tcPr>
            <w:tcW w:w="783" w:type="dxa"/>
            <w:tcBorders/>
            <w:vAlign w:val="center"/>
          </w:tcPr>
          <w:p>
            <w:pPr>
              <w:pStyle w:val="TableContents"/>
              <w:bidi w:val="0"/>
              <w:spacing w:before="0" w:after="283"/>
              <w:jc w:val="left"/>
              <w:rPr>
                <w:sz w:val="4"/>
                <w:szCs w:val="4"/>
              </w:rPr>
            </w:pPr>
            <w:r>
              <w:rPr>
                <w:sz w:val="4"/>
                <w:szCs w:val="4"/>
              </w:rPr>
            </w:r>
          </w:p>
        </w:tc>
        <w:tc>
          <w:tcPr>
            <w:tcW w:w="3299" w:type="dxa"/>
            <w:gridSpan w:val="2"/>
            <w:tcBorders/>
            <w:vAlign w:val="center"/>
          </w:tcPr>
          <w:p>
            <w:pPr>
              <w:pStyle w:val="TableContents"/>
              <w:bidi w:val="0"/>
              <w:spacing w:before="0" w:after="283"/>
              <w:jc w:val="left"/>
              <w:rPr>
                <w:sz w:val="4"/>
                <w:szCs w:val="4"/>
              </w:rPr>
            </w:pPr>
            <w:r>
              <w:rPr>
                <w:sz w:val="4"/>
                <w:szCs w:val="4"/>
              </w:rPr>
            </w:r>
          </w:p>
        </w:tc>
      </w:tr>
      <w:tr>
        <w:trPr/>
        <w:tc>
          <w:tcPr>
            <w:tcW w:w="78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9" w:type="dxa"/>
            <w:tcBorders>
              <w:bottom w:val="single" w:sz="2" w:space="0" w:color="000000"/>
            </w:tcBorders>
            <w:tcMar>
              <w:bottom w:w="28" w:type="dxa"/>
            </w:tcMar>
            <w:vAlign w:val="bottom"/>
          </w:tcPr>
          <w:p>
            <w:pPr>
              <w:pStyle w:val="TableContents"/>
              <w:bidi w:val="0"/>
              <w:spacing w:before="0" w:after="283"/>
              <w:jc w:val="left"/>
              <w:rPr/>
            </w:pPr>
            <w:r>
              <w:rPr/>
              <w:t>/s/ Nabeel Shah</w:t>
            </w:r>
          </w:p>
        </w:tc>
      </w:tr>
      <w:tr>
        <w:trPr/>
        <w:tc>
          <w:tcPr>
            <w:tcW w:w="78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9" w:type="dxa"/>
            <w:tcBorders/>
            <w:vAlign w:val="bottom"/>
          </w:tcPr>
          <w:p>
            <w:pPr>
              <w:pStyle w:val="TableContents"/>
              <w:bidi w:val="0"/>
              <w:spacing w:before="0" w:after="283"/>
              <w:jc w:val="left"/>
              <w:rPr/>
            </w:pPr>
            <w:r>
              <w:rPr/>
              <w:t>Nabeel Shah</w:t>
            </w:r>
          </w:p>
        </w:tc>
      </w:tr>
      <w:tr>
        <w:trPr/>
        <w:tc>
          <w:tcPr>
            <w:tcW w:w="78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9" w:type="dxa"/>
            <w:tcBorders/>
            <w:vAlign w:val="bottom"/>
          </w:tcPr>
          <w:p>
            <w:pPr>
              <w:pStyle w:val="TableContents"/>
              <w:bidi w:val="0"/>
              <w:spacing w:before="0" w:after="283"/>
              <w:jc w:val="left"/>
              <w:rPr/>
            </w:pPr>
            <w:r>
              <w:rPr/>
              <w:t>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Banco Bilboa Vizcaya Argentaria, S.A. New 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8" w:type="dxa"/>
            <w:tcBorders>
              <w:bottom w:val="single" w:sz="2" w:space="0" w:color="000000"/>
            </w:tcBorders>
            <w:tcMar>
              <w:bottom w:w="28" w:type="dxa"/>
            </w:tcMar>
            <w:vAlign w:val="bottom"/>
          </w:tcPr>
          <w:p>
            <w:pPr>
              <w:pStyle w:val="TableContents"/>
              <w:bidi w:val="0"/>
              <w:spacing w:before="0" w:after="283"/>
              <w:jc w:val="left"/>
              <w:rPr/>
            </w:pPr>
            <w:r>
              <w:rPr/>
              <w:t>/s/ Brian Crowley</w:t>
            </w:r>
          </w:p>
        </w:tc>
      </w:tr>
      <w:tr>
        <w:trPr/>
        <w:tc>
          <w:tcPr>
            <w:tcW w:w="7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Brian Crowley</w:t>
            </w:r>
          </w:p>
        </w:tc>
      </w:tr>
      <w:tr>
        <w:trPr/>
        <w:tc>
          <w:tcPr>
            <w:tcW w:w="7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Managing Director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8" w:type="dxa"/>
            <w:tcBorders>
              <w:bottom w:val="single" w:sz="2" w:space="0" w:color="000000"/>
            </w:tcBorders>
            <w:tcMar>
              <w:bottom w:w="28" w:type="dxa"/>
            </w:tcMar>
            <w:vAlign w:val="bottom"/>
          </w:tcPr>
          <w:p>
            <w:pPr>
              <w:pStyle w:val="TableContents"/>
              <w:bidi w:val="0"/>
              <w:spacing w:before="0" w:after="283"/>
              <w:jc w:val="left"/>
              <w:rPr/>
            </w:pPr>
            <w:r>
              <w:rPr/>
              <w:t>/s/ Armen Semizian</w:t>
            </w:r>
          </w:p>
        </w:tc>
      </w:tr>
      <w:tr>
        <w:trPr/>
        <w:tc>
          <w:tcPr>
            <w:tcW w:w="7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Armen Semizian</w:t>
            </w:r>
          </w:p>
        </w:tc>
      </w:tr>
      <w:tr>
        <w:trPr/>
        <w:tc>
          <w:tcPr>
            <w:tcW w:w="7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BNP PARIBAS,</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8" w:type="dxa"/>
            <w:tcBorders>
              <w:bottom w:val="single" w:sz="2" w:space="0" w:color="000000"/>
            </w:tcBorders>
            <w:tcMar>
              <w:bottom w:w="28" w:type="dxa"/>
            </w:tcMar>
            <w:vAlign w:val="bottom"/>
          </w:tcPr>
          <w:p>
            <w:pPr>
              <w:pStyle w:val="TableContents"/>
              <w:bidi w:val="0"/>
              <w:spacing w:before="0" w:after="283"/>
              <w:jc w:val="left"/>
              <w:rPr/>
            </w:pPr>
            <w:r>
              <w:rPr/>
              <w:t>/s/ Maria Mulic</w:t>
            </w:r>
          </w:p>
        </w:tc>
      </w:tr>
      <w:tr>
        <w:trPr/>
        <w:tc>
          <w:tcPr>
            <w:tcW w:w="7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Maria Mulic</w:t>
            </w:r>
          </w:p>
        </w:tc>
      </w:tr>
      <w:tr>
        <w:trPr/>
        <w:tc>
          <w:tcPr>
            <w:tcW w:w="7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Managing Director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8" w:type="dxa"/>
            <w:tcBorders>
              <w:bottom w:val="single" w:sz="2" w:space="0" w:color="000000"/>
            </w:tcBorders>
            <w:tcMar>
              <w:bottom w:w="28" w:type="dxa"/>
            </w:tcMar>
            <w:vAlign w:val="bottom"/>
          </w:tcPr>
          <w:p>
            <w:pPr>
              <w:pStyle w:val="TableContents"/>
              <w:bidi w:val="0"/>
              <w:spacing w:before="0" w:after="283"/>
              <w:jc w:val="left"/>
              <w:rPr/>
            </w:pPr>
            <w:r>
              <w:rPr/>
              <w:t>/s/ Melody Moss</w:t>
            </w:r>
          </w:p>
        </w:tc>
      </w:tr>
      <w:tr>
        <w:trPr/>
        <w:tc>
          <w:tcPr>
            <w:tcW w:w="7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Melody Moss</w:t>
            </w:r>
          </w:p>
        </w:tc>
      </w:tr>
      <w:tr>
        <w:trPr/>
        <w:tc>
          <w:tcPr>
            <w:tcW w:w="7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7"/>
        <w:gridCol w:w="60"/>
        <w:gridCol w:w="3225"/>
      </w:tblGrid>
      <w:tr>
        <w:trPr/>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CREDIT AGRICOLE CORPORATE AND INVESTMENT BANK</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97" w:type="dxa"/>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5" w:type="dxa"/>
            <w:tcBorders>
              <w:bottom w:val="single" w:sz="2" w:space="0" w:color="000000"/>
            </w:tcBorders>
            <w:tcMar>
              <w:bottom w:w="28" w:type="dxa"/>
            </w:tcMar>
            <w:vAlign w:val="bottom"/>
          </w:tcPr>
          <w:p>
            <w:pPr>
              <w:pStyle w:val="TableContents"/>
              <w:bidi w:val="0"/>
              <w:spacing w:before="0" w:after="283"/>
              <w:jc w:val="left"/>
              <w:rPr/>
            </w:pPr>
            <w:r>
              <w:rPr/>
              <w:t>/s/ Jill Wong</w:t>
            </w:r>
          </w:p>
        </w:tc>
      </w:tr>
      <w:tr>
        <w:trPr/>
        <w:tc>
          <w:tcPr>
            <w:tcW w:w="79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25" w:type="dxa"/>
            <w:tcBorders/>
            <w:vAlign w:val="bottom"/>
          </w:tcPr>
          <w:p>
            <w:pPr>
              <w:pStyle w:val="TableContents"/>
              <w:bidi w:val="0"/>
              <w:spacing w:before="0" w:after="283"/>
              <w:jc w:val="left"/>
              <w:rPr/>
            </w:pPr>
            <w:r>
              <w:rPr/>
              <w:t>Jill Wong</w:t>
            </w:r>
          </w:p>
        </w:tc>
      </w:tr>
      <w:tr>
        <w:trPr/>
        <w:tc>
          <w:tcPr>
            <w:tcW w:w="79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25" w:type="dxa"/>
            <w:tcBorders/>
            <w:vAlign w:val="bottom"/>
          </w:tcPr>
          <w:p>
            <w:pPr>
              <w:pStyle w:val="TableContents"/>
              <w:bidi w:val="0"/>
              <w:spacing w:before="0" w:after="283"/>
              <w:jc w:val="left"/>
              <w:rPr/>
            </w:pPr>
            <w:r>
              <w:rPr/>
              <w:t>Director</w:t>
            </w:r>
          </w:p>
        </w:tc>
      </w:tr>
      <w:tr>
        <w:trPr>
          <w:trHeight w:val="240" w:hRule="atLeast"/>
        </w:trPr>
        <w:tc>
          <w:tcPr>
            <w:tcW w:w="797" w:type="dxa"/>
            <w:tcBorders/>
            <w:vAlign w:val="center"/>
          </w:tcPr>
          <w:p>
            <w:pPr>
              <w:pStyle w:val="TableContents"/>
              <w:bidi w:val="0"/>
              <w:spacing w:before="0" w:after="283"/>
              <w:jc w:val="left"/>
              <w:rPr>
                <w:sz w:val="4"/>
                <w:szCs w:val="4"/>
              </w:rPr>
            </w:pPr>
            <w:r>
              <w:rPr>
                <w:sz w:val="4"/>
                <w:szCs w:val="4"/>
              </w:rPr>
            </w:r>
          </w:p>
        </w:tc>
        <w:tc>
          <w:tcPr>
            <w:tcW w:w="3285"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5" w:type="dxa"/>
            <w:tcBorders>
              <w:bottom w:val="single" w:sz="2" w:space="0" w:color="000000"/>
            </w:tcBorders>
            <w:tcMar>
              <w:bottom w:w="28" w:type="dxa"/>
            </w:tcMar>
            <w:vAlign w:val="bottom"/>
          </w:tcPr>
          <w:p>
            <w:pPr>
              <w:pStyle w:val="TableContents"/>
              <w:bidi w:val="0"/>
              <w:spacing w:before="0" w:after="283"/>
              <w:jc w:val="left"/>
              <w:rPr/>
            </w:pPr>
            <w:r>
              <w:rPr/>
              <w:t>/s/ Gordon Yip</w:t>
            </w:r>
          </w:p>
        </w:tc>
      </w:tr>
      <w:tr>
        <w:trPr/>
        <w:tc>
          <w:tcPr>
            <w:tcW w:w="79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25" w:type="dxa"/>
            <w:tcBorders/>
            <w:vAlign w:val="bottom"/>
          </w:tcPr>
          <w:p>
            <w:pPr>
              <w:pStyle w:val="TableContents"/>
              <w:bidi w:val="0"/>
              <w:spacing w:before="0" w:after="283"/>
              <w:jc w:val="left"/>
              <w:rPr/>
            </w:pPr>
            <w:r>
              <w:rPr/>
              <w:t>Gordon Yip</w:t>
            </w:r>
          </w:p>
        </w:tc>
      </w:tr>
      <w:tr>
        <w:trPr/>
        <w:tc>
          <w:tcPr>
            <w:tcW w:w="79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25"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2"/>
        <w:gridCol w:w="61"/>
        <w:gridCol w:w="3249"/>
      </w:tblGrid>
      <w:tr>
        <w:trPr/>
        <w:tc>
          <w:tcPr>
            <w:tcW w:w="7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ING Bank N.V., Dublin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72" w:type="dxa"/>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49" w:type="dxa"/>
            <w:tcBorders>
              <w:bottom w:val="single" w:sz="2" w:space="0" w:color="000000"/>
            </w:tcBorders>
            <w:tcMar>
              <w:bottom w:w="28" w:type="dxa"/>
            </w:tcMar>
            <w:vAlign w:val="bottom"/>
          </w:tcPr>
          <w:p>
            <w:pPr>
              <w:pStyle w:val="TableContents"/>
              <w:bidi w:val="0"/>
              <w:spacing w:before="0" w:after="283"/>
              <w:jc w:val="left"/>
              <w:rPr/>
            </w:pPr>
            <w:r>
              <w:rPr/>
              <w:t>/s/ Rory Fitzgerald</w:t>
            </w:r>
          </w:p>
        </w:tc>
      </w:tr>
      <w:tr>
        <w:trPr/>
        <w:tc>
          <w:tcPr>
            <w:tcW w:w="7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283"/>
              <w:jc w:val="left"/>
              <w:rPr/>
            </w:pPr>
            <w:r>
              <w:rPr/>
              <w:t>Rory Fitzgerald</w:t>
            </w:r>
          </w:p>
        </w:tc>
      </w:tr>
      <w:tr>
        <w:trPr/>
        <w:tc>
          <w:tcPr>
            <w:tcW w:w="7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283"/>
              <w:jc w:val="left"/>
              <w:rPr/>
            </w:pPr>
            <w:r>
              <w:rPr/>
              <w:t>Director</w:t>
            </w:r>
          </w:p>
        </w:tc>
      </w:tr>
      <w:tr>
        <w:trPr>
          <w:trHeight w:val="240" w:hRule="atLeast"/>
        </w:trPr>
        <w:tc>
          <w:tcPr>
            <w:tcW w:w="772" w:type="dxa"/>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49" w:type="dxa"/>
            <w:tcBorders>
              <w:bottom w:val="single" w:sz="2" w:space="0" w:color="000000"/>
            </w:tcBorders>
            <w:tcMar>
              <w:bottom w:w="28" w:type="dxa"/>
            </w:tcMar>
            <w:vAlign w:val="bottom"/>
          </w:tcPr>
          <w:p>
            <w:pPr>
              <w:pStyle w:val="TableContents"/>
              <w:bidi w:val="0"/>
              <w:spacing w:before="0" w:after="283"/>
              <w:jc w:val="left"/>
              <w:rPr/>
            </w:pPr>
            <w:r>
              <w:rPr/>
              <w:t>/s/ Louise Gough</w:t>
            </w:r>
          </w:p>
        </w:tc>
      </w:tr>
      <w:tr>
        <w:trPr/>
        <w:tc>
          <w:tcPr>
            <w:tcW w:w="7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283"/>
              <w:jc w:val="left"/>
              <w:rPr/>
            </w:pPr>
            <w:r>
              <w:rPr/>
              <w:t>Louise Gough</w:t>
            </w:r>
          </w:p>
        </w:tc>
      </w:tr>
      <w:tr>
        <w:trPr/>
        <w:tc>
          <w:tcPr>
            <w:tcW w:w="7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0"/>
        <w:gridCol w:w="60"/>
        <w:gridCol w:w="3252"/>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The Bank of Nova Scotia,</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70" w:type="dxa"/>
            <w:tcBorders/>
            <w:vAlign w:val="center"/>
          </w:tcPr>
          <w:p>
            <w:pPr>
              <w:pStyle w:val="TableContents"/>
              <w:bidi w:val="0"/>
              <w:spacing w:before="0" w:after="283"/>
              <w:jc w:val="left"/>
              <w:rPr>
                <w:sz w:val="4"/>
                <w:szCs w:val="4"/>
              </w:rPr>
            </w:pPr>
            <w:r>
              <w:rPr>
                <w:sz w:val="4"/>
                <w:szCs w:val="4"/>
              </w:rPr>
            </w:r>
          </w:p>
        </w:tc>
        <w:tc>
          <w:tcPr>
            <w:tcW w:w="3312"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2" w:type="dxa"/>
            <w:tcBorders>
              <w:bottom w:val="single" w:sz="2" w:space="0" w:color="000000"/>
            </w:tcBorders>
            <w:tcMar>
              <w:bottom w:w="28" w:type="dxa"/>
            </w:tcMar>
            <w:vAlign w:val="bottom"/>
          </w:tcPr>
          <w:p>
            <w:pPr>
              <w:pStyle w:val="TableContents"/>
              <w:bidi w:val="0"/>
              <w:spacing w:before="0" w:after="283"/>
              <w:jc w:val="left"/>
              <w:rPr/>
            </w:pPr>
            <w:r>
              <w:rPr/>
              <w:t>/s/ Yvonne Bai</w:t>
            </w:r>
          </w:p>
        </w:tc>
      </w:tr>
      <w:tr>
        <w:trPr/>
        <w:tc>
          <w:tcPr>
            <w:tcW w:w="77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2" w:type="dxa"/>
            <w:tcBorders/>
            <w:vAlign w:val="bottom"/>
          </w:tcPr>
          <w:p>
            <w:pPr>
              <w:pStyle w:val="TableContents"/>
              <w:bidi w:val="0"/>
              <w:spacing w:before="0" w:after="283"/>
              <w:jc w:val="left"/>
              <w:rPr/>
            </w:pPr>
            <w:r>
              <w:rPr/>
              <w:t>Yvonne Bai</w:t>
            </w:r>
          </w:p>
        </w:tc>
      </w:tr>
      <w:tr>
        <w:trPr/>
        <w:tc>
          <w:tcPr>
            <w:tcW w:w="77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2"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3255"/>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GOLDMAN SACHS BANK USA,</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331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5" w:type="dxa"/>
            <w:tcBorders>
              <w:bottom w:val="single" w:sz="2" w:space="0" w:color="000000"/>
            </w:tcBorders>
            <w:tcMar>
              <w:bottom w:w="28" w:type="dxa"/>
            </w:tcMar>
            <w:vAlign w:val="bottom"/>
          </w:tcPr>
          <w:p>
            <w:pPr>
              <w:pStyle w:val="TableContents"/>
              <w:bidi w:val="0"/>
              <w:spacing w:before="0" w:after="283"/>
              <w:jc w:val="left"/>
              <w:rPr/>
            </w:pPr>
            <w:r>
              <w:rPr/>
              <w:t>/s/ Dan Starr</w:t>
            </w:r>
          </w:p>
        </w:tc>
      </w:tr>
      <w:tr>
        <w:trPr/>
        <w:tc>
          <w:tcPr>
            <w:tcW w:w="7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Dan Starr</w:t>
            </w:r>
          </w:p>
        </w:tc>
      </w:tr>
      <w:tr>
        <w:trPr/>
        <w:tc>
          <w:tcPr>
            <w:tcW w:w="7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2"/>
        <w:gridCol w:w="60"/>
        <w:gridCol w:w="3230"/>
      </w:tblGrid>
      <w:tr>
        <w:trPr/>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PNC BANK, NATIONAL ASSOCIATION,</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92" w:type="dxa"/>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0" w:type="dxa"/>
            <w:tcBorders>
              <w:bottom w:val="single" w:sz="2" w:space="0" w:color="000000"/>
            </w:tcBorders>
            <w:tcMar>
              <w:bottom w:w="28" w:type="dxa"/>
            </w:tcMar>
            <w:vAlign w:val="bottom"/>
          </w:tcPr>
          <w:p>
            <w:pPr>
              <w:pStyle w:val="TableContents"/>
              <w:bidi w:val="0"/>
              <w:spacing w:before="0" w:after="283"/>
              <w:jc w:val="left"/>
              <w:rPr/>
            </w:pPr>
            <w:r>
              <w:rPr/>
              <w:t>/s/ Amy Tallia</w:t>
            </w:r>
          </w:p>
        </w:tc>
      </w:tr>
      <w:tr>
        <w:trPr/>
        <w:tc>
          <w:tcPr>
            <w:tcW w:w="79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left"/>
              <w:rPr/>
            </w:pPr>
            <w:r>
              <w:rPr/>
              <w:t>Amy Tallia</w:t>
            </w:r>
          </w:p>
        </w:tc>
      </w:tr>
      <w:tr>
        <w:trPr/>
        <w:tc>
          <w:tcPr>
            <w:tcW w:w="79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left"/>
              <w:rPr/>
            </w:pPr>
            <w:r>
              <w:rPr/>
              <w:t>SVP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2"/>
        <w:gridCol w:w="60"/>
        <w:gridCol w:w="3230"/>
      </w:tblGrid>
      <w:tr>
        <w:trPr/>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U.S. BANK NATIONAL ASSOCIATION,</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92" w:type="dxa"/>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0" w:type="dxa"/>
            <w:tcBorders>
              <w:bottom w:val="single" w:sz="2" w:space="0" w:color="000000"/>
            </w:tcBorders>
            <w:tcMar>
              <w:bottom w:w="28" w:type="dxa"/>
            </w:tcMar>
            <w:vAlign w:val="bottom"/>
          </w:tcPr>
          <w:p>
            <w:pPr>
              <w:pStyle w:val="TableContents"/>
              <w:bidi w:val="0"/>
              <w:spacing w:before="0" w:after="283"/>
              <w:jc w:val="left"/>
              <w:rPr/>
            </w:pPr>
            <w:r>
              <w:rPr/>
              <w:t>/s/ Joseph Howard</w:t>
            </w:r>
          </w:p>
        </w:tc>
      </w:tr>
      <w:tr>
        <w:trPr/>
        <w:tc>
          <w:tcPr>
            <w:tcW w:w="79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left"/>
              <w:rPr/>
            </w:pPr>
            <w:r>
              <w:rPr/>
              <w:t>Joseph Howard</w:t>
            </w:r>
          </w:p>
        </w:tc>
      </w:tr>
      <w:tr>
        <w:trPr/>
        <w:tc>
          <w:tcPr>
            <w:tcW w:w="79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8"/>
        <w:gridCol w:w="60"/>
        <w:gridCol w:w="3254"/>
      </w:tblGrid>
      <w:tr>
        <w:trPr/>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LLOYDS BANK PLC,</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8" w:type="dxa"/>
            <w:tcBorders/>
            <w:vAlign w:val="center"/>
          </w:tcPr>
          <w:p>
            <w:pPr>
              <w:pStyle w:val="TableContents"/>
              <w:bidi w:val="0"/>
              <w:spacing w:before="0" w:after="283"/>
              <w:jc w:val="left"/>
              <w:rPr>
                <w:sz w:val="4"/>
                <w:szCs w:val="4"/>
              </w:rPr>
            </w:pPr>
            <w:r>
              <w:rPr>
                <w:sz w:val="4"/>
                <w:szCs w:val="4"/>
              </w:rPr>
            </w:r>
          </w:p>
        </w:tc>
        <w:tc>
          <w:tcPr>
            <w:tcW w:w="3314"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4" w:type="dxa"/>
            <w:tcBorders>
              <w:bottom w:val="single" w:sz="2" w:space="0" w:color="000000"/>
            </w:tcBorders>
            <w:tcMar>
              <w:bottom w:w="28" w:type="dxa"/>
            </w:tcMar>
            <w:vAlign w:val="bottom"/>
          </w:tcPr>
          <w:p>
            <w:pPr>
              <w:pStyle w:val="TableContents"/>
              <w:bidi w:val="0"/>
              <w:spacing w:before="0" w:after="283"/>
              <w:jc w:val="left"/>
              <w:rPr/>
            </w:pPr>
            <w:r>
              <w:rPr/>
              <w:t>/s/ Iain Brown</w:t>
            </w:r>
          </w:p>
        </w:tc>
      </w:tr>
      <w:tr>
        <w:trPr/>
        <w:tc>
          <w:tcPr>
            <w:tcW w:w="76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4" w:type="dxa"/>
            <w:tcBorders/>
            <w:vAlign w:val="bottom"/>
          </w:tcPr>
          <w:p>
            <w:pPr>
              <w:pStyle w:val="TableContents"/>
              <w:bidi w:val="0"/>
              <w:spacing w:before="0" w:after="283"/>
              <w:jc w:val="left"/>
              <w:rPr/>
            </w:pPr>
            <w:r>
              <w:rPr/>
              <w:t>Iain Brown</w:t>
            </w:r>
          </w:p>
        </w:tc>
      </w:tr>
      <w:tr>
        <w:trPr/>
        <w:tc>
          <w:tcPr>
            <w:tcW w:w="76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4" w:type="dxa"/>
            <w:tcBorders/>
            <w:vAlign w:val="bottom"/>
          </w:tcPr>
          <w:p>
            <w:pPr>
              <w:pStyle w:val="TableContents"/>
              <w:bidi w:val="0"/>
              <w:spacing w:before="0" w:after="283"/>
              <w:jc w:val="left"/>
              <w:rPr/>
            </w:pPr>
            <w:r>
              <w:rPr/>
              <w:t>Associate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5"/>
        <w:gridCol w:w="60"/>
        <w:gridCol w:w="3257"/>
      </w:tblGrid>
      <w:tr>
        <w:trPr/>
        <w:tc>
          <w:tcPr>
            <w:tcW w:w="7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The Standard Bank of South Africa Limited, Isle of Man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5" w:type="dxa"/>
            <w:tcBorders/>
            <w:vAlign w:val="center"/>
          </w:tcPr>
          <w:p>
            <w:pPr>
              <w:pStyle w:val="TableContents"/>
              <w:bidi w:val="0"/>
              <w:spacing w:before="0" w:after="283"/>
              <w:jc w:val="left"/>
              <w:rPr>
                <w:sz w:val="4"/>
                <w:szCs w:val="4"/>
              </w:rPr>
            </w:pPr>
            <w:r>
              <w:rPr>
                <w:sz w:val="4"/>
                <w:szCs w:val="4"/>
              </w:rPr>
            </w:r>
          </w:p>
        </w:tc>
        <w:tc>
          <w:tcPr>
            <w:tcW w:w="3317" w:type="dxa"/>
            <w:gridSpan w:val="2"/>
            <w:tcBorders/>
            <w:vAlign w:val="center"/>
          </w:tcPr>
          <w:p>
            <w:pPr>
              <w:pStyle w:val="TableContents"/>
              <w:bidi w:val="0"/>
              <w:spacing w:before="0" w:after="283"/>
              <w:jc w:val="left"/>
              <w:rPr>
                <w:sz w:val="4"/>
                <w:szCs w:val="4"/>
              </w:rPr>
            </w:pPr>
            <w:r>
              <w:rPr>
                <w:sz w:val="4"/>
                <w:szCs w:val="4"/>
              </w:rPr>
            </w:r>
          </w:p>
        </w:tc>
      </w:tr>
      <w:tr>
        <w:trPr/>
        <w:tc>
          <w:tcPr>
            <w:tcW w:w="76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7" w:type="dxa"/>
            <w:tcBorders>
              <w:bottom w:val="single" w:sz="2" w:space="0" w:color="000000"/>
            </w:tcBorders>
            <w:tcMar>
              <w:bottom w:w="28" w:type="dxa"/>
            </w:tcMar>
            <w:vAlign w:val="bottom"/>
          </w:tcPr>
          <w:p>
            <w:pPr>
              <w:pStyle w:val="TableContents"/>
              <w:bidi w:val="0"/>
              <w:spacing w:before="0" w:after="283"/>
              <w:jc w:val="left"/>
              <w:rPr/>
            </w:pPr>
            <w:r>
              <w:rPr/>
              <w:t>/s/ Darren Weymouth</w:t>
            </w:r>
          </w:p>
        </w:tc>
      </w:tr>
      <w:tr>
        <w:trPr/>
        <w:tc>
          <w:tcPr>
            <w:tcW w:w="7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7" w:type="dxa"/>
            <w:tcBorders/>
            <w:vAlign w:val="bottom"/>
          </w:tcPr>
          <w:p>
            <w:pPr>
              <w:pStyle w:val="TableContents"/>
              <w:bidi w:val="0"/>
              <w:spacing w:before="0" w:after="283"/>
              <w:jc w:val="left"/>
              <w:rPr/>
            </w:pPr>
            <w:r>
              <w:rPr/>
              <w:t>Darren Weymouth</w:t>
            </w:r>
          </w:p>
        </w:tc>
      </w:tr>
      <w:tr>
        <w:trPr/>
        <w:tc>
          <w:tcPr>
            <w:tcW w:w="7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7" w:type="dxa"/>
            <w:tcBorders/>
            <w:vAlign w:val="bottom"/>
          </w:tcPr>
          <w:p>
            <w:pPr>
              <w:pStyle w:val="TableContents"/>
              <w:bidi w:val="0"/>
              <w:spacing w:before="0" w:after="283"/>
              <w:jc w:val="left"/>
              <w:rPr/>
            </w:pPr>
            <w:r>
              <w:rPr/>
              <w:t>Executive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Fourth A&amp;R Revolving Credit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Schedule 1 </w:t>
      </w:r>
    </w:p>
    <w:p>
      <w:pPr>
        <w:pStyle w:val="TextBody"/>
        <w:bidi w:val="0"/>
        <w:spacing w:before="240" w:after="0"/>
        <w:jc w:val="center"/>
        <w:rPr>
          <w:rFonts w:ascii="Times New Roman" w:hAnsi="Times New Roman"/>
          <w:b/>
          <w:sz w:val="24"/>
        </w:rPr>
      </w:pPr>
      <w:r>
        <w:rPr>
          <w:rFonts w:ascii="Times New Roman" w:hAnsi="Times New Roman"/>
          <w:b/>
          <w:sz w:val="24"/>
        </w:rPr>
        <w:t xml:space="preserve">Commitments; Commitment Ratios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3"/>
        <w:gridCol w:w="120"/>
        <w:gridCol w:w="2443"/>
        <w:gridCol w:w="120"/>
        <w:gridCol w:w="2388"/>
        <w:gridCol w:w="120"/>
        <w:gridCol w:w="2311"/>
      </w:tblGrid>
      <w:tr>
        <w:trPr/>
        <w:tc>
          <w:tcPr>
            <w:tcW w:w="27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703" w:type="dxa"/>
            <w:tcBorders>
              <w:top w:val="single" w:sz="2" w:space="0" w:color="000000"/>
              <w:left w:val="single" w:sz="2" w:space="0" w:color="000000"/>
              <w:bottom w:val="single" w:sz="2" w:space="0" w:color="000000"/>
              <w:right w:val="single" w:sz="2" w:space="0" w:color="000000"/>
            </w:tcBorders>
            <w:shd w:fill="CCCCCC" w:val="clear"/>
            <w:tcMar>
              <w:top w:w="28" w:type="dxa"/>
              <w:left w:w="160" w:type="dxa"/>
              <w:bottom w:w="80" w:type="dxa"/>
              <w:right w:w="28" w:type="dxa"/>
            </w:tcMar>
          </w:tcPr>
          <w:p>
            <w:pPr>
              <w:pStyle w:val="TableContents"/>
              <w:bidi w:val="0"/>
              <w:spacing w:before="0" w:after="283"/>
              <w:jc w:val="left"/>
              <w:rPr>
                <w:b/>
                <w:u w:val="single"/>
              </w:rPr>
            </w:pPr>
            <w:r>
              <w:rPr>
                <w:b/>
                <w:u w:val="single"/>
              </w:rPr>
              <w:t>Entity</w:t>
            </w:r>
          </w:p>
        </w:tc>
        <w:tc>
          <w:tcPr>
            <w:tcW w:w="120" w:type="dxa"/>
            <w:tcBorders>
              <w:top w:val="single" w:sz="2" w:space="0" w:color="000000"/>
              <w:left w:val="single" w:sz="2" w:space="0" w:color="000000"/>
              <w:bottom w:val="single" w:sz="2" w:space="0" w:color="000000"/>
            </w:tcBorders>
            <w:shd w:fill="CCCCCC" w:val="clear"/>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shd w:fill="CCCCCC" w:val="clear"/>
            <w:tcMar>
              <w:top w:w="28" w:type="dxa"/>
              <w:bottom w:w="80" w:type="dxa"/>
              <w:right w:w="28" w:type="dxa"/>
            </w:tcMar>
          </w:tcPr>
          <w:p>
            <w:pPr>
              <w:pStyle w:val="TableContents"/>
              <w:bidi w:val="0"/>
              <w:spacing w:before="0" w:after="283"/>
              <w:jc w:val="center"/>
              <w:rPr>
                <w:b/>
                <w:u w:val="single"/>
              </w:rPr>
            </w:pPr>
            <w:r>
              <w:rPr>
                <w:b/>
                <w:u w:val="single"/>
              </w:rPr>
              <w:t>Revolving Loan</w:t>
              <w:br/>
              <w:t>Commitment</w:t>
            </w:r>
          </w:p>
        </w:tc>
        <w:tc>
          <w:tcPr>
            <w:tcW w:w="120" w:type="dxa"/>
            <w:tcBorders>
              <w:top w:val="single" w:sz="2" w:space="0" w:color="000000"/>
              <w:left w:val="single" w:sz="2" w:space="0" w:color="000000"/>
              <w:bottom w:val="single" w:sz="2" w:space="0" w:color="000000"/>
            </w:tcBorders>
            <w:shd w:fill="CCCCCC" w:val="clear"/>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shd w:fill="CCCCCC" w:val="clear"/>
            <w:tcMar>
              <w:top w:w="28" w:type="dxa"/>
              <w:bottom w:w="80" w:type="dxa"/>
              <w:right w:w="28" w:type="dxa"/>
            </w:tcMar>
          </w:tcPr>
          <w:p>
            <w:pPr>
              <w:pStyle w:val="TableContents"/>
              <w:bidi w:val="0"/>
              <w:spacing w:before="0" w:after="283"/>
              <w:jc w:val="center"/>
              <w:rPr>
                <w:b/>
                <w:u w:val="single"/>
              </w:rPr>
            </w:pPr>
            <w:r>
              <w:rPr>
                <w:b/>
                <w:u w:val="single"/>
              </w:rPr>
              <w:t>Commitment</w:t>
              <w:br/>
              <w:t>Ratio</w:t>
            </w:r>
          </w:p>
        </w:tc>
        <w:tc>
          <w:tcPr>
            <w:tcW w:w="120" w:type="dxa"/>
            <w:tcBorders>
              <w:top w:val="single" w:sz="2" w:space="0" w:color="000000"/>
              <w:left w:val="single" w:sz="2" w:space="0" w:color="000000"/>
              <w:bottom w:val="single" w:sz="2" w:space="0" w:color="000000"/>
            </w:tcBorders>
            <w:shd w:fill="CCCCCC" w:val="clear"/>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shd w:fill="CCCCCC" w:val="clear"/>
            <w:tcMar>
              <w:top w:w="28" w:type="dxa"/>
              <w:bottom w:w="80" w:type="dxa"/>
              <w:right w:w="40" w:type="dxa"/>
            </w:tcMar>
          </w:tcPr>
          <w:p>
            <w:pPr>
              <w:pStyle w:val="TableContents"/>
              <w:bidi w:val="0"/>
              <w:spacing w:before="0" w:after="283"/>
              <w:jc w:val="center"/>
              <w:rPr>
                <w:b/>
                <w:u w:val="single"/>
              </w:rPr>
            </w:pPr>
            <w:r>
              <w:rPr>
                <w:b/>
                <w:u w:val="single"/>
              </w:rPr>
              <w:t>L/C Commitment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The Toronto-Dominion Bank, New York Branch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Mizuho Bank,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Bank of America,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Citibank,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JPMorgan Chase Bank,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Morgan Stanley Bank, N.A.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$150,700,000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3.77%</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$13,750,000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MUFG Bank LTD.</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$123 300,000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3.08%</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$11.250,000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Royal Bank of Canada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Sumitomo Mitsui Banking Corporation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$274,000,000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6.85%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$25,000,000</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Banco Bilbao Vizcaya Argentaria, S.A. New York Branch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$214,000,000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5.35%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BNP Paribas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$214,000,000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5.35%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Credit Agricole Corporate and Investment Bank</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$214,000,000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5.35%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ING Bank N.V., Dublin Branch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$214,000,000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5.35%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The Bank of Nova Scotia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$214,000,000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5.35%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Goldman Sachs Bank USA</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$177,000,000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4.43%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PNC Bank, National Association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$138,000,000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3.45%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US Bank National Association</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$138,000,000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3.45%</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Lloyds Bank PLC</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$133,000,000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3.33%</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The Standard Bank of South Africa Limited Isle of Man Branch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$152,000,000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3.80%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pPr>
            <w:r>
              <w:rPr/>
              <w:t>--</w:t>
            </w:r>
          </w:p>
        </w:tc>
      </w:tr>
      <w:tr>
        <w:trPr/>
        <w:tc>
          <w:tcPr>
            <w:tcW w:w="270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0"/>
              <w:jc w:val="left"/>
              <w:rPr>
                <w:rFonts w:ascii="Times New Roman" w:hAnsi="Times New Roman"/>
                <w:b/>
                <w:sz w:val="24"/>
              </w:rPr>
            </w:pPr>
            <w:r>
              <w:rPr>
                <w:rFonts w:ascii="Times New Roman" w:hAnsi="Times New Roman"/>
                <w:b/>
                <w:sz w:val="24"/>
              </w:rPr>
              <w:t>Total</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3"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$4,000,000,000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8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100%</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11"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b/>
              </w:rPr>
            </w:pPr>
            <w:r>
              <w:rPr>
                <w:b/>
              </w:rPr>
              <w:t>$200,000,000</w:t>
            </w:r>
          </w:p>
        </w:tc>
      </w:tr>
    </w:tbl>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Fourth Amended and Restated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Schedule 1 - 1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Exhibit A </w:t>
      </w:r>
    </w:p>
    <w:p>
      <w:pPr>
        <w:pStyle w:val="TextBody"/>
        <w:bidi w:val="0"/>
        <w:spacing w:before="360" w:after="0"/>
        <w:jc w:val="center"/>
        <w:rPr>
          <w:rFonts w:ascii="Times New Roman" w:hAnsi="Times New Roman"/>
          <w:b/>
          <w:sz w:val="24"/>
        </w:rPr>
      </w:pPr>
      <w:r>
        <w:rPr>
          <w:rFonts w:ascii="Times New Roman" w:hAnsi="Times New Roman"/>
          <w:b/>
          <w:sz w:val="24"/>
        </w:rPr>
        <w:t xml:space="preserve">Amended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(See attached).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Fourth Amended and Restated Credit Agreement </w:t>
      </w:r>
    </w:p>
    <w:p>
      <w:pPr>
        <w:pStyle w:val="TextBody"/>
        <w:bidi w:val="0"/>
        <w:spacing w:before="40" w:after="0"/>
        <w:jc w:val="center"/>
        <w:rPr>
          <w:rFonts w:ascii="Times New Roman" w:hAnsi="Times New Roman"/>
          <w:sz w:val="24"/>
        </w:rPr>
      </w:pPr>
      <w:r>
        <w:rPr>
          <w:rFonts w:ascii="Times New Roman" w:hAnsi="Times New Roman"/>
          <w:sz w:val="24"/>
        </w:rPr>
        <w:t xml:space="preserve">Exhibit A - 1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EXHIBIT A to </w:t>
      </w:r>
    </w:p>
    <w:p>
      <w:pPr>
        <w:pStyle w:val="TextBody"/>
        <w:bidi w:val="0"/>
        <w:spacing w:before="0" w:after="0"/>
        <w:jc w:val="right"/>
        <w:rPr>
          <w:rFonts w:ascii="Times New Roman" w:hAnsi="Times New Roman"/>
          <w:sz w:val="24"/>
        </w:rPr>
      </w:pPr>
      <w:r>
        <w:rPr>
          <w:rFonts w:ascii="Times New Roman" w:hAnsi="Times New Roman"/>
          <w:b/>
          <w:sz w:val="24"/>
        </w:rPr>
        <w:t>AMENDMENT No.</w:t>
      </w:r>
      <w:r>
        <w:rPr>
          <w:rFonts w:ascii="Times New Roman" w:hAnsi="Times New Roman"/>
          <w:sz w:val="24"/>
        </w:rPr>
        <w:t> </w:t>
      </w:r>
      <w:r>
        <w:rPr>
          <w:rFonts w:ascii="Times New Roman" w:hAnsi="Times New Roman"/>
          <w:strike/>
          <w:color w:val="FF0000"/>
          <w:sz w:val="24"/>
        </w:rPr>
        <w:t>2</w:t>
      </w:r>
      <w:r>
        <w:rPr>
          <w:rFonts w:ascii="Times New Roman" w:hAnsi="Times New Roman"/>
          <w:color w:val="0000FF"/>
          <w:sz w:val="24"/>
          <w:u w:val="single"/>
          <w:bdr w:val="double" w:sz="2" w:space="1" w:color="000000"/>
        </w:rPr>
        <w:t>3</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FOURTH AMENDED AND RESTATED REVOLVING CREDIT AGREEMENT </w:t>
      </w:r>
    </w:p>
    <w:p>
      <w:pPr>
        <w:pStyle w:val="TextBody"/>
        <w:bidi w:val="0"/>
        <w:spacing w:before="240" w:after="0"/>
        <w:jc w:val="center"/>
        <w:rPr>
          <w:rFonts w:ascii="Times New Roman" w:hAnsi="Times New Roman"/>
          <w:b/>
          <w:sz w:val="24"/>
        </w:rPr>
      </w:pPr>
      <w:r>
        <w:rPr>
          <w:rFonts w:ascii="Times New Roman" w:hAnsi="Times New Roman"/>
          <w:b/>
          <w:sz w:val="24"/>
        </w:rPr>
        <w:t xml:space="preserve">AMONG </w:t>
      </w:r>
    </w:p>
    <w:p>
      <w:pPr>
        <w:pStyle w:val="TextBody"/>
        <w:bidi w:val="0"/>
        <w:spacing w:before="240" w:after="0"/>
        <w:jc w:val="center"/>
        <w:rPr>
          <w:rFonts w:ascii="Times New Roman" w:hAnsi="Times New Roman"/>
          <w:b/>
          <w:sz w:val="24"/>
        </w:rPr>
      </w:pPr>
      <w:r>
        <w:rPr>
          <w:rFonts w:ascii="Times New Roman" w:hAnsi="Times New Roman"/>
          <w:b/>
          <w:sz w:val="24"/>
        </w:rPr>
        <w:t xml:space="preserve">AMERICAN TOWER CORPORATION, </w:t>
      </w:r>
    </w:p>
    <w:p>
      <w:pPr>
        <w:pStyle w:val="TextBody"/>
        <w:bidi w:val="0"/>
        <w:spacing w:before="0" w:after="0"/>
        <w:jc w:val="center"/>
        <w:rPr>
          <w:rFonts w:ascii="Times New Roman" w:hAnsi="Times New Roman"/>
          <w:b/>
          <w:sz w:val="24"/>
        </w:rPr>
      </w:pPr>
      <w:r>
        <w:rPr>
          <w:rFonts w:ascii="Times New Roman" w:hAnsi="Times New Roman"/>
          <w:b/>
          <w:sz w:val="24"/>
        </w:rPr>
        <w:t xml:space="preserve">AS THE BORROWER; </w:t>
      </w:r>
    </w:p>
    <w:p>
      <w:pPr>
        <w:pStyle w:val="TextBody"/>
        <w:bidi w:val="0"/>
        <w:spacing w:before="240" w:after="0"/>
        <w:jc w:val="center"/>
        <w:rPr>
          <w:rFonts w:ascii="Times New Roman" w:hAnsi="Times New Roman"/>
          <w:b/>
          <w:sz w:val="24"/>
        </w:rPr>
      </w:pPr>
      <w:r>
        <w:rPr>
          <w:rFonts w:ascii="Times New Roman" w:hAnsi="Times New Roman"/>
          <w:b/>
          <w:sz w:val="24"/>
        </w:rPr>
        <w:t xml:space="preserve">TORONTO DOMINION (TEXAS) LLC </w:t>
      </w:r>
    </w:p>
    <w:p>
      <w:pPr>
        <w:pStyle w:val="TextBody"/>
        <w:bidi w:val="0"/>
        <w:spacing w:before="0" w:after="0"/>
        <w:jc w:val="center"/>
        <w:rPr>
          <w:rFonts w:ascii="Times New Roman" w:hAnsi="Times New Roman"/>
          <w:b/>
          <w:sz w:val="24"/>
        </w:rPr>
      </w:pPr>
      <w:r>
        <w:rPr>
          <w:rFonts w:ascii="Times New Roman" w:hAnsi="Times New Roman"/>
          <w:b/>
          <w:sz w:val="24"/>
        </w:rPr>
        <w:t xml:space="preserve">AS ADMINISTRATIVE AGENT FOR THE LENDERS; </w:t>
      </w:r>
    </w:p>
    <w:p>
      <w:pPr>
        <w:pStyle w:val="TextBody"/>
        <w:bidi w:val="0"/>
        <w:spacing w:before="240" w:after="0"/>
        <w:jc w:val="center"/>
        <w:rPr>
          <w:rFonts w:ascii="Times New Roman" w:hAnsi="Times New Roman"/>
          <w:b/>
          <w:sz w:val="24"/>
        </w:rPr>
      </w:pPr>
      <w:r>
        <w:rPr>
          <w:rFonts w:ascii="Times New Roman" w:hAnsi="Times New Roman"/>
          <w:b/>
          <w:sz w:val="24"/>
        </w:rPr>
        <w:t xml:space="preserve">THE FINANCIAL INSTITUTIONS PARTIES HERETO; </w:t>
      </w:r>
    </w:p>
    <w:p>
      <w:pPr>
        <w:pStyle w:val="TextBody"/>
        <w:bidi w:val="0"/>
        <w:spacing w:before="240" w:after="0"/>
        <w:jc w:val="center"/>
        <w:rPr>
          <w:rFonts w:ascii="Times New Roman" w:hAnsi="Times New Roman"/>
          <w:b/>
          <w:sz w:val="24"/>
        </w:rPr>
      </w:pPr>
      <w:r>
        <w:rPr>
          <w:rFonts w:ascii="Times New Roman" w:hAnsi="Times New Roman"/>
          <w:b/>
          <w:sz w:val="24"/>
        </w:rPr>
        <w:t xml:space="preserve">AND WITH </w:t>
      </w:r>
    </w:p>
    <w:p>
      <w:pPr>
        <w:pStyle w:val="TextBody"/>
        <w:bidi w:val="0"/>
        <w:spacing w:before="240" w:after="0"/>
        <w:jc w:val="center"/>
        <w:rPr>
          <w:rFonts w:ascii="Times New Roman" w:hAnsi="Times New Roman"/>
          <w:b/>
          <w:sz w:val="24"/>
        </w:rPr>
      </w:pPr>
      <w:r>
        <w:rPr>
          <w:rFonts w:ascii="Times New Roman" w:hAnsi="Times New Roman"/>
          <w:b/>
          <w:sz w:val="24"/>
        </w:rPr>
        <w:t xml:space="preserve">TD SECURITIES (USA), LLC, </w:t>
      </w:r>
    </w:p>
    <w:p>
      <w:pPr>
        <w:pStyle w:val="TextBody"/>
        <w:bidi w:val="0"/>
        <w:spacing w:before="0" w:after="0"/>
        <w:jc w:val="center"/>
        <w:rPr>
          <w:rFonts w:ascii="Times New Roman" w:hAnsi="Times New Roman"/>
          <w:b/>
          <w:sz w:val="24"/>
        </w:rPr>
      </w:pPr>
      <w:r>
        <w:rPr>
          <w:rFonts w:ascii="Times New Roman" w:hAnsi="Times New Roman"/>
          <w:b/>
          <w:sz w:val="24"/>
        </w:rPr>
        <w:t xml:space="preserve">MIZUHO BANK, LTD.,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BARCLAYS BANK PLC,</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BOFA SECURITIES, INC., </w:t>
      </w:r>
    </w:p>
    <w:p>
      <w:pPr>
        <w:pStyle w:val="TextBody"/>
        <w:bidi w:val="0"/>
        <w:spacing w:before="0" w:after="0"/>
        <w:jc w:val="center"/>
        <w:rPr>
          <w:rFonts w:ascii="Times New Roman" w:hAnsi="Times New Roman"/>
          <w:b/>
          <w:sz w:val="24"/>
        </w:rPr>
      </w:pPr>
      <w:r>
        <w:rPr>
          <w:rFonts w:ascii="Times New Roman" w:hAnsi="Times New Roman"/>
          <w:b/>
          <w:sz w:val="24"/>
        </w:rPr>
        <w:t xml:space="preserve">CITIBANK, N.A., </w:t>
      </w:r>
    </w:p>
    <w:p>
      <w:pPr>
        <w:pStyle w:val="TextBody"/>
        <w:bidi w:val="0"/>
        <w:spacing w:before="0" w:after="0"/>
        <w:jc w:val="center"/>
        <w:rPr>
          <w:rFonts w:ascii="Times New Roman" w:hAnsi="Times New Roman"/>
          <w:b/>
          <w:sz w:val="24"/>
        </w:rPr>
      </w:pPr>
      <w:r>
        <w:rPr>
          <w:rFonts w:ascii="Times New Roman" w:hAnsi="Times New Roman"/>
          <w:b/>
          <w:sz w:val="24"/>
        </w:rPr>
        <w:t>JPMORGAN CHASE BANK, N.A.</w:t>
      </w:r>
      <w:r>
        <w:rPr>
          <w:rFonts w:ascii="Times New Roman" w:hAnsi="Times New Roman"/>
          <w:b/>
          <w:color w:val="0000FF"/>
          <w:sz w:val="24"/>
          <w:u w:val="single"/>
          <w:bdr w:val="double" w:sz="2" w:space="1" w:color="000000"/>
        </w:rPr>
        <w:t>,</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RBC CAPITAL MARKETS</w:t>
      </w:r>
      <w:r>
        <w:rPr>
          <w:rFonts w:ascii="Times New Roman" w:hAnsi="Times New Roman"/>
          <w:b/>
          <w:color w:val="0000FF"/>
          <w:sz w:val="24"/>
          <w:u w:val="single"/>
          <w:bdr w:val="double" w:sz="2" w:space="1" w:color="000000"/>
        </w:rPr>
        <w:t>,</w:t>
      </w:r>
      <w:r>
        <w:rPr>
          <w:rFonts w:ascii="Times New Roman" w:hAnsi="Times New Roman"/>
          <w:b/>
          <w:sz w:val="24"/>
        </w:rPr>
        <w:t xml:space="preserve">1 </w:t>
      </w:r>
    </w:p>
    <w:p>
      <w:pPr>
        <w:pStyle w:val="TextBody"/>
        <w:bidi w:val="0"/>
        <w:spacing w:before="0" w:after="0"/>
        <w:jc w:val="center"/>
        <w:rPr>
          <w:rFonts w:ascii="Times New Roman" w:hAnsi="Times New Roman"/>
          <w:b/>
          <w:sz w:val="24"/>
        </w:rPr>
      </w:pPr>
      <w:r>
        <w:rPr>
          <w:rFonts w:ascii="Times New Roman" w:hAnsi="Times New Roman"/>
          <w:b/>
          <w:color w:val="0000FF"/>
          <w:sz w:val="24"/>
          <w:u w:val="single"/>
          <w:bdr w:val="double" w:sz="2" w:space="1" w:color="000000"/>
        </w:rPr>
        <w:t>SUMITOMO MITSUI BANKING CORPORATION</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and </w:t>
      </w:r>
    </w:p>
    <w:p>
      <w:pPr>
        <w:pStyle w:val="TextBody"/>
        <w:bidi w:val="0"/>
        <w:spacing w:before="0" w:after="0"/>
        <w:jc w:val="center"/>
        <w:rPr>
          <w:rFonts w:ascii="Times New Roman" w:hAnsi="Times New Roman"/>
          <w:b/>
          <w:sz w:val="24"/>
        </w:rPr>
      </w:pPr>
      <w:r>
        <w:rPr>
          <w:rFonts w:ascii="Times New Roman" w:hAnsi="Times New Roman"/>
          <w:b/>
          <w:sz w:val="24"/>
        </w:rPr>
        <w:t xml:space="preserve">MORGAN STANLEY MUFG LOAN PARTNERS, LLC </w:t>
      </w:r>
    </w:p>
    <w:p>
      <w:pPr>
        <w:pStyle w:val="TextBody"/>
        <w:bidi w:val="0"/>
        <w:spacing w:before="0" w:after="0"/>
        <w:jc w:val="center"/>
        <w:rPr>
          <w:rFonts w:ascii="Times New Roman" w:hAnsi="Times New Roman"/>
          <w:b/>
          <w:sz w:val="24"/>
        </w:rPr>
      </w:pPr>
      <w:r>
        <w:rPr>
          <w:rFonts w:ascii="Times New Roman" w:hAnsi="Times New Roman"/>
          <w:b/>
          <w:sz w:val="24"/>
        </w:rPr>
        <w:t xml:space="preserve">AS JOINT LEAD ARRANGERS AND JOINT BOOKRUNNERS; </w:t>
      </w:r>
    </w:p>
    <w:p>
      <w:pPr>
        <w:pStyle w:val="TextBody"/>
        <w:bidi w:val="0"/>
        <w:spacing w:before="240" w:after="0"/>
        <w:jc w:val="center"/>
        <w:rPr>
          <w:rFonts w:ascii="Times New Roman" w:hAnsi="Times New Roman"/>
          <w:b/>
          <w:sz w:val="24"/>
        </w:rPr>
      </w:pPr>
      <w:r>
        <w:rPr>
          <w:rFonts w:ascii="Times New Roman" w:hAnsi="Times New Roman"/>
          <w:b/>
          <w:sz w:val="24"/>
        </w:rPr>
        <w:t xml:space="preserve">MIZUHO BANK, LTD. </w:t>
      </w:r>
    </w:p>
    <w:p>
      <w:pPr>
        <w:pStyle w:val="TextBody"/>
        <w:bidi w:val="0"/>
        <w:spacing w:before="0" w:after="0"/>
        <w:jc w:val="center"/>
        <w:rPr>
          <w:rFonts w:ascii="Times New Roman" w:hAnsi="Times New Roman"/>
          <w:b/>
          <w:sz w:val="24"/>
        </w:rPr>
      </w:pPr>
      <w:r>
        <w:rPr>
          <w:rFonts w:ascii="Times New Roman" w:hAnsi="Times New Roman"/>
          <w:b/>
          <w:sz w:val="24"/>
        </w:rPr>
        <w:t xml:space="preserve">AS SYNDICATION AGENT; </w:t>
      </w:r>
    </w:p>
    <w:p>
      <w:pPr>
        <w:pStyle w:val="TextBody"/>
        <w:bidi w:val="0"/>
        <w:spacing w:before="240" w:after="0"/>
        <w:jc w:val="center"/>
        <w:rPr>
          <w:rFonts w:ascii="Times New Roman" w:hAnsi="Times New Roman"/>
          <w:b/>
          <w:sz w:val="24"/>
        </w:rPr>
      </w:pPr>
      <w:r>
        <w:rPr>
          <w:rFonts w:ascii="Times New Roman" w:hAnsi="Times New Roman"/>
          <w:b/>
          <w:sz w:val="24"/>
        </w:rPr>
        <w:t xml:space="preserve">AND </w:t>
      </w:r>
    </w:p>
    <w:p>
      <w:pPr>
        <w:pStyle w:val="TextBody"/>
        <w:bidi w:val="0"/>
        <w:spacing w:before="240" w:after="0"/>
        <w:jc w:val="center"/>
        <w:rPr>
          <w:rFonts w:ascii="Times New Roman" w:hAnsi="Times New Roman"/>
          <w:b/>
          <w:sz w:val="24"/>
        </w:rPr>
      </w:pPr>
      <w:r>
        <w:rPr>
          <w:rFonts w:ascii="Times New Roman" w:hAnsi="Times New Roman"/>
          <w:b/>
          <w:strike/>
          <w:color w:val="FF0000"/>
          <w:sz w:val="24"/>
        </w:rPr>
        <w:t>BARCLAYS BANK PLC</w:t>
      </w:r>
      <w:r>
        <w:rPr>
          <w:rFonts w:ascii="Times New Roman" w:hAnsi="Times New Roman"/>
          <w:b/>
          <w:color w:val="0000FF"/>
          <w:sz w:val="24"/>
          <w:u w:val="single"/>
          <w:bdr w:val="double" w:sz="2" w:space="1" w:color="000000"/>
        </w:rPr>
        <w:t>SUMITOMO MITSUI BANKING CORPORATION</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BOFA SECURITIES, INC., </w:t>
      </w:r>
    </w:p>
    <w:p>
      <w:pPr>
        <w:pStyle w:val="TextBody"/>
        <w:bidi w:val="0"/>
        <w:spacing w:before="0" w:after="0"/>
        <w:jc w:val="center"/>
        <w:rPr>
          <w:rFonts w:ascii="Times New Roman" w:hAnsi="Times New Roman"/>
          <w:b/>
          <w:sz w:val="24"/>
        </w:rPr>
      </w:pPr>
      <w:r>
        <w:rPr>
          <w:rFonts w:ascii="Times New Roman" w:hAnsi="Times New Roman"/>
          <w:b/>
          <w:sz w:val="24"/>
        </w:rPr>
        <w:t xml:space="preserve">CITIBANK, N.A., </w:t>
      </w:r>
    </w:p>
    <w:p>
      <w:pPr>
        <w:pStyle w:val="TextBody"/>
        <w:bidi w:val="0"/>
        <w:spacing w:before="0" w:after="0"/>
        <w:jc w:val="center"/>
        <w:rPr>
          <w:rFonts w:ascii="Times New Roman" w:hAnsi="Times New Roman"/>
          <w:b/>
          <w:sz w:val="24"/>
        </w:rPr>
      </w:pPr>
      <w:r>
        <w:rPr>
          <w:rFonts w:ascii="Times New Roman" w:hAnsi="Times New Roman"/>
          <w:b/>
          <w:sz w:val="24"/>
        </w:rPr>
        <w:t xml:space="preserve">JPMORGAN CHASE BANK, N.A., </w:t>
      </w:r>
    </w:p>
    <w:p>
      <w:pPr>
        <w:pStyle w:val="TextBody"/>
        <w:bidi w:val="0"/>
        <w:spacing w:before="0" w:after="0"/>
        <w:jc w:val="center"/>
        <w:rPr>
          <w:rFonts w:ascii="Times New Roman" w:hAnsi="Times New Roman"/>
          <w:b/>
          <w:sz w:val="24"/>
        </w:rPr>
      </w:pPr>
      <w:r>
        <w:rPr>
          <w:rFonts w:ascii="Times New Roman" w:hAnsi="Times New Roman"/>
          <w:b/>
          <w:sz w:val="24"/>
        </w:rPr>
        <w:t xml:space="preserve">ROYAL BANK OF CANADA </w:t>
      </w:r>
    </w:p>
    <w:p>
      <w:pPr>
        <w:pStyle w:val="TextBody"/>
        <w:bidi w:val="0"/>
        <w:spacing w:before="0" w:after="0"/>
        <w:jc w:val="center"/>
        <w:rPr>
          <w:rFonts w:ascii="Times New Roman" w:hAnsi="Times New Roman"/>
          <w:b/>
          <w:sz w:val="24"/>
        </w:rPr>
      </w:pPr>
      <w:r>
        <w:rPr>
          <w:rFonts w:ascii="Times New Roman" w:hAnsi="Times New Roman"/>
          <w:b/>
          <w:sz w:val="24"/>
        </w:rPr>
        <w:t xml:space="preserve">and </w:t>
      </w:r>
    </w:p>
    <w:p>
      <w:pPr>
        <w:pStyle w:val="TextBody"/>
        <w:bidi w:val="0"/>
        <w:spacing w:before="0" w:after="0"/>
        <w:jc w:val="center"/>
        <w:rPr>
          <w:rFonts w:ascii="Times New Roman" w:hAnsi="Times New Roman"/>
          <w:b/>
          <w:sz w:val="24"/>
        </w:rPr>
      </w:pPr>
      <w:r>
        <w:rPr>
          <w:rFonts w:ascii="Times New Roman" w:hAnsi="Times New Roman"/>
          <w:b/>
          <w:sz w:val="24"/>
        </w:rPr>
        <w:t xml:space="preserve">MORGAN STANLEY MUFG LOAN PARTNERS, LLC </w:t>
      </w:r>
    </w:p>
    <w:p>
      <w:pPr>
        <w:pStyle w:val="TextBody"/>
        <w:bidi w:val="0"/>
        <w:spacing w:before="0" w:after="0"/>
        <w:jc w:val="center"/>
        <w:rPr>
          <w:rFonts w:ascii="Times New Roman" w:hAnsi="Times New Roman"/>
          <w:b/>
          <w:sz w:val="24"/>
        </w:rPr>
      </w:pPr>
      <w:r>
        <w:rPr>
          <w:rFonts w:ascii="Times New Roman" w:hAnsi="Times New Roman"/>
          <w:b/>
          <w:sz w:val="24"/>
        </w:rPr>
        <w:t xml:space="preserve">AS CO-DOCUMENTATION AGENTS. </w:t>
      </w:r>
    </w:p>
    <w:p>
      <w:pPr>
        <w:pStyle w:val="TextBody"/>
        <w:bidi w:val="0"/>
        <w:spacing w:before="240" w:after="0"/>
        <w:jc w:val="center"/>
        <w:rPr>
          <w:rFonts w:ascii="Times New Roman" w:hAnsi="Times New Roman"/>
          <w:b/>
          <w:sz w:val="24"/>
        </w:rPr>
      </w:pPr>
      <w:r>
        <w:rPr>
          <w:rFonts w:ascii="Times New Roman" w:hAnsi="Times New Roman"/>
          <w:b/>
          <w:sz w:val="24"/>
        </w:rPr>
        <w:t xml:space="preserve">Dated as of December 8, 2021, </w:t>
      </w:r>
    </w:p>
    <w:p>
      <w:pPr>
        <w:pStyle w:val="TextBody"/>
        <w:bidi w:val="0"/>
        <w:spacing w:before="0" w:after="0"/>
        <w:jc w:val="center"/>
        <w:rPr>
          <w:rFonts w:ascii="Times New Roman" w:hAnsi="Times New Roman"/>
          <w:b/>
          <w:sz w:val="24"/>
        </w:rPr>
      </w:pPr>
      <w:r>
        <w:rPr>
          <w:rFonts w:ascii="Times New Roman" w:hAnsi="Times New Roman"/>
          <w:b/>
          <w:sz w:val="24"/>
        </w:rPr>
        <w:t xml:space="preserve">as amended by Amendment No. 1, as of June 29, 2023, </w:t>
      </w:r>
      <w:r>
        <w:rPr>
          <w:rFonts w:ascii="Times New Roman" w:hAnsi="Times New Roman"/>
          <w:b/>
          <w:strike/>
          <w:color w:val="FF0000"/>
          <w:sz w:val="24"/>
        </w:rPr>
        <w:t>and</w:t>
      </w:r>
      <w:r>
        <w:rPr>
          <w:rFonts w:ascii="Times New Roman" w:hAnsi="Times New Roman"/>
          <w:b/>
          <w:sz w:val="24"/>
        </w:rPr>
        <w:t xml:space="preserve"> Amendment No. 2, dated as of </w:t>
      </w:r>
    </w:p>
    <w:p>
      <w:pPr>
        <w:pStyle w:val="TextBody"/>
        <w:bidi w:val="0"/>
        <w:spacing w:before="0" w:after="0"/>
        <w:jc w:val="center"/>
        <w:rPr>
          <w:rFonts w:ascii="Times New Roman" w:hAnsi="Times New Roman"/>
          <w:b/>
          <w:sz w:val="24"/>
        </w:rPr>
      </w:pPr>
      <w:r>
        <w:rPr>
          <w:rFonts w:ascii="Times New Roman" w:hAnsi="Times New Roman"/>
          <w:b/>
          <w:sz w:val="24"/>
        </w:rPr>
        <w:t>January 28, 2025</w:t>
      </w:r>
      <w:r>
        <w:rPr>
          <w:rFonts w:ascii="Times New Roman" w:hAnsi="Times New Roman"/>
          <w:b/>
          <w:color w:val="0000FF"/>
          <w:sz w:val="24"/>
          <w:u w:val="single"/>
          <w:bdr w:val="double" w:sz="2" w:space="1" w:color="000000"/>
        </w:rPr>
        <w:t xml:space="preserve"> and Amendment No. 3, dated as of May 7, 2026</w:t>
      </w:r>
      <w:r>
        <w:rPr>
          <w:rFonts w:ascii="Times New Roman" w:hAnsi="Times New Roman"/>
          <w:b/>
          <w:sz w:val="24"/>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brand name for the capital markets businesses of ROYAL BANK OF CANADA and its affiliates.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1"/>
        <w:gridCol w:w="125"/>
        <w:gridCol w:w="7761"/>
        <w:gridCol w:w="180"/>
        <w:gridCol w:w="96"/>
        <w:gridCol w:w="419"/>
        <w:gridCol w:w="63"/>
      </w:tblGrid>
      <w:tr>
        <w:trPr/>
        <w:tc>
          <w:tcPr>
            <w:tcW w:w="156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761"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pBdr>
                <w:bottom w:val="single" w:sz="8" w:space="1" w:color="000000"/>
              </w:pBdr>
              <w:bidi w:val="0"/>
              <w:spacing w:before="0" w:after="0"/>
              <w:jc w:val="center"/>
              <w:rPr>
                <w:rFonts w:ascii="Times New Roman" w:hAnsi="Times New Roman"/>
                <w:b/>
                <w:sz w:val="24"/>
              </w:rPr>
            </w:pPr>
            <w:r>
              <w:rPr>
                <w:rFonts w:ascii="Times New Roman" w:hAnsi="Times New Roman"/>
                <w:b/>
                <w:sz w:val="24"/>
              </w:rPr>
              <w:t>Page</w:t>
            </w:r>
          </w:p>
        </w:tc>
        <w:tc>
          <w:tcPr>
            <w:tcW w:w="63" w:type="dxa"/>
            <w:tcBorders/>
            <w:vAlign w:val="bottom"/>
          </w:tcPr>
          <w:p>
            <w:pPr>
              <w:pStyle w:val="TableContents"/>
              <w:bidi w:val="0"/>
              <w:spacing w:before="0" w:after="283"/>
              <w:jc w:val="left"/>
              <w:rPr/>
            </w:pPr>
            <w:r>
              <w:rPr/>
              <w:t> </w:t>
            </w:r>
          </w:p>
        </w:tc>
      </w:tr>
      <w:tr>
        <w:trPr>
          <w:trHeight w:val="6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1 - DEFINITIONS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1.1</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Definitions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1.2</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Interpretation</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1.3</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Cross References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1.4</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Accounting Provisions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1.5</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Letter of Credit Amounts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1.6</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Exchange Rates; Currency Equivalents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1.7</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Additional Alternative Currencies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1.8</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Divisions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1.9</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Rates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6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2 - LOANS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The Revolving Loans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2.2</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Manner of Advance and Disbursement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2.3</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Interest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2.4</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Commitment and Letter of Credit Fees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2.5</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Voluntary Commitment Reductions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2.6</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Prepayments and Repayments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2.7</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Notes; Loan Accounts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2.8</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Manner of Payment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2.9</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Reimbursement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2.10</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Pro Rata Treatment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2.11</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Capital Adequacy</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2.12</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Lender Tax Forms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2.13</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Letters of Credit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2.14</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Incremental Commitments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2.15</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Cash Collateral</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2.16</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Defaulting Lenders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2.17</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Swingline Loans</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2.18</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Maturity Date Extension</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6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3 - CONDITIONS PRECEDENT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60" w:hRule="atLeast"/>
        </w:trPr>
        <w:tc>
          <w:tcPr>
            <w:tcW w:w="1561" w:type="dxa"/>
            <w:tcBorders/>
            <w:vAlign w:val="center"/>
          </w:tcPr>
          <w:p>
            <w:pPr>
              <w:pStyle w:val="TableContents"/>
              <w:bidi w:val="0"/>
              <w:spacing w:before="0" w:after="283"/>
              <w:jc w:val="left"/>
              <w:rPr>
                <w:sz w:val="4"/>
                <w:szCs w:val="4"/>
              </w:rPr>
            </w:pPr>
            <w:r>
              <w:rPr>
                <w:sz w:val="4"/>
                <w:szCs w:val="4"/>
              </w:rPr>
            </w:r>
          </w:p>
        </w:tc>
        <w:tc>
          <w:tcPr>
            <w:tcW w:w="7886"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561" w:type="dxa"/>
            <w:tcBorders/>
          </w:tcPr>
          <w:p>
            <w:pPr>
              <w:pStyle w:val="TableContents"/>
              <w:bidi w:val="0"/>
              <w:spacing w:before="0" w:after="0"/>
              <w:jc w:val="left"/>
              <w:rPr>
                <w:rFonts w:ascii="Times New Roman" w:hAnsi="Times New Roman"/>
                <w:sz w:val="24"/>
              </w:rPr>
            </w:pPr>
            <w:r>
              <w:rPr>
                <w:rFonts w:ascii="Times New Roman" w:hAnsi="Times New Roman"/>
                <w:sz w:val="24"/>
              </w:rPr>
              <w:t>Section 3.1</w:t>
            </w:r>
          </w:p>
        </w:tc>
        <w:tc>
          <w:tcPr>
            <w:tcW w:w="125" w:type="dxa"/>
            <w:tcBorders/>
            <w:vAlign w:val="bottom"/>
          </w:tcPr>
          <w:p>
            <w:pPr>
              <w:pStyle w:val="TableContents"/>
              <w:bidi w:val="0"/>
              <w:spacing w:before="0" w:after="283"/>
              <w:jc w:val="left"/>
              <w:rPr/>
            </w:pPr>
            <w:r>
              <w:rPr/>
              <w:t> </w:t>
            </w:r>
          </w:p>
        </w:tc>
        <w:tc>
          <w:tcPr>
            <w:tcW w:w="7761" w:type="dxa"/>
            <w:tcBorders/>
            <w:vAlign w:val="bottom"/>
          </w:tcPr>
          <w:p>
            <w:pPr>
              <w:pStyle w:val="TableContents"/>
              <w:bidi w:val="0"/>
              <w:spacing w:before="0" w:after="283"/>
              <w:jc w:val="left"/>
              <w:rPr/>
            </w:pPr>
            <w:r>
              <w:rPr/>
              <w:t>Conditions Precedent to Effectiveness of this Agreement</w:t>
            </w:r>
          </w:p>
        </w:tc>
        <w:tc>
          <w:tcPr>
            <w:tcW w:w="1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386"/>
        <w:gridCol w:w="76"/>
        <w:gridCol w:w="8229"/>
        <w:gridCol w:w="131"/>
        <w:gridCol w:w="60"/>
        <w:gridCol w:w="260"/>
        <w:gridCol w:w="63"/>
      </w:tblGrid>
      <w:tr>
        <w:trPr/>
        <w:tc>
          <w:tcPr>
            <w:tcW w:w="1386"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22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3.2</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3.3</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Conditions Precedent to Each Advance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3.4</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Conditions Precedent to Issuance of Letters of Credit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6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4 - REPRESENTATIONS AND WARRANTIES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4.1</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Representations and Warranties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4.2</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Survival of Representations and Warranties, Etc.</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6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5 - GENERAL COVENANTS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5.1</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Preservation of Existence and Similar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5.2</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Compliance with Applicable Law</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5.3</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Maintenance of Properties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5.4</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Accounting Methods and Financial Records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5.5</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Insurance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5.6</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Payment of Taxes and Claims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5.7</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Visits and Inspections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5.8</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Use of Proceeds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5.9</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Maintenance of REIT Status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5.10</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Senior Credit Facility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6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6 - INFORMATION COVENANTS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6.1</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Quarterly Financial Statements and Information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6.2</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Annual Financial Statements and Information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6.3</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Performance Certificates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6.4</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Copies of Other Reports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6.5</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Notice of Litigation and Other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6.6</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Certain Electronic Delivery; Public Information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6.7</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Know Your Customer Information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6.8</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Additional Requested Information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6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7 - NEGATIVE COVENANTS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7.1</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Indebtedness; Guaranties of the Company and its Company’s Subsidiaries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7.2</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Limitation on Liens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7.3</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Liquidation, Merger or Disposition of Assets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7.4</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Restricted Payments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7.5</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Senior Secured Leverage Ratio[Reserved]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7.6</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Total Company Leverage Ratio</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60" w:hRule="atLeast"/>
        </w:trPr>
        <w:tc>
          <w:tcPr>
            <w:tcW w:w="1386" w:type="dxa"/>
            <w:tcBorders/>
            <w:vAlign w:val="center"/>
          </w:tcPr>
          <w:p>
            <w:pPr>
              <w:pStyle w:val="TableContents"/>
              <w:bidi w:val="0"/>
              <w:spacing w:before="0" w:after="283"/>
              <w:jc w:val="left"/>
              <w:rPr>
                <w:sz w:val="4"/>
                <w:szCs w:val="4"/>
              </w:rPr>
            </w:pPr>
            <w:r>
              <w:rPr>
                <w:sz w:val="4"/>
                <w:szCs w:val="4"/>
              </w:rPr>
            </w:r>
          </w:p>
        </w:tc>
        <w:tc>
          <w:tcPr>
            <w:tcW w:w="8305"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4"/>
              </w:rPr>
            </w:pPr>
            <w:r>
              <w:rPr>
                <w:rFonts w:ascii="Times New Roman" w:hAnsi="Times New Roman"/>
                <w:sz w:val="24"/>
              </w:rPr>
              <w:t>Section 7.7</w:t>
            </w:r>
          </w:p>
        </w:tc>
        <w:tc>
          <w:tcPr>
            <w:tcW w:w="76"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491"/>
        <w:gridCol w:w="89"/>
        <w:gridCol w:w="7987"/>
        <w:gridCol w:w="135"/>
        <w:gridCol w:w="60"/>
        <w:gridCol w:w="380"/>
        <w:gridCol w:w="63"/>
      </w:tblGrid>
      <w:tr>
        <w:trPr/>
        <w:tc>
          <w:tcPr>
            <w:tcW w:w="1491"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798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7.8</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Affiliate Transactions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7.9</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Restrictive Agreements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7.10</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Use of Proceeds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9567" w:type="dxa"/>
            <w:gridSpan w:val="3"/>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956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8 - DEFAULT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8.1</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Events of Default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8.2</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Remedies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8.3</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Payments Subsequent to Declaration of Event of Default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rHeight w:val="60" w:hRule="atLeast"/>
        </w:trPr>
        <w:tc>
          <w:tcPr>
            <w:tcW w:w="9567" w:type="dxa"/>
            <w:gridSpan w:val="3"/>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956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9 - THE ADMINISTRATIVE AGENT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9.1</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Appointment and Authorization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9.2</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Rights as a Lender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9.3</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Exculpatory Provisions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9.4</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Reliance by Administrative Agent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9.5</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Resignation of Administrative Agent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9.6</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Non-Reliance on Administrative Agent and Other Lenders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9.7</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Indemnification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9.8</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No Responsibilities of the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9.9</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Lender ERISA Matters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9.10</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Erroneous Payments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rHeight w:val="60" w:hRule="atLeast"/>
        </w:trPr>
        <w:tc>
          <w:tcPr>
            <w:tcW w:w="9567" w:type="dxa"/>
            <w:gridSpan w:val="3"/>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956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10 - CHANGES IN CIRCUMSTANCES AFFECTING TERM RATE ADVANCES AND INCREASED COSTS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10.1</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Interest Rate Basis Determination Inadequate or Unfair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10.2</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Illegality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10.3</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Increased Costs and Additional Amounts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10.4</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Effect On Other Advances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10.5</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Claims for Increased Costs and Taxes; Replacement Lenders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60" w:hRule="atLeast"/>
        </w:trPr>
        <w:tc>
          <w:tcPr>
            <w:tcW w:w="9567" w:type="dxa"/>
            <w:gridSpan w:val="3"/>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956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11 - [RESERVED]</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rHeight w:val="60" w:hRule="atLeast"/>
        </w:trPr>
        <w:tc>
          <w:tcPr>
            <w:tcW w:w="9567" w:type="dxa"/>
            <w:gridSpan w:val="3"/>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9567"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12 - MISCELLANEOUS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12.1</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Notices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12.2</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Expenses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12.3</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Waivers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12.4</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Assignment and Participation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12.5</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Indemnity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12.6</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[Reserved]</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12.7</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Counterparts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60" w:hRule="atLeast"/>
        </w:trPr>
        <w:tc>
          <w:tcPr>
            <w:tcW w:w="1491" w:type="dxa"/>
            <w:tcBorders/>
            <w:vAlign w:val="center"/>
          </w:tcPr>
          <w:p>
            <w:pPr>
              <w:pStyle w:val="TableContents"/>
              <w:bidi w:val="0"/>
              <w:spacing w:before="0" w:after="283"/>
              <w:jc w:val="left"/>
              <w:rPr>
                <w:sz w:val="4"/>
                <w:szCs w:val="4"/>
              </w:rPr>
            </w:pPr>
            <w:r>
              <w:rPr>
                <w:sz w:val="4"/>
                <w:szCs w:val="4"/>
              </w:rPr>
            </w:r>
          </w:p>
        </w:tc>
        <w:tc>
          <w:tcPr>
            <w:tcW w:w="8076" w:type="dxa"/>
            <w:gridSpan w:val="2"/>
            <w:tcBorders/>
            <w:vAlign w:val="center"/>
          </w:tcPr>
          <w:p>
            <w:pPr>
              <w:pStyle w:val="TableContents"/>
              <w:bidi w:val="0"/>
              <w:spacing w:before="0" w:after="283"/>
              <w:jc w:val="left"/>
              <w:rPr>
                <w:sz w:val="4"/>
                <w:szCs w:val="4"/>
              </w:rPr>
            </w:pPr>
            <w:r>
              <w:rPr>
                <w:sz w:val="4"/>
                <w:szCs w:val="4"/>
              </w:rPr>
            </w:r>
          </w:p>
        </w:tc>
        <w:tc>
          <w:tcPr>
            <w:tcW w:w="638" w:type="dxa"/>
            <w:gridSpan w:val="4"/>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0"/>
              <w:jc w:val="left"/>
              <w:rPr>
                <w:rFonts w:ascii="Times New Roman" w:hAnsi="Times New Roman"/>
                <w:sz w:val="24"/>
              </w:rPr>
            </w:pPr>
            <w:r>
              <w:rPr>
                <w:rFonts w:ascii="Times New Roman" w:hAnsi="Times New Roman"/>
                <w:sz w:val="24"/>
              </w:rPr>
              <w:t>Section 12.8</w:t>
            </w:r>
          </w:p>
        </w:tc>
        <w:tc>
          <w:tcPr>
            <w:tcW w:w="89" w:type="dxa"/>
            <w:tcBorders/>
            <w:vAlign w:val="bottom"/>
          </w:tcPr>
          <w:p>
            <w:pPr>
              <w:pStyle w:val="TableContents"/>
              <w:bidi w:val="0"/>
              <w:spacing w:before="0" w:after="283"/>
              <w:jc w:val="left"/>
              <w:rPr/>
            </w:pPr>
            <w:r>
              <w:rPr/>
              <w:t> </w:t>
            </w:r>
          </w:p>
        </w:tc>
        <w:tc>
          <w:tcPr>
            <w:tcW w:w="7987" w:type="dxa"/>
            <w:tcBorders/>
            <w:vAlign w:val="bottom"/>
          </w:tcPr>
          <w:p>
            <w:pPr>
              <w:pStyle w:val="TableContents"/>
              <w:bidi w:val="0"/>
              <w:spacing w:before="0" w:after="283"/>
              <w:jc w:val="left"/>
              <w:rPr/>
            </w:pPr>
            <w:r>
              <w:rPr/>
              <w:t>Governing Law; Jurisdiction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442"/>
        <w:gridCol w:w="73"/>
        <w:gridCol w:w="8060"/>
        <w:gridCol w:w="127"/>
        <w:gridCol w:w="60"/>
        <w:gridCol w:w="380"/>
        <w:gridCol w:w="63"/>
      </w:tblGrid>
      <w:tr>
        <w:trPr/>
        <w:tc>
          <w:tcPr>
            <w:tcW w:w="1442"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12.9</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Severability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12.10</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Interest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12.11</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Table of Contents and Headings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12.12</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Amendment and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12.13</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[Reserved]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12.14</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Entire Agreement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12.15</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Other Relationships; No Fiduciary Relationships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12.16</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Directly or Indirectly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12.17</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Reliance on and Survival of Various Provisions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12.18</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Senior Debt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12.19</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12.20</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Confidentiality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12.21</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Judgment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12.22</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Substitution of Currency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12.23</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Right of Set-off</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12.24</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Acknowledgement and Consent to Bail-In of Affected Financial Institutions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12.25</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USA Patriot Act and Beneficial Ownership Regulation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60" w:hRule="atLeast"/>
        </w:trPr>
        <w:tc>
          <w:tcPr>
            <w:tcW w:w="9575" w:type="dxa"/>
            <w:gridSpan w:val="3"/>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13 - WAIVER OF JURY TRIAL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60" w:hRule="atLeast"/>
        </w:trPr>
        <w:tc>
          <w:tcPr>
            <w:tcW w:w="144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1442" w:type="dxa"/>
            <w:tcBorders/>
          </w:tcPr>
          <w:p>
            <w:pPr>
              <w:pStyle w:val="TableContents"/>
              <w:bidi w:val="0"/>
              <w:spacing w:before="0" w:after="0"/>
              <w:jc w:val="left"/>
              <w:rPr>
                <w:rFonts w:ascii="Times New Roman" w:hAnsi="Times New Roman"/>
                <w:sz w:val="24"/>
              </w:rPr>
            </w:pPr>
            <w:r>
              <w:rPr>
                <w:rFonts w:ascii="Times New Roman" w:hAnsi="Times New Roman"/>
                <w:sz w:val="24"/>
              </w:rPr>
              <w:t>Section 13.1</w:t>
            </w:r>
          </w:p>
        </w:tc>
        <w:tc>
          <w:tcPr>
            <w:tcW w:w="73" w:type="dxa"/>
            <w:tcBorders/>
            <w:vAlign w:val="bottom"/>
          </w:tcPr>
          <w:p>
            <w:pPr>
              <w:pStyle w:val="TableContents"/>
              <w:bidi w:val="0"/>
              <w:spacing w:before="0" w:after="283"/>
              <w:jc w:val="left"/>
              <w:rPr/>
            </w:pPr>
            <w:r>
              <w:rPr/>
              <w:t> </w:t>
            </w:r>
          </w:p>
        </w:tc>
        <w:tc>
          <w:tcPr>
            <w:tcW w:w="8060" w:type="dxa"/>
            <w:tcBorders/>
            <w:vAlign w:val="bottom"/>
          </w:tcPr>
          <w:p>
            <w:pPr>
              <w:pStyle w:val="TableContents"/>
              <w:bidi w:val="0"/>
              <w:spacing w:before="0" w:after="283"/>
              <w:jc w:val="left"/>
              <w:rPr/>
            </w:pPr>
            <w:r>
              <w:rPr/>
              <w:t>Waiver of Jury Trial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2"/>
        <w:gridCol w:w="308"/>
        <w:gridCol w:w="8815"/>
      </w:tblGrid>
      <w:tr>
        <w:trPr/>
        <w:tc>
          <w:tcPr>
            <w:tcW w:w="1082"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8815" w:type="dxa"/>
            <w:tcBorders/>
            <w:vAlign w:val="center"/>
          </w:tcPr>
          <w:p>
            <w:pPr>
              <w:pStyle w:val="TableContents"/>
              <w:bidi w:val="0"/>
              <w:spacing w:before="0" w:after="283"/>
              <w:jc w:val="left"/>
              <w:rPr>
                <w:sz w:val="4"/>
                <w:szCs w:val="4"/>
              </w:rPr>
            </w:pPr>
            <w:r>
              <w:rPr>
                <w:sz w:val="4"/>
                <w:szCs w:val="4"/>
              </w:rPr>
            </w:r>
          </w:p>
        </w:tc>
      </w:tr>
      <w:tr>
        <w:trPr/>
        <w:tc>
          <w:tcPr>
            <w:tcW w:w="1082" w:type="dxa"/>
            <w:tcBorders/>
          </w:tcPr>
          <w:p>
            <w:pPr>
              <w:pStyle w:val="TableContents"/>
              <w:bidi w:val="0"/>
              <w:spacing w:before="0" w:after="283"/>
              <w:jc w:val="left"/>
              <w:rPr/>
            </w:pPr>
            <w:r>
              <w:rPr/>
              <w:t>Schedule 1</w:t>
            </w:r>
          </w:p>
        </w:tc>
        <w:tc>
          <w:tcPr>
            <w:tcW w:w="308"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Commitments; Commitment Ratios</w:t>
            </w:r>
          </w:p>
        </w:tc>
      </w:tr>
      <w:tr>
        <w:trPr/>
        <w:tc>
          <w:tcPr>
            <w:tcW w:w="1082" w:type="dxa"/>
            <w:tcBorders/>
          </w:tcPr>
          <w:p>
            <w:pPr>
              <w:pStyle w:val="TableContents"/>
              <w:bidi w:val="0"/>
              <w:spacing w:before="0" w:after="283"/>
              <w:jc w:val="left"/>
              <w:rPr/>
            </w:pPr>
            <w:r>
              <w:rPr/>
              <w:t>Schedule 2</w:t>
            </w:r>
          </w:p>
        </w:tc>
        <w:tc>
          <w:tcPr>
            <w:tcW w:w="308"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Existing Letters of Credit</w:t>
            </w:r>
          </w:p>
        </w:tc>
      </w:tr>
      <w:tr>
        <w:trPr/>
        <w:tc>
          <w:tcPr>
            <w:tcW w:w="1082" w:type="dxa"/>
            <w:tcBorders/>
          </w:tcPr>
          <w:p>
            <w:pPr>
              <w:pStyle w:val="TableContents"/>
              <w:bidi w:val="0"/>
              <w:spacing w:before="0" w:after="283"/>
              <w:jc w:val="left"/>
              <w:rPr/>
            </w:pPr>
            <w:r>
              <w:rPr/>
              <w:t>Schedule 3</w:t>
            </w:r>
          </w:p>
        </w:tc>
        <w:tc>
          <w:tcPr>
            <w:tcW w:w="308"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Existing ABS Facilities</w:t>
            </w:r>
          </w:p>
        </w:tc>
      </w:tr>
      <w:tr>
        <w:trPr/>
        <w:tc>
          <w:tcPr>
            <w:tcW w:w="1082" w:type="dxa"/>
            <w:tcBorders/>
          </w:tcPr>
          <w:p>
            <w:pPr>
              <w:pStyle w:val="TableContents"/>
              <w:bidi w:val="0"/>
              <w:spacing w:before="0" w:after="283"/>
              <w:jc w:val="left"/>
              <w:rPr/>
            </w:pPr>
            <w:r>
              <w:rPr/>
              <w:t>Schedule 4</w:t>
            </w:r>
          </w:p>
        </w:tc>
        <w:tc>
          <w:tcPr>
            <w:tcW w:w="308"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Subsidiaries on the Effective Date</w:t>
            </w:r>
          </w:p>
        </w:tc>
      </w:tr>
      <w:tr>
        <w:trPr/>
        <w:tc>
          <w:tcPr>
            <w:tcW w:w="1082" w:type="dxa"/>
            <w:tcBorders/>
          </w:tcPr>
          <w:p>
            <w:pPr>
              <w:pStyle w:val="TableContents"/>
              <w:bidi w:val="0"/>
              <w:spacing w:before="0" w:after="283"/>
              <w:jc w:val="left"/>
              <w:rPr/>
            </w:pPr>
            <w:r>
              <w:rPr/>
              <w:t>Schedule 5</w:t>
            </w:r>
          </w:p>
        </w:tc>
        <w:tc>
          <w:tcPr>
            <w:tcW w:w="308"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Administrative Agent’s Office, Certain Notice Addresses</w:t>
            </w:r>
          </w:p>
        </w:tc>
      </w:tr>
    </w:tbl>
    <w:p>
      <w:pPr>
        <w:pStyle w:val="TextBody"/>
        <w:bidi w:val="0"/>
        <w:spacing w:before="480" w:after="0"/>
        <w:jc w:val="center"/>
        <w:rPr>
          <w:rFonts w:ascii="Times New Roman" w:hAnsi="Times New Roman"/>
          <w:b/>
          <w:sz w:val="24"/>
        </w:rPr>
      </w:pPr>
      <w:r>
        <w:rPr>
          <w:rFonts w:ascii="Times New Roman" w:hAnsi="Times New Roman"/>
          <w:b/>
          <w:sz w:val="24"/>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
        <w:gridCol w:w="415"/>
        <w:gridCol w:w="8806"/>
      </w:tblGrid>
      <w:tr>
        <w:trPr/>
        <w:tc>
          <w:tcPr>
            <w:tcW w:w="984"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8806" w:type="dxa"/>
            <w:tcBorders/>
            <w:vAlign w:val="center"/>
          </w:tcPr>
          <w:p>
            <w:pPr>
              <w:pStyle w:val="TableContents"/>
              <w:bidi w:val="0"/>
              <w:spacing w:before="0" w:after="283"/>
              <w:jc w:val="left"/>
              <w:rPr>
                <w:sz w:val="4"/>
                <w:szCs w:val="4"/>
              </w:rPr>
            </w:pPr>
            <w:r>
              <w:rPr>
                <w:sz w:val="4"/>
                <w:szCs w:val="4"/>
              </w:rPr>
            </w:r>
          </w:p>
        </w:tc>
      </w:tr>
      <w:tr>
        <w:trPr/>
        <w:tc>
          <w:tcPr>
            <w:tcW w:w="984" w:type="dxa"/>
            <w:tcBorders/>
          </w:tcPr>
          <w:p>
            <w:pPr>
              <w:pStyle w:val="TableContents"/>
              <w:bidi w:val="0"/>
              <w:spacing w:before="0" w:after="283"/>
              <w:jc w:val="left"/>
              <w:rPr/>
            </w:pPr>
            <w:r>
              <w:rPr/>
              <w:t>Exhibit A</w:t>
            </w:r>
          </w:p>
        </w:tc>
        <w:tc>
          <w:tcPr>
            <w:tcW w:w="415" w:type="dxa"/>
            <w:tcBorders/>
            <w:vAlign w:val="bottom"/>
          </w:tcPr>
          <w:p>
            <w:pPr>
              <w:pStyle w:val="TableContents"/>
              <w:bidi w:val="0"/>
              <w:spacing w:before="0" w:after="283"/>
              <w:jc w:val="left"/>
              <w:rPr/>
            </w:pPr>
            <w:r>
              <w:rPr/>
              <w:t>  </w:t>
            </w:r>
          </w:p>
        </w:tc>
        <w:tc>
          <w:tcPr>
            <w:tcW w:w="8806" w:type="dxa"/>
            <w:tcBorders/>
          </w:tcPr>
          <w:p>
            <w:pPr>
              <w:pStyle w:val="TableContents"/>
              <w:bidi w:val="0"/>
              <w:spacing w:before="0" w:after="283"/>
              <w:jc w:val="left"/>
              <w:rPr/>
            </w:pPr>
            <w:r>
              <w:rPr/>
              <w:t>Form of Request for Advance</w:t>
            </w:r>
          </w:p>
        </w:tc>
      </w:tr>
      <w:tr>
        <w:trPr/>
        <w:tc>
          <w:tcPr>
            <w:tcW w:w="984" w:type="dxa"/>
            <w:tcBorders/>
          </w:tcPr>
          <w:p>
            <w:pPr>
              <w:pStyle w:val="TableContents"/>
              <w:bidi w:val="0"/>
              <w:spacing w:before="0" w:after="283"/>
              <w:jc w:val="left"/>
              <w:rPr/>
            </w:pPr>
            <w:r>
              <w:rPr/>
              <w:t>Exhibit B</w:t>
            </w:r>
          </w:p>
        </w:tc>
        <w:tc>
          <w:tcPr>
            <w:tcW w:w="415" w:type="dxa"/>
            <w:tcBorders/>
            <w:vAlign w:val="bottom"/>
          </w:tcPr>
          <w:p>
            <w:pPr>
              <w:pStyle w:val="TableContents"/>
              <w:bidi w:val="0"/>
              <w:spacing w:before="0" w:after="283"/>
              <w:jc w:val="left"/>
              <w:rPr/>
            </w:pPr>
            <w:r>
              <w:rPr/>
              <w:t>  </w:t>
            </w:r>
          </w:p>
        </w:tc>
        <w:tc>
          <w:tcPr>
            <w:tcW w:w="8806" w:type="dxa"/>
            <w:tcBorders/>
          </w:tcPr>
          <w:p>
            <w:pPr>
              <w:pStyle w:val="TableContents"/>
              <w:bidi w:val="0"/>
              <w:spacing w:before="0" w:after="283"/>
              <w:jc w:val="left"/>
              <w:rPr/>
            </w:pPr>
            <w:r>
              <w:rPr/>
              <w:t>[RESERVED]</w:t>
            </w:r>
          </w:p>
        </w:tc>
      </w:tr>
      <w:tr>
        <w:trPr/>
        <w:tc>
          <w:tcPr>
            <w:tcW w:w="984" w:type="dxa"/>
            <w:tcBorders/>
          </w:tcPr>
          <w:p>
            <w:pPr>
              <w:pStyle w:val="TableContents"/>
              <w:bidi w:val="0"/>
              <w:spacing w:before="0" w:after="283"/>
              <w:jc w:val="left"/>
              <w:rPr/>
            </w:pPr>
            <w:r>
              <w:rPr/>
              <w:t>Exhibit C</w:t>
            </w:r>
          </w:p>
        </w:tc>
        <w:tc>
          <w:tcPr>
            <w:tcW w:w="415" w:type="dxa"/>
            <w:tcBorders/>
            <w:vAlign w:val="bottom"/>
          </w:tcPr>
          <w:p>
            <w:pPr>
              <w:pStyle w:val="TableContents"/>
              <w:bidi w:val="0"/>
              <w:spacing w:before="0" w:after="283"/>
              <w:jc w:val="left"/>
              <w:rPr/>
            </w:pPr>
            <w:r>
              <w:rPr/>
              <w:t>  </w:t>
            </w:r>
          </w:p>
        </w:tc>
        <w:tc>
          <w:tcPr>
            <w:tcW w:w="8806" w:type="dxa"/>
            <w:tcBorders/>
          </w:tcPr>
          <w:p>
            <w:pPr>
              <w:pStyle w:val="TableContents"/>
              <w:bidi w:val="0"/>
              <w:spacing w:before="0" w:after="283"/>
              <w:jc w:val="left"/>
              <w:rPr/>
            </w:pPr>
            <w:r>
              <w:rPr/>
              <w:t>Form of Revolving Loan Note</w:t>
            </w:r>
          </w:p>
        </w:tc>
      </w:tr>
      <w:tr>
        <w:trPr/>
        <w:tc>
          <w:tcPr>
            <w:tcW w:w="984" w:type="dxa"/>
            <w:tcBorders/>
          </w:tcPr>
          <w:p>
            <w:pPr>
              <w:pStyle w:val="TableContents"/>
              <w:bidi w:val="0"/>
              <w:spacing w:before="0" w:after="283"/>
              <w:jc w:val="left"/>
              <w:rPr/>
            </w:pPr>
            <w:r>
              <w:rPr/>
              <w:t>Exhibit D</w:t>
            </w:r>
          </w:p>
        </w:tc>
        <w:tc>
          <w:tcPr>
            <w:tcW w:w="415" w:type="dxa"/>
            <w:tcBorders/>
            <w:vAlign w:val="bottom"/>
          </w:tcPr>
          <w:p>
            <w:pPr>
              <w:pStyle w:val="TableContents"/>
              <w:bidi w:val="0"/>
              <w:spacing w:before="0" w:after="283"/>
              <w:jc w:val="left"/>
              <w:rPr/>
            </w:pPr>
            <w:r>
              <w:rPr/>
              <w:t>  </w:t>
            </w:r>
          </w:p>
        </w:tc>
        <w:tc>
          <w:tcPr>
            <w:tcW w:w="8806" w:type="dxa"/>
            <w:tcBorders/>
          </w:tcPr>
          <w:p>
            <w:pPr>
              <w:pStyle w:val="TableContents"/>
              <w:bidi w:val="0"/>
              <w:spacing w:before="0" w:after="283"/>
              <w:jc w:val="left"/>
              <w:rPr/>
            </w:pPr>
            <w:r>
              <w:rPr/>
              <w:t>Form of Loan Certificate</w:t>
            </w:r>
          </w:p>
        </w:tc>
      </w:tr>
      <w:tr>
        <w:trPr/>
        <w:tc>
          <w:tcPr>
            <w:tcW w:w="984" w:type="dxa"/>
            <w:tcBorders/>
          </w:tcPr>
          <w:p>
            <w:pPr>
              <w:pStyle w:val="TableContents"/>
              <w:bidi w:val="0"/>
              <w:spacing w:before="0" w:after="283"/>
              <w:jc w:val="left"/>
              <w:rPr/>
            </w:pPr>
            <w:r>
              <w:rPr/>
              <w:t>Exhibit E</w:t>
            </w:r>
          </w:p>
        </w:tc>
        <w:tc>
          <w:tcPr>
            <w:tcW w:w="415" w:type="dxa"/>
            <w:tcBorders/>
            <w:vAlign w:val="bottom"/>
          </w:tcPr>
          <w:p>
            <w:pPr>
              <w:pStyle w:val="TableContents"/>
              <w:bidi w:val="0"/>
              <w:spacing w:before="0" w:after="283"/>
              <w:jc w:val="left"/>
              <w:rPr/>
            </w:pPr>
            <w:r>
              <w:rPr/>
              <w:t>  </w:t>
            </w:r>
          </w:p>
        </w:tc>
        <w:tc>
          <w:tcPr>
            <w:tcW w:w="8806" w:type="dxa"/>
            <w:tcBorders/>
          </w:tcPr>
          <w:p>
            <w:pPr>
              <w:pStyle w:val="TableContents"/>
              <w:bidi w:val="0"/>
              <w:spacing w:before="0" w:after="283"/>
              <w:jc w:val="left"/>
              <w:rPr/>
            </w:pPr>
            <w:r>
              <w:rPr/>
              <w:t>Form of Performance Certificate</w:t>
            </w:r>
          </w:p>
        </w:tc>
      </w:tr>
      <w:tr>
        <w:trPr/>
        <w:tc>
          <w:tcPr>
            <w:tcW w:w="984" w:type="dxa"/>
            <w:tcBorders/>
          </w:tcPr>
          <w:p>
            <w:pPr>
              <w:pStyle w:val="TableContents"/>
              <w:bidi w:val="0"/>
              <w:spacing w:before="0" w:after="283"/>
              <w:jc w:val="left"/>
              <w:rPr/>
            </w:pPr>
            <w:r>
              <w:rPr/>
              <w:t>Exhibit F</w:t>
            </w:r>
          </w:p>
        </w:tc>
        <w:tc>
          <w:tcPr>
            <w:tcW w:w="415" w:type="dxa"/>
            <w:tcBorders/>
            <w:vAlign w:val="bottom"/>
          </w:tcPr>
          <w:p>
            <w:pPr>
              <w:pStyle w:val="TableContents"/>
              <w:bidi w:val="0"/>
              <w:spacing w:before="0" w:after="283"/>
              <w:jc w:val="left"/>
              <w:rPr/>
            </w:pPr>
            <w:r>
              <w:rPr/>
              <w:t>  </w:t>
            </w:r>
          </w:p>
        </w:tc>
        <w:tc>
          <w:tcPr>
            <w:tcW w:w="8806" w:type="dxa"/>
            <w:tcBorders/>
          </w:tcPr>
          <w:p>
            <w:pPr>
              <w:pStyle w:val="TableContents"/>
              <w:bidi w:val="0"/>
              <w:spacing w:before="0" w:after="283"/>
              <w:jc w:val="left"/>
              <w:rPr/>
            </w:pPr>
            <w:r>
              <w:rPr/>
              <w:t>Form of Assignment and Assumption</w:t>
            </w:r>
          </w:p>
        </w:tc>
      </w:tr>
      <w:tr>
        <w:trPr/>
        <w:tc>
          <w:tcPr>
            <w:tcW w:w="984" w:type="dxa"/>
            <w:tcBorders/>
          </w:tcPr>
          <w:p>
            <w:pPr>
              <w:pStyle w:val="TableContents"/>
              <w:bidi w:val="0"/>
              <w:spacing w:before="0" w:after="283"/>
              <w:jc w:val="left"/>
              <w:rPr/>
            </w:pPr>
            <w:r>
              <w:rPr/>
              <w:t>Exhibit G</w:t>
            </w:r>
          </w:p>
        </w:tc>
        <w:tc>
          <w:tcPr>
            <w:tcW w:w="415" w:type="dxa"/>
            <w:tcBorders/>
            <w:vAlign w:val="bottom"/>
          </w:tcPr>
          <w:p>
            <w:pPr>
              <w:pStyle w:val="TableContents"/>
              <w:bidi w:val="0"/>
              <w:spacing w:before="0" w:after="283"/>
              <w:jc w:val="left"/>
              <w:rPr/>
            </w:pPr>
            <w:r>
              <w:rPr/>
              <w:t>  </w:t>
            </w:r>
          </w:p>
        </w:tc>
        <w:tc>
          <w:tcPr>
            <w:tcW w:w="8806" w:type="dxa"/>
            <w:tcBorders/>
          </w:tcPr>
          <w:p>
            <w:pPr>
              <w:pStyle w:val="TableContents"/>
              <w:bidi w:val="0"/>
              <w:spacing w:before="0" w:after="283"/>
              <w:jc w:val="left"/>
              <w:rPr/>
            </w:pPr>
            <w:r>
              <w:rPr/>
              <w:t>Form of Swingline Loan Notice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u w:val="single"/>
        </w:rPr>
      </w:pPr>
      <w:r>
        <w:rPr>
          <w:rFonts w:ascii="Times New Roman" w:hAnsi="Times New Roman"/>
          <w:b/>
          <w:sz w:val="24"/>
          <w:u w:val="single"/>
        </w:rPr>
        <w:t xml:space="preserve">FOURTH AMENDED AND RESTATED REVOLVING CREDIT AGREEMENT </w:t>
      </w:r>
    </w:p>
    <w:p>
      <w:pPr>
        <w:pStyle w:val="TextBody"/>
        <w:bidi w:val="0"/>
        <w:spacing w:before="240" w:after="0"/>
        <w:jc w:val="both"/>
        <w:rPr>
          <w:rFonts w:ascii="Times New Roman" w:hAnsi="Times New Roman"/>
          <w:sz w:val="24"/>
        </w:rPr>
      </w:pPr>
      <w:r>
        <w:rPr>
          <w:rFonts w:ascii="Times New Roman" w:hAnsi="Times New Roman"/>
          <w:sz w:val="24"/>
        </w:rPr>
        <w:t>This Fourth Amended and Restated Revolving Credit Agreement is made as of December 8, 2021, by and among AMERICAN TOWER CORPORATION, a Delaware corporation (the “</w:t>
      </w:r>
      <w:r>
        <w:rPr>
          <w:rFonts w:ascii="Times New Roman" w:hAnsi="Times New Roman"/>
          <w:sz w:val="24"/>
          <w:u w:val="single"/>
        </w:rPr>
        <w:t>Company</w:t>
      </w:r>
      <w:r>
        <w:rPr>
          <w:rFonts w:ascii="Times New Roman" w:hAnsi="Times New Roman"/>
          <w:sz w:val="24"/>
        </w:rPr>
        <w:t xml:space="preserve">”), as the Borrower, TORONTO DOMINION (TEXAS) LLC, as Administrative Agent, and the financial institutions parties hereto (together with any permitted successors and assigns of the foregoing). </w:t>
      </w:r>
    </w:p>
    <w:p>
      <w:pPr>
        <w:pStyle w:val="TextBody"/>
        <w:bidi w:val="0"/>
        <w:spacing w:before="240" w:after="0"/>
        <w:jc w:val="both"/>
        <w:rPr>
          <w:rFonts w:ascii="Times New Roman" w:hAnsi="Times New Roman"/>
          <w:sz w:val="24"/>
        </w:rPr>
      </w:pPr>
      <w:r>
        <w:rPr>
          <w:rFonts w:ascii="Times New Roman" w:hAnsi="Times New Roman"/>
          <w:b/>
          <w:sz w:val="24"/>
        </w:rPr>
        <w:t>NOW, THEREFORE</w:t>
      </w:r>
      <w:r>
        <w:rPr>
          <w:rFonts w:ascii="Times New Roman" w:hAnsi="Times New Roman"/>
          <w:sz w:val="24"/>
        </w:rPr>
        <w:t xml:space="preserve">, for good and valuable consideration, the receipt and sufficiency of which are hereby acknowledged by each of the parties hereto, the parties hereby agree as follows: </w:t>
      </w:r>
    </w:p>
    <w:p>
      <w:pPr>
        <w:pStyle w:val="TextBody"/>
        <w:bidi w:val="0"/>
        <w:spacing w:before="240" w:after="0"/>
        <w:jc w:val="center"/>
        <w:rPr>
          <w:rFonts w:ascii="Times New Roman" w:hAnsi="Times New Roman"/>
          <w:sz w:val="24"/>
        </w:rPr>
      </w:pPr>
      <w:r>
        <w:rPr>
          <w:rFonts w:ascii="Times New Roman" w:hAnsi="Times New Roman"/>
          <w:sz w:val="24"/>
        </w:rPr>
        <w:t xml:space="preserve">ARTICLE 1 - DEFINITIONS </w:t>
      </w:r>
    </w:p>
    <w:p>
      <w:pPr>
        <w:pStyle w:val="TextBody"/>
        <w:bidi w:val="0"/>
        <w:spacing w:before="240" w:after="0"/>
        <w:jc w:val="both"/>
        <w:rPr>
          <w:rFonts w:ascii="Times New Roman" w:hAnsi="Times New Roman"/>
          <w:sz w:val="24"/>
        </w:rPr>
      </w:pPr>
      <w:r>
        <w:rPr>
          <w:rFonts w:ascii="Times New Roman" w:hAnsi="Times New Roman"/>
          <w:sz w:val="24"/>
        </w:rPr>
        <w:t>Section 1.1 </w:t>
      </w:r>
      <w:r>
        <w:rPr>
          <w:rFonts w:ascii="Times New Roman" w:hAnsi="Times New Roman"/>
          <w:sz w:val="24"/>
          <w:u w:val="single"/>
        </w:rPr>
        <w:t>Definitions</w:t>
      </w:r>
      <w:r>
        <w:rPr>
          <w:rFonts w:ascii="Times New Roman" w:hAnsi="Times New Roman"/>
          <w:sz w:val="24"/>
        </w:rPr>
        <w:t xml:space="preserve">. For the purposes of this Agreement: </w:t>
      </w:r>
    </w:p>
    <w:p>
      <w:pPr>
        <w:pStyle w:val="TextBody"/>
        <w:bidi w:val="0"/>
        <w:spacing w:before="240" w:after="0"/>
        <w:jc w:val="both"/>
        <w:rPr/>
      </w:pPr>
      <w:r>
        <w:rPr/>
        <w:t>“</w:t>
      </w:r>
      <w:r>
        <w:rPr>
          <w:rFonts w:ascii="Times New Roman" w:hAnsi="Times New Roman"/>
          <w:sz w:val="24"/>
          <w:u w:val="single"/>
        </w:rPr>
        <w:t>2-Year Term Loan Agreement</w:t>
      </w:r>
      <w:r>
        <w:rPr>
          <w:rFonts w:ascii="Times New Roman" w:hAnsi="Times New Roman"/>
          <w:sz w:val="24"/>
        </w:rPr>
        <w:t xml:space="preserve">” shall have the meaning ascribed thereto in the definition of “Effective Date Credit Agreements”. </w:t>
      </w:r>
    </w:p>
    <w:p>
      <w:pPr>
        <w:pStyle w:val="TextBody"/>
        <w:bidi w:val="0"/>
        <w:spacing w:before="240" w:after="0"/>
        <w:jc w:val="both"/>
        <w:rPr/>
      </w:pPr>
      <w:r>
        <w:rPr/>
        <w:t>“</w:t>
      </w:r>
      <w:r>
        <w:rPr>
          <w:rFonts w:ascii="Times New Roman" w:hAnsi="Times New Roman"/>
          <w:sz w:val="24"/>
          <w:u w:val="single"/>
        </w:rPr>
        <w:t>364-Day Term Loan Agreement</w:t>
      </w:r>
      <w:r>
        <w:rPr>
          <w:rFonts w:ascii="Times New Roman" w:hAnsi="Times New Roman"/>
          <w:sz w:val="24"/>
        </w:rPr>
        <w:t xml:space="preserve">” shall have the meaning ascribed thereto in the definition of “Effective Date Credit Agreements”. </w:t>
      </w:r>
    </w:p>
    <w:p>
      <w:pPr>
        <w:pStyle w:val="TextBody"/>
        <w:bidi w:val="0"/>
        <w:spacing w:before="240" w:after="0"/>
        <w:jc w:val="both"/>
        <w:rPr/>
      </w:pPr>
      <w:r>
        <w:rPr/>
        <w:t>“</w:t>
      </w:r>
      <w:r>
        <w:rPr>
          <w:rFonts w:ascii="Times New Roman" w:hAnsi="Times New Roman"/>
          <w:sz w:val="24"/>
          <w:u w:val="single"/>
        </w:rPr>
        <w:t>ABS Facility</w:t>
      </w:r>
      <w:r>
        <w:rPr>
          <w:rFonts w:ascii="Times New Roman" w:hAnsi="Times New Roman"/>
          <w:sz w:val="24"/>
        </w:rPr>
        <w:t xml:space="preserve">” shall mean one or more secured loans, borrowings or facilities that may be included in a commercial real estate securitization transaction. </w:t>
      </w:r>
    </w:p>
    <w:p>
      <w:pPr>
        <w:pStyle w:val="TextBody"/>
        <w:bidi w:val="0"/>
        <w:spacing w:before="240" w:after="0"/>
        <w:jc w:val="both"/>
        <w:rPr/>
      </w:pPr>
      <w:r>
        <w:rPr/>
        <w:t>“</w:t>
      </w:r>
      <w:r>
        <w:rPr>
          <w:rFonts w:ascii="Times New Roman" w:hAnsi="Times New Roman"/>
          <w:sz w:val="24"/>
          <w:u w:val="single"/>
        </w:rPr>
        <w:t>Acquisition</w:t>
      </w:r>
      <w:r>
        <w:rPr>
          <w:rFonts w:ascii="Times New Roman" w:hAnsi="Times New Roman"/>
          <w:sz w:val="24"/>
        </w:rPr>
        <w:t xml:space="preserve">” shall mean (whether by purchase, lease, exchange, issuance of stock or other equity or debt securities, merger, reorganization or any other method) (i) any acquisition by the Company or any of its Subsidiaries of any Person that is not a Subsidiary of the Company, which Person shall then become consolidated with the Company or such Subsidiary in accordance with GAAP; (ii) any acquisition by the Company or any of its Subsidiaries of all or any substantial part of the assets of any Person that is not a Subsidiary of the Company; (iii) any acquisition by the Company or any of its Subsidiaries of any business (or related contracts) primarily engaged in the tower, tower management or related businesses; or (iv) any acquisition by the Company or any of its Subsidiaries of any communications towers or communications tower sites. </w:t>
      </w:r>
    </w:p>
    <w:p>
      <w:pPr>
        <w:pStyle w:val="TextBody"/>
        <w:bidi w:val="0"/>
        <w:spacing w:before="240" w:after="0"/>
        <w:jc w:val="both"/>
        <w:rPr/>
      </w:pPr>
      <w:r>
        <w:rPr/>
        <w:t>“</w:t>
      </w:r>
      <w:r>
        <w:rPr>
          <w:rFonts w:ascii="Times New Roman" w:hAnsi="Times New Roman"/>
          <w:sz w:val="24"/>
          <w:u w:val="single"/>
        </w:rPr>
        <w:t>Act</w:t>
      </w:r>
      <w:r>
        <w:rPr>
          <w:rFonts w:ascii="Times New Roman" w:hAnsi="Times New Roman"/>
          <w:sz w:val="24"/>
        </w:rPr>
        <w:t xml:space="preserve">” shall have the meaning ascribed thereto in Section 12.25 hereof. </w:t>
      </w:r>
    </w:p>
    <w:p>
      <w:pPr>
        <w:pStyle w:val="TextBody"/>
        <w:bidi w:val="0"/>
        <w:spacing w:before="240" w:after="0"/>
        <w:jc w:val="both"/>
        <w:rPr/>
      </w:pPr>
      <w:r>
        <w:rPr/>
        <w:t>“</w:t>
      </w:r>
      <w:r>
        <w:rPr>
          <w:rFonts w:ascii="Times New Roman" w:hAnsi="Times New Roman"/>
          <w:sz w:val="24"/>
          <w:u w:val="single"/>
        </w:rPr>
        <w:t>Adjusted EBITDA</w:t>
      </w:r>
      <w:r>
        <w:rPr>
          <w:rFonts w:ascii="Times New Roman" w:hAnsi="Times New Roman"/>
          <w:sz w:val="24"/>
        </w:rPr>
        <w:t xml:space="preserve">” shall mean, for the twelve (12) month period preceding the calculation date, for any Person, the sum of (a) Net Income, plus (b) to the extent deducted in determining Net Income, the sum, without duplication, of such Person’s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Hedge Agreements, non-cash impairment charges, non-cash valuation charges for stock option grants or vesting of restricted stock awards or any other non-cash compensation charges, and losses from the early extinguishment of Indebtedness), (vi) non-recurring integration costs and expenses resulting from operational changes and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improvements (including, without limitation, severance costs and business optimization expenses) and (vii) non-recurring charges and expenses, restructuring charges, transaction expenses (including, without limitation, transaction expenses incurred in connection with any merger or acquisition) and underwriters’ fees,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(A) with respect to any Person that became a Subsidiary of the Company, or was merged with or consolidated into the Company or any of its Subsidiaries, during such period, or any acquisition by the Company or any of its Subsidiaries of the assets of any Person during such period, “</w:t>
      </w:r>
      <w:r>
        <w:rPr>
          <w:rFonts w:ascii="Times New Roman" w:hAnsi="Times New Roman"/>
          <w:sz w:val="24"/>
          <w:u w:val="single"/>
        </w:rPr>
        <w:t>Adjusted EBITDA</w:t>
      </w:r>
      <w:r>
        <w:rPr>
          <w:rFonts w:ascii="Times New Roman" w:hAnsi="Times New Roman"/>
          <w:sz w:val="24"/>
        </w:rPr>
        <w:t>” shall, at the option of the Company in respect of any or all of the foregoing, also include the Adjusted EBITDA of such Person or attributable to such assets, as applicable, during such period as if such acquisition, merger or consolidation, including any concurrent transaction entered into by such Person or with respect to such assets as part of such acquisition, merger or consolidation, had occurred on the first day of such period and (B) with respect to any Person that has ceased to be a Subsidiary of the Company during such period, or any material assets of the Company or any of its Subsidiaries sold or otherwise disposed of by the Company or any of its Subsidiaries during such period, “</w:t>
      </w:r>
      <w:r>
        <w:rPr>
          <w:rFonts w:ascii="Times New Roman" w:hAnsi="Times New Roman"/>
          <w:sz w:val="24"/>
          <w:u w:val="single"/>
        </w:rPr>
        <w:t>Adjusted EBITDA</w:t>
      </w:r>
      <w:r>
        <w:rPr>
          <w:rFonts w:ascii="Times New Roman" w:hAnsi="Times New Roman"/>
          <w:sz w:val="24"/>
        </w:rPr>
        <w:t xml:space="preserve">”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240" w:after="0"/>
        <w:jc w:val="both"/>
        <w:rPr/>
      </w:pPr>
      <w:r>
        <w:rPr>
          <w:strike/>
          <w:color w:val="FF0000"/>
        </w:rPr>
        <w:t>“</w:t>
      </w:r>
      <w:r>
        <w:rPr>
          <w:rFonts w:ascii="Times New Roman" w:hAnsi="Times New Roman"/>
          <w:strike/>
          <w:color w:val="FF0000"/>
          <w:sz w:val="24"/>
        </w:rPr>
        <w:t>Adjusted Term SOFR” shall mean, for purposes of any calculation and subject to the provisions of Section 10.1(b), the rate per annum equal to (a) Term SOFR for such calculation plus (b) the Term SOFR Adjustment; provided that if Adjusted</w:t>
      </w:r>
      <w:r>
        <w:rPr>
          <w:rFonts w:ascii="Times New Roman" w:hAnsi="Times New Roman"/>
          <w:sz w:val="24"/>
        </w:rPr>
        <w:t xml:space="preserve"> </w:t>
      </w:r>
      <w:r>
        <w:rPr>
          <w:rFonts w:ascii="Times New Roman" w:hAnsi="Times New Roman"/>
          <w:strike/>
          <w:color w:val="00C000"/>
          <w:sz w:val="24"/>
        </w:rPr>
        <w:t>Term SOFR as so determined</w:t>
      </w:r>
      <w:r>
        <w:rPr>
          <w:rFonts w:ascii="Times New Roman" w:hAnsi="Times New Roman"/>
          <w:sz w:val="24"/>
        </w:rPr>
        <w:t xml:space="preserve"> </w:t>
      </w:r>
      <w:r>
        <w:rPr>
          <w:rFonts w:ascii="Times New Roman" w:hAnsi="Times New Roman"/>
          <w:strike/>
          <w:color w:val="FF0000"/>
          <w:sz w:val="24"/>
        </w:rPr>
        <w:t>shall ever be less than the Floor, then Adjusted Term</w:t>
      </w:r>
      <w:r>
        <w:rPr>
          <w:rFonts w:ascii="Times New Roman" w:hAnsi="Times New Roman"/>
          <w:sz w:val="24"/>
        </w:rPr>
        <w:t xml:space="preserve"> </w:t>
      </w:r>
      <w:r>
        <w:rPr>
          <w:rFonts w:ascii="Times New Roman" w:hAnsi="Times New Roman"/>
          <w:strike/>
          <w:color w:val="00C000"/>
          <w:sz w:val="24"/>
        </w:rPr>
        <w:t>SOFR shall be deemed to be the Floor</w:t>
      </w:r>
      <w:r>
        <w:rPr>
          <w:rFonts w:ascii="Times New Roman" w:hAnsi="Times New Roman"/>
          <w:strike/>
          <w:color w:val="FF0000"/>
          <w:sz w:val="24"/>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Administrative Agent</w:t>
      </w:r>
      <w:r>
        <w:rPr>
          <w:rFonts w:ascii="Times New Roman" w:hAnsi="Times New Roman"/>
          <w:sz w:val="24"/>
        </w:rPr>
        <w:t xml:space="preserve">” shall mean Toronto Dominion (Texas) LLC, in its capacity as Administrative Agent for the Lenders and the Issuing Banks, or any successor Administrative Agent appointed pursuant to </w:t>
      </w:r>
      <w:r>
        <w:rPr>
          <w:rFonts w:ascii="Times New Roman" w:hAnsi="Times New Roman"/>
          <w:sz w:val="24"/>
          <w:u w:val="single"/>
        </w:rPr>
        <w:t>Section 9.5</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Administrative Agent’s Office</w:t>
      </w:r>
      <w:r>
        <w:rPr>
          <w:rFonts w:ascii="Times New Roman" w:hAnsi="Times New Roman"/>
          <w:sz w:val="24"/>
        </w:rPr>
        <w:t xml:space="preserve">” shall mean the Administrative Agent’s address and, as appropriate, account as set forth on Schedule 5, or such other address or account as may be designated pursuant to the provisions of </w:t>
      </w:r>
      <w:r>
        <w:rPr>
          <w:rFonts w:ascii="Times New Roman" w:hAnsi="Times New Roman"/>
          <w:sz w:val="24"/>
          <w:u w:val="single"/>
        </w:rPr>
        <w:t>Section 12.1</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Advance</w:t>
      </w:r>
      <w:r>
        <w:rPr>
          <w:rFonts w:ascii="Times New Roman" w:hAnsi="Times New Roman"/>
          <w:sz w:val="24"/>
        </w:rPr>
        <w:t>” shall mean the aggregate amounts advanced by the Lenders to the Company pursuant to Article 2 hereof on the occasion of any borrowing and having the same Interest Rate Basis and Interest Period; and “</w:t>
      </w:r>
      <w:r>
        <w:rPr>
          <w:rFonts w:ascii="Times New Roman" w:hAnsi="Times New Roman"/>
          <w:sz w:val="24"/>
          <w:u w:val="single"/>
        </w:rPr>
        <w:t>Advances</w:t>
      </w:r>
      <w:r>
        <w:rPr>
          <w:rFonts w:ascii="Times New Roman" w:hAnsi="Times New Roman"/>
          <w:sz w:val="24"/>
        </w:rPr>
        <w:t xml:space="preserve">” shall mean more than one Advance. </w:t>
      </w:r>
    </w:p>
    <w:p>
      <w:pPr>
        <w:pStyle w:val="TextBody"/>
        <w:bidi w:val="0"/>
        <w:spacing w:before="240" w:after="0"/>
        <w:jc w:val="both"/>
        <w:rPr/>
      </w:pPr>
      <w:r>
        <w:rPr/>
        <w:t>“</w:t>
      </w:r>
      <w:r>
        <w:rPr>
          <w:rFonts w:ascii="Times New Roman" w:hAnsi="Times New Roman"/>
          <w:sz w:val="24"/>
          <w:u w:val="single"/>
        </w:rPr>
        <w:t>Affected Financial Institution</w:t>
      </w:r>
      <w:r>
        <w:rPr>
          <w:rFonts w:ascii="Times New Roman" w:hAnsi="Times New Roman"/>
          <w:sz w:val="24"/>
        </w:rPr>
        <w:t xml:space="preserve">” shall mean (a) any EEA Financial Institution, or (b) any UK Financial Institution. </w:t>
      </w:r>
    </w:p>
    <w:p>
      <w:pPr>
        <w:pStyle w:val="TextBody"/>
        <w:bidi w:val="0"/>
        <w:spacing w:before="240" w:after="0"/>
        <w:jc w:val="both"/>
        <w:rPr/>
      </w:pPr>
      <w:r>
        <w:rPr/>
        <w:t>“</w:t>
      </w:r>
      <w:r>
        <w:rPr>
          <w:rFonts w:ascii="Times New Roman" w:hAnsi="Times New Roman"/>
          <w:sz w:val="24"/>
          <w:u w:val="single"/>
        </w:rPr>
        <w:t>Affected Lender</w:t>
      </w:r>
      <w:r>
        <w:rPr>
          <w:rFonts w:ascii="Times New Roman" w:hAnsi="Times New Roman"/>
          <w:sz w:val="24"/>
        </w:rPr>
        <w:t xml:space="preserve">” shall have the meaning ascribed thereto in </w:t>
      </w:r>
      <w:r>
        <w:rPr>
          <w:rFonts w:ascii="Times New Roman" w:hAnsi="Times New Roman"/>
          <w:sz w:val="24"/>
          <w:u w:val="single"/>
        </w:rPr>
        <w:t>Section 10.5</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Affiliate</w:t>
      </w:r>
      <w:r>
        <w:rPr>
          <w:rFonts w:ascii="Times New Roman" w:hAnsi="Times New Roman"/>
          <w:sz w:val="24"/>
        </w:rPr>
        <w:t xml:space="preserve">” shall mean, with respect to a Person, any other Person directly or indirectly controlling, controlled by, or under common control with, such first Person. For purposes of this definition, “control,” when used with respect to any Person, shall mean the power to direct or cause the direction of the management and policies of such Person whether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Agreed Currency</w:t>
      </w:r>
      <w:r>
        <w:rPr>
          <w:rFonts w:ascii="Times New Roman" w:hAnsi="Times New Roman"/>
          <w:sz w:val="24"/>
        </w:rPr>
        <w:t xml:space="preserve">” shall mean Dollars and each Alternative Currency. </w:t>
      </w:r>
    </w:p>
    <w:p>
      <w:pPr>
        <w:pStyle w:val="TextBody"/>
        <w:bidi w:val="0"/>
        <w:spacing w:before="240" w:after="0"/>
        <w:jc w:val="both"/>
        <w:rPr/>
      </w:pPr>
      <w:r>
        <w:rPr/>
        <w:t>“</w:t>
      </w:r>
      <w:r>
        <w:rPr>
          <w:rFonts w:ascii="Times New Roman" w:hAnsi="Times New Roman"/>
          <w:sz w:val="24"/>
          <w:u w:val="single"/>
        </w:rPr>
        <w:t>Agreement</w:t>
      </w:r>
      <w:r>
        <w:rPr>
          <w:rFonts w:ascii="Times New Roman" w:hAnsi="Times New Roman"/>
          <w:sz w:val="24"/>
        </w:rPr>
        <w:t xml:space="preserve">” shall mean this Fourth Amended and Restated Revolving Credit Agreement, as amended, supplemented, restated or otherwise modified in writing from time to time. </w:t>
      </w:r>
    </w:p>
    <w:p>
      <w:pPr>
        <w:pStyle w:val="TextBody"/>
        <w:bidi w:val="0"/>
        <w:spacing w:before="240" w:after="0"/>
        <w:jc w:val="both"/>
        <w:rPr/>
      </w:pPr>
      <w:r>
        <w:rPr/>
        <w:t>“</w:t>
      </w:r>
      <w:r>
        <w:rPr>
          <w:rFonts w:ascii="Times New Roman" w:hAnsi="Times New Roman"/>
          <w:sz w:val="24"/>
          <w:u w:val="single"/>
        </w:rPr>
        <w:t>Alternative Currency</w:t>
      </w:r>
      <w:r>
        <w:rPr>
          <w:rFonts w:ascii="Times New Roman" w:hAnsi="Times New Roman"/>
          <w:sz w:val="24"/>
        </w:rPr>
        <w:t xml:space="preserve">” shall mean Euro and each other currency (other than Dollars) that is approved in accordance with Section 1.7; provided that, for the avoidance of doubt, Yen and Sterling have not been approved as of the Effective Date. </w:t>
      </w:r>
    </w:p>
    <w:p>
      <w:pPr>
        <w:pStyle w:val="TextBody"/>
        <w:bidi w:val="0"/>
        <w:spacing w:before="240" w:after="0"/>
        <w:jc w:val="both"/>
        <w:rPr/>
      </w:pPr>
      <w:r>
        <w:rPr/>
        <w:t>“</w:t>
      </w:r>
      <w:r>
        <w:rPr>
          <w:rFonts w:ascii="Times New Roman" w:hAnsi="Times New Roman"/>
          <w:sz w:val="24"/>
          <w:u w:val="single"/>
        </w:rPr>
        <w:t>Alternative Currency Equivalent</w:t>
      </w:r>
      <w:r>
        <w:rPr>
          <w:rFonts w:ascii="Times New Roman" w:hAnsi="Times New Roman"/>
          <w:sz w:val="24"/>
        </w:rPr>
        <w:t xml:space="preserve">” shall mean,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for the purchase of such Alternative Currency with Dollars. </w:t>
      </w:r>
    </w:p>
    <w:p>
      <w:pPr>
        <w:pStyle w:val="TextBody"/>
        <w:bidi w:val="0"/>
        <w:spacing w:before="240" w:after="0"/>
        <w:jc w:val="both"/>
        <w:rPr/>
      </w:pPr>
      <w:r>
        <w:rPr/>
        <w:t>“</w:t>
      </w:r>
      <w:r>
        <w:rPr>
          <w:rFonts w:ascii="Times New Roman" w:hAnsi="Times New Roman"/>
          <w:sz w:val="24"/>
          <w:u w:val="single"/>
        </w:rPr>
        <w:t>Alternative Currency Sublimit</w:t>
      </w:r>
      <w:r>
        <w:rPr>
          <w:rFonts w:ascii="Times New Roman" w:hAnsi="Times New Roman"/>
          <w:sz w:val="24"/>
        </w:rPr>
        <w:t xml:space="preserve">” shall mean an amount equal to the lesser of (a) $2,500,000,000 and (b) the Available Amount. The Alternative Currency Sublimit is part of, and not in addition to, the Revolving Loan Commitments. </w:t>
      </w:r>
    </w:p>
    <w:p>
      <w:pPr>
        <w:pStyle w:val="TextBody"/>
        <w:bidi w:val="0"/>
        <w:spacing w:before="240" w:after="0"/>
        <w:jc w:val="both"/>
        <w:rPr/>
      </w:pPr>
      <w:r>
        <w:rPr/>
        <w:t>“</w:t>
      </w:r>
      <w:r>
        <w:rPr>
          <w:rFonts w:ascii="Times New Roman" w:hAnsi="Times New Roman"/>
          <w:sz w:val="24"/>
          <w:u w:val="single"/>
        </w:rPr>
        <w:t>Amendment No. 1</w:t>
      </w:r>
      <w:r>
        <w:rPr>
          <w:rFonts w:ascii="Times New Roman" w:hAnsi="Times New Roman"/>
          <w:sz w:val="24"/>
        </w:rPr>
        <w:t xml:space="preserve">” shall mean that certain Amendment No. 1 to the Fourth Amended and Restated Revolving Credit Agreement, dated as of the Amendment No. 1 Effective Date, by and among, the Company, the Lenders party thereto and the Administrative Agent. </w:t>
      </w:r>
    </w:p>
    <w:p>
      <w:pPr>
        <w:pStyle w:val="TextBody"/>
        <w:bidi w:val="0"/>
        <w:spacing w:before="240" w:after="0"/>
        <w:jc w:val="both"/>
        <w:rPr/>
      </w:pPr>
      <w:r>
        <w:rPr/>
        <w:t>“</w:t>
      </w:r>
      <w:r>
        <w:rPr>
          <w:rFonts w:ascii="Times New Roman" w:hAnsi="Times New Roman"/>
          <w:sz w:val="24"/>
          <w:u w:val="single"/>
        </w:rPr>
        <w:t>Amendment No. 1 Effective Date</w:t>
      </w:r>
      <w:r>
        <w:rPr>
          <w:rFonts w:ascii="Times New Roman" w:hAnsi="Times New Roman"/>
          <w:sz w:val="24"/>
        </w:rPr>
        <w:t xml:space="preserve">” shall mean June 29, 2023. </w:t>
      </w:r>
    </w:p>
    <w:p>
      <w:pPr>
        <w:pStyle w:val="TextBody"/>
        <w:bidi w:val="0"/>
        <w:spacing w:before="240" w:after="0"/>
        <w:jc w:val="both"/>
        <w:rPr/>
      </w:pPr>
      <w:r>
        <w:rPr/>
        <w:t>“</w:t>
      </w:r>
      <w:r>
        <w:rPr>
          <w:rFonts w:ascii="Times New Roman" w:hAnsi="Times New Roman"/>
          <w:sz w:val="24"/>
          <w:u w:val="single"/>
        </w:rPr>
        <w:t>Amendment No. 2</w:t>
      </w:r>
      <w:r>
        <w:rPr>
          <w:rFonts w:ascii="Times New Roman" w:hAnsi="Times New Roman"/>
          <w:sz w:val="24"/>
        </w:rPr>
        <w:t xml:space="preserve">” shall mean that certain Amendment No. 2 to the Fourth Amended and Restated Revolving Credit Agreement, dated as of the Amendment No. 2 Effective Date, by and among, the Company, the Lenders party thereto and the Administrative Agent. </w:t>
      </w:r>
    </w:p>
    <w:p>
      <w:pPr>
        <w:pStyle w:val="TextBody"/>
        <w:bidi w:val="0"/>
        <w:spacing w:before="240" w:after="0"/>
        <w:jc w:val="both"/>
        <w:rPr/>
      </w:pPr>
      <w:r>
        <w:rPr/>
        <w:t>“</w:t>
      </w:r>
      <w:r>
        <w:rPr>
          <w:rFonts w:ascii="Times New Roman" w:hAnsi="Times New Roman"/>
          <w:sz w:val="24"/>
          <w:u w:val="single"/>
        </w:rPr>
        <w:t>Amendment No. 2 Effective Date</w:t>
      </w:r>
      <w:r>
        <w:rPr>
          <w:rFonts w:ascii="Times New Roman" w:hAnsi="Times New Roman"/>
          <w:sz w:val="24"/>
        </w:rPr>
        <w:t xml:space="preserve">” shall mean January 28, 2025.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Amendment No. 3” shall mean that certain Amendment No. 3 to the Fourth Amended and Restated Revolving Credit Agreement, dated as of the Amendment No. 3 Effective Date, by and among, the Company, the Lenders party thereto and the Administrative Agent.</w:t>
      </w:r>
      <w:r>
        <w:rPr>
          <w:rFonts w:ascii="Times New Roman" w:hAnsi="Times New Roman"/>
          <w:sz w:val="24"/>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Amendment No. 3 Effective Date” shall mean May 7, 2026.</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Anti-Corruption Laws</w:t>
      </w:r>
      <w:r>
        <w:rPr>
          <w:rFonts w:ascii="Times New Roman" w:hAnsi="Times New Roman"/>
          <w:sz w:val="24"/>
        </w:rPr>
        <w:t xml:space="preserve">” shall mean all laws, rules, and regulations of any jurisdiction applicable to the Company or its Subsidiaries from time to time concerning or relating to money laundering, bribery or corruption. </w:t>
      </w:r>
    </w:p>
    <w:p>
      <w:pPr>
        <w:pStyle w:val="TextBody"/>
        <w:bidi w:val="0"/>
        <w:spacing w:before="240" w:after="0"/>
        <w:jc w:val="both"/>
        <w:rPr/>
      </w:pPr>
      <w:r>
        <w:rPr/>
        <w:t>“</w:t>
      </w:r>
      <w:r>
        <w:rPr>
          <w:rFonts w:ascii="Times New Roman" w:hAnsi="Times New Roman"/>
          <w:sz w:val="24"/>
          <w:u w:val="single"/>
        </w:rPr>
        <w:t>Applicable Debt Rating</w:t>
      </w:r>
      <w:r>
        <w:rPr>
          <w:rFonts w:ascii="Times New Roman" w:hAnsi="Times New Roman"/>
          <w:sz w:val="24"/>
        </w:rPr>
        <w:t xml:space="preserve">” shall mean the highest Debt Rating received from any of S&amp;P, Moody’s and Fitch; provided that if the lowest Debt Rating received from any such rating agency is two or more rating levels below the highest Debt Rating received from any such rating agency, the Applicable Debt Rating shall be the level that is one level below the highest of such Debt Ratings;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two ratings are at the same highest level, the Applicable Debt Rating shall be the highest level.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Applicable Law</w:t>
      </w:r>
      <w:r>
        <w:rPr>
          <w:rFonts w:ascii="Times New Roman" w:hAnsi="Times New Roman"/>
          <w:sz w:val="24"/>
        </w:rPr>
        <w:t xml:space="preserve">” shall mean, in respect of any Person, all provisions of constitutions, statutes, treaties, rules, regulations and orders of governmental bodies or regulatory agencies applicable to such Person, including, without limiting the foregoing, the Licenses, the Communications Act, zoning ordinances and all environmental laws, and all orders, decisions, judgments and decrees of all courts and arbitrators in proceedings or actions to which the Person in question is a party or by which it is bound. </w:t>
      </w:r>
    </w:p>
    <w:p>
      <w:pPr>
        <w:pStyle w:val="TextBody"/>
        <w:bidi w:val="0"/>
        <w:spacing w:before="240" w:after="0"/>
        <w:jc w:val="both"/>
        <w:rPr/>
      </w:pPr>
      <w:r>
        <w:rPr/>
        <w:t>“</w:t>
      </w:r>
      <w:r>
        <w:rPr>
          <w:rFonts w:ascii="Times New Roman" w:hAnsi="Times New Roman"/>
          <w:sz w:val="24"/>
          <w:u w:val="single"/>
        </w:rPr>
        <w:t>Applicable Margin</w:t>
      </w:r>
      <w:r>
        <w:rPr>
          <w:rFonts w:ascii="Times New Roman" w:hAnsi="Times New Roman"/>
          <w:sz w:val="24"/>
        </w:rPr>
        <w:t xml:space="preserve">” shall mean the interest rate margin applicable to Base Rate Advances, SONIA Rate Advances and Term Rate Advances, as the case may be, in each case determined in accordance with </w:t>
      </w:r>
      <w:r>
        <w:rPr>
          <w:rFonts w:ascii="Times New Roman" w:hAnsi="Times New Roman"/>
          <w:sz w:val="24"/>
          <w:u w:val="single"/>
        </w:rPr>
        <w:t>Section 2.3(f)</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Attributable Debt</w:t>
      </w:r>
      <w:r>
        <w:rPr>
          <w:rFonts w:ascii="Times New Roman" w:hAnsi="Times New Roman"/>
          <w:sz w:val="24"/>
        </w:rPr>
        <w:t xml:space="preserve">” in respect of any Sale and Leaseback Transaction shall mean,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p>
    <w:p>
      <w:pPr>
        <w:pStyle w:val="TextBody"/>
        <w:bidi w:val="0"/>
        <w:spacing w:before="240" w:after="0"/>
        <w:jc w:val="both"/>
        <w:rPr/>
      </w:pPr>
      <w:r>
        <w:rPr/>
        <w:t>“</w:t>
      </w:r>
      <w:r>
        <w:rPr>
          <w:rFonts w:ascii="Times New Roman" w:hAnsi="Times New Roman"/>
          <w:sz w:val="24"/>
          <w:u w:val="single"/>
        </w:rPr>
        <w:t>Authorized Signatory</w:t>
      </w:r>
      <w:r>
        <w:rPr>
          <w:rFonts w:ascii="Times New Roman" w:hAnsi="Times New Roman"/>
          <w:sz w:val="24"/>
        </w:rPr>
        <w:t xml:space="preserve">” shall mean such senior personnel of a Person as may be duly authorized and designated in writing by such Person to execute documents, agreements and instruments on behalf of such Person. </w:t>
      </w:r>
    </w:p>
    <w:p>
      <w:pPr>
        <w:pStyle w:val="TextBody"/>
        <w:bidi w:val="0"/>
        <w:spacing w:before="240" w:after="0"/>
        <w:jc w:val="both"/>
        <w:rPr/>
      </w:pPr>
      <w:r>
        <w:rPr/>
        <w:t>“</w:t>
      </w:r>
      <w:r>
        <w:rPr>
          <w:rFonts w:ascii="Times New Roman" w:hAnsi="Times New Roman"/>
          <w:sz w:val="24"/>
          <w:u w:val="single"/>
        </w:rPr>
        <w:t>Auto-Extension Letter of Credit</w:t>
      </w:r>
      <w:r>
        <w:rPr>
          <w:rFonts w:ascii="Times New Roman" w:hAnsi="Times New Roman"/>
          <w:sz w:val="24"/>
        </w:rPr>
        <w:t xml:space="preserve">” shall have the meaning ascribed thereto in Section 2.13(b)(iii) hereof. </w:t>
      </w:r>
    </w:p>
    <w:p>
      <w:pPr>
        <w:pStyle w:val="TextBody"/>
        <w:bidi w:val="0"/>
        <w:spacing w:before="240" w:after="0"/>
        <w:jc w:val="both"/>
        <w:rPr/>
      </w:pPr>
      <w:r>
        <w:rPr/>
        <w:t>“</w:t>
      </w:r>
      <w:r>
        <w:rPr>
          <w:rFonts w:ascii="Times New Roman" w:hAnsi="Times New Roman"/>
          <w:sz w:val="24"/>
          <w:u w:val="single"/>
        </w:rPr>
        <w:t>Available Amount</w:t>
      </w:r>
      <w:r>
        <w:rPr>
          <w:rFonts w:ascii="Times New Roman" w:hAnsi="Times New Roman"/>
          <w:sz w:val="24"/>
        </w:rPr>
        <w:t xml:space="preserve">” shall mean, at any time, the lesser of $4,000,000,000 and the aggregate amount of Revolving Loan Commitments at such time. </w:t>
      </w:r>
    </w:p>
    <w:p>
      <w:pPr>
        <w:pStyle w:val="TextBody"/>
        <w:bidi w:val="0"/>
        <w:spacing w:before="240" w:after="0"/>
        <w:jc w:val="both"/>
        <w:rPr/>
      </w:pPr>
      <w:r>
        <w:rPr/>
        <w:t>“</w:t>
      </w:r>
      <w:r>
        <w:rPr>
          <w:rFonts w:ascii="Times New Roman" w:hAnsi="Times New Roman"/>
          <w:sz w:val="24"/>
          <w:u w:val="single"/>
        </w:rPr>
        <w:t>Available Revolving Loan Commitment</w:t>
      </w:r>
      <w:r>
        <w:rPr>
          <w:rFonts w:ascii="Times New Roman" w:hAnsi="Times New Roman"/>
          <w:sz w:val="24"/>
        </w:rPr>
        <w:t xml:space="preserve">” shall mean, as of any date, the difference between (i) the Available Amount in effect on such date </w:t>
      </w:r>
      <w:r>
        <w:rPr>
          <w:rFonts w:ascii="Times New Roman" w:hAnsi="Times New Roman"/>
          <w:sz w:val="24"/>
          <w:u w:val="single"/>
        </w:rPr>
        <w:t>minus</w:t>
      </w:r>
      <w:r>
        <w:rPr>
          <w:rFonts w:ascii="Times New Roman" w:hAnsi="Times New Roman"/>
          <w:sz w:val="24"/>
        </w:rPr>
        <w:t xml:space="preserve"> (ii) the sum of (A) the Dollar Equivalent of the Revolving Loans then outstanding </w:t>
      </w:r>
      <w:r>
        <w:rPr>
          <w:rFonts w:ascii="Times New Roman" w:hAnsi="Times New Roman"/>
          <w:sz w:val="24"/>
          <w:u w:val="single"/>
        </w:rPr>
        <w:t>plus</w:t>
      </w:r>
      <w:r>
        <w:rPr>
          <w:rFonts w:ascii="Times New Roman" w:hAnsi="Times New Roman"/>
          <w:sz w:val="24"/>
        </w:rPr>
        <w:t xml:space="preserve"> (B) the Dollar Equivalent of the L/C Obligations then outstanding </w:t>
      </w:r>
      <w:r>
        <w:rPr>
          <w:rFonts w:ascii="Times New Roman" w:hAnsi="Times New Roman"/>
          <w:sz w:val="24"/>
          <w:u w:val="single"/>
        </w:rPr>
        <w:t>plus</w:t>
      </w:r>
      <w:r>
        <w:rPr>
          <w:rFonts w:ascii="Times New Roman" w:hAnsi="Times New Roman"/>
          <w:sz w:val="24"/>
        </w:rPr>
        <w:t xml:space="preserve"> (C) the Swingline Loans then outstanding. </w:t>
      </w:r>
    </w:p>
    <w:p>
      <w:pPr>
        <w:pStyle w:val="TextBody"/>
        <w:bidi w:val="0"/>
        <w:spacing w:before="240" w:after="0"/>
        <w:jc w:val="both"/>
        <w:rPr/>
      </w:pPr>
      <w:r>
        <w:rPr/>
        <w:t>“</w:t>
      </w:r>
      <w:r>
        <w:rPr>
          <w:rFonts w:ascii="Times New Roman" w:hAnsi="Times New Roman"/>
          <w:sz w:val="24"/>
          <w:u w:val="single"/>
        </w:rPr>
        <w:t>Available Tenor</w:t>
      </w:r>
      <w:r>
        <w:rPr>
          <w:rFonts w:ascii="Times New Roman" w:hAnsi="Times New Roman"/>
          <w:sz w:val="24"/>
        </w:rPr>
        <w:t xml:space="preserve">” shall mean, as of any date of determination and with respect to the then-current Benchmark for any Agreed Currency,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10.1(e). </w:t>
      </w:r>
    </w:p>
    <w:p>
      <w:pPr>
        <w:pStyle w:val="TextBody"/>
        <w:bidi w:val="0"/>
        <w:spacing w:before="240" w:after="0"/>
        <w:jc w:val="both"/>
        <w:rPr/>
      </w:pPr>
      <w:r>
        <w:rPr/>
        <w:t>“</w:t>
      </w:r>
      <w:r>
        <w:rPr>
          <w:rFonts w:ascii="Times New Roman" w:hAnsi="Times New Roman"/>
          <w:sz w:val="24"/>
          <w:u w:val="single"/>
        </w:rPr>
        <w:t>Bail-In Action</w:t>
      </w:r>
      <w:r>
        <w:rPr>
          <w:rFonts w:ascii="Times New Roman" w:hAnsi="Times New Roman"/>
          <w:sz w:val="24"/>
        </w:rPr>
        <w:t xml:space="preserve">” shall mean the exercise of any Write-Down and Conversion Powers by the applicable Resolution Authority in respect of any liability of an Affected Financial Institution. </w:t>
      </w:r>
    </w:p>
    <w:p>
      <w:pPr>
        <w:pStyle w:val="TextBody"/>
        <w:bidi w:val="0"/>
        <w:spacing w:before="240" w:after="0"/>
        <w:jc w:val="both"/>
        <w:rPr/>
      </w:pPr>
      <w:r>
        <w:rPr/>
        <w:t>“</w:t>
      </w:r>
      <w:r>
        <w:rPr>
          <w:rFonts w:ascii="Times New Roman" w:hAnsi="Times New Roman"/>
          <w:sz w:val="24"/>
          <w:u w:val="single"/>
        </w:rPr>
        <w:t>Bail-In Legislation</w:t>
      </w:r>
      <w:r>
        <w:rPr>
          <w:rFonts w:ascii="Times New Roman" w:hAnsi="Times New Roman"/>
          <w:sz w:val="24"/>
        </w:rPr>
        <w:t xml:space="preserve">” shall mean,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both"/>
        <w:rPr/>
      </w:pPr>
      <w:r>
        <w:rPr/>
        <w:t>“</w:t>
      </w:r>
      <w:r>
        <w:rPr>
          <w:rFonts w:ascii="Times New Roman" w:hAnsi="Times New Roman"/>
          <w:sz w:val="24"/>
          <w:u w:val="single"/>
        </w:rPr>
        <w:t>Base Rate</w:t>
      </w:r>
      <w:r>
        <w:rPr>
          <w:rFonts w:ascii="Times New Roman" w:hAnsi="Times New Roman"/>
          <w:sz w:val="24"/>
        </w:rPr>
        <w:t xml:space="preserve">” shall mean for any day, a rate per annum equal to the highest of (a) the Prime Rate in effect on such day, (b) the Federal Funds Rate in effect on such day </w:t>
      </w:r>
      <w:r>
        <w:rPr>
          <w:rFonts w:ascii="Times New Roman" w:hAnsi="Times New Roman"/>
          <w:sz w:val="24"/>
          <w:u w:val="single"/>
        </w:rPr>
        <w:t>plus</w:t>
      </w:r>
      <w:r>
        <w:rPr>
          <w:rFonts w:ascii="Times New Roman" w:hAnsi="Times New Roman"/>
          <w:sz w:val="24"/>
        </w:rPr>
        <w:t xml:space="preserve"> 0.50% and (c) </w:t>
      </w:r>
      <w:r>
        <w:rPr>
          <w:rFonts w:ascii="Times New Roman" w:hAnsi="Times New Roman"/>
          <w:strike/>
          <w:color w:val="FF0000"/>
          <w:sz w:val="24"/>
        </w:rPr>
        <w:t>Adjusted</w:t>
      </w:r>
      <w:r>
        <w:rPr>
          <w:rFonts w:ascii="Times New Roman" w:hAnsi="Times New Roman"/>
          <w:sz w:val="24"/>
        </w:rPr>
        <w:t xml:space="preserve"> Term SOFR for a one-month tenor in effect on such day </w:t>
      </w:r>
      <w:r>
        <w:rPr>
          <w:rFonts w:ascii="Times New Roman" w:hAnsi="Times New Roman"/>
          <w:sz w:val="24"/>
          <w:u w:val="single"/>
        </w:rPr>
        <w:t>plus</w:t>
      </w:r>
      <w:r>
        <w:rPr>
          <w:rFonts w:ascii="Times New Roman" w:hAnsi="Times New Roman"/>
          <w:sz w:val="24"/>
        </w:rPr>
        <w:t xml:space="preserve"> 1.00 %. Any change in the Base Rate due to a change in the Prime Rate, the Federal Funds Rate or </w:t>
      </w:r>
      <w:r>
        <w:rPr>
          <w:rFonts w:ascii="Times New Roman" w:hAnsi="Times New Roman"/>
          <w:strike/>
          <w:color w:val="FF0000"/>
          <w:sz w:val="24"/>
        </w:rPr>
        <w:t>Adjusted</w:t>
      </w:r>
      <w:r>
        <w:rPr>
          <w:rFonts w:ascii="Times New Roman" w:hAnsi="Times New Roman"/>
          <w:sz w:val="24"/>
        </w:rPr>
        <w:t xml:space="preserve"> Term SOFR shall be effective from and including the effective date of such change in the Prime Rate, the Federal Funds Rate or </w:t>
      </w:r>
      <w:r>
        <w:rPr>
          <w:rFonts w:ascii="Times New Roman" w:hAnsi="Times New Roman"/>
          <w:strike/>
          <w:color w:val="FF0000"/>
          <w:sz w:val="24"/>
        </w:rPr>
        <w:t>Adjusted</w:t>
      </w:r>
      <w:r>
        <w:rPr>
          <w:rFonts w:ascii="Times New Roman" w:hAnsi="Times New Roman"/>
          <w:sz w:val="24"/>
        </w:rPr>
        <w:t xml:space="preserve"> Term SOFR, respectively. </w:t>
      </w:r>
    </w:p>
    <w:p>
      <w:pPr>
        <w:pStyle w:val="TextBody"/>
        <w:bidi w:val="0"/>
        <w:spacing w:before="240" w:after="0"/>
        <w:jc w:val="both"/>
        <w:rPr/>
      </w:pPr>
      <w:r>
        <w:rPr/>
        <w:t>“</w:t>
      </w:r>
      <w:r>
        <w:rPr>
          <w:rFonts w:ascii="Times New Roman" w:hAnsi="Times New Roman"/>
          <w:sz w:val="24"/>
          <w:u w:val="single"/>
        </w:rPr>
        <w:t>Base Rate Advance</w:t>
      </w:r>
      <w:r>
        <w:rPr>
          <w:rFonts w:ascii="Times New Roman" w:hAnsi="Times New Roman"/>
          <w:sz w:val="24"/>
        </w:rPr>
        <w:t xml:space="preserve">” shall mean an Advance denominated in Dollars which the Company requests to be made as a Base Rate Advance or is Converted to a Base Rate Advance, in accordance with the provisions of </w:t>
      </w:r>
      <w:r>
        <w:rPr>
          <w:rFonts w:ascii="Times New Roman" w:hAnsi="Times New Roman"/>
          <w:sz w:val="24"/>
          <w:u w:val="single"/>
        </w:rPr>
        <w:t>Section 2.2</w:t>
      </w:r>
      <w:r>
        <w:rPr>
          <w:rFonts w:ascii="Times New Roman" w:hAnsi="Times New Roman"/>
          <w:sz w:val="24"/>
        </w:rPr>
        <w:t xml:space="preserve"> hereof, and which shall be in a principal amount of at least $1,000,000.00 and in an integral multiple of $500,000.00. </w:t>
      </w:r>
    </w:p>
    <w:p>
      <w:pPr>
        <w:pStyle w:val="TextBody"/>
        <w:bidi w:val="0"/>
        <w:spacing w:before="240" w:after="0"/>
        <w:jc w:val="both"/>
        <w:rPr/>
      </w:pPr>
      <w:r>
        <w:rPr/>
        <w:t>“</w:t>
      </w:r>
      <w:r>
        <w:rPr>
          <w:rFonts w:ascii="Times New Roman" w:hAnsi="Times New Roman"/>
          <w:sz w:val="24"/>
          <w:u w:val="single"/>
        </w:rPr>
        <w:t>Base Rate Basis</w:t>
      </w:r>
      <w:r>
        <w:rPr>
          <w:rFonts w:ascii="Times New Roman" w:hAnsi="Times New Roman"/>
          <w:sz w:val="24"/>
        </w:rPr>
        <w:t xml:space="preserve">” shall mean a simple interest rate equal to the sum of (i) the Base Rate and (ii) the Applicable Margin applicable to Base Rate Advances for the applicable Loans. The Base Rate Basis shall be adjusted automatically as of the opening of business on the effective date of each change in the Base Rate to account for such change, and shall also be adjusted to reflect changes of the Applicable Margin applicable to Base Rate Advances. </w:t>
      </w:r>
    </w:p>
    <w:p>
      <w:pPr>
        <w:pStyle w:val="TextBody"/>
        <w:bidi w:val="0"/>
        <w:spacing w:before="240" w:after="0"/>
        <w:jc w:val="both"/>
        <w:rPr/>
      </w:pPr>
      <w:r>
        <w:rPr/>
        <w:t>“</w:t>
      </w:r>
      <w:r>
        <w:rPr>
          <w:rFonts w:ascii="Times New Roman" w:hAnsi="Times New Roman"/>
          <w:sz w:val="24"/>
          <w:u w:val="single"/>
        </w:rPr>
        <w:t>Base Rate Loan</w:t>
      </w:r>
      <w:r>
        <w:rPr>
          <w:rFonts w:ascii="Times New Roman" w:hAnsi="Times New Roman"/>
          <w:sz w:val="24"/>
        </w:rPr>
        <w:t xml:space="preserve">” shall mean a Loan that bears interest based on the Base Rate. All Base Rate Loans shall be denominated in Dollars. </w:t>
      </w:r>
    </w:p>
    <w:p>
      <w:pPr>
        <w:pStyle w:val="TextBody"/>
        <w:bidi w:val="0"/>
        <w:spacing w:before="240" w:after="0"/>
        <w:jc w:val="both"/>
        <w:rPr/>
      </w:pPr>
      <w:r>
        <w:rPr/>
        <w:t>“</w:t>
      </w:r>
      <w:r>
        <w:rPr>
          <w:rFonts w:ascii="Times New Roman" w:hAnsi="Times New Roman"/>
          <w:sz w:val="24"/>
          <w:u w:val="single"/>
        </w:rPr>
        <w:t>Base Rate Term SOFR Determination Day</w:t>
      </w:r>
      <w:r>
        <w:rPr>
          <w:rFonts w:ascii="Times New Roman" w:hAnsi="Times New Roman"/>
          <w:sz w:val="24"/>
        </w:rPr>
        <w:t xml:space="preserve">” has the meaning specified in paragraph (b) of the definition of “Term SOFR”. </w:t>
      </w:r>
    </w:p>
    <w:p>
      <w:pPr>
        <w:pStyle w:val="TextBody"/>
        <w:bidi w:val="0"/>
        <w:spacing w:before="240" w:after="0"/>
        <w:jc w:val="both"/>
        <w:rPr/>
      </w:pPr>
      <w:r>
        <w:rPr/>
        <w:t>“</w:t>
      </w:r>
      <w:r>
        <w:rPr>
          <w:rFonts w:ascii="Times New Roman" w:hAnsi="Times New Roman"/>
          <w:sz w:val="24"/>
          <w:u w:val="single"/>
        </w:rPr>
        <w:t>Benchmark</w:t>
      </w:r>
      <w:r>
        <w:rPr>
          <w:rFonts w:ascii="Times New Roman" w:hAnsi="Times New Roman"/>
          <w:sz w:val="24"/>
        </w:rPr>
        <w:t xml:space="preserve">” shall mean, initially, the Relevant Rate; provided that if a Benchmark Transition Event has occurred with respect to the Term Rate or the then-current Benchmark, then “Benchmark” shall mean the applicable Benchmark Replacement to the extent that such Benchmark Replacement has replaced such prior benchmark rate pursuant to paragraph (b) of Section 10.1. </w:t>
      </w:r>
    </w:p>
    <w:p>
      <w:pPr>
        <w:pStyle w:val="TextBody"/>
        <w:bidi w:val="0"/>
        <w:spacing w:before="240" w:after="0"/>
        <w:jc w:val="both"/>
        <w:rPr/>
      </w:pPr>
      <w:r>
        <w:rPr/>
        <w:t>“</w:t>
      </w:r>
      <w:r>
        <w:rPr>
          <w:rFonts w:ascii="Times New Roman" w:hAnsi="Times New Roman"/>
          <w:sz w:val="24"/>
          <w:u w:val="single"/>
        </w:rPr>
        <w:t>Benchmark Replacement</w:t>
      </w:r>
      <w:r>
        <w:rPr>
          <w:rFonts w:ascii="Times New Roman" w:hAnsi="Times New Roman"/>
          <w:sz w:val="24"/>
        </w:rPr>
        <w:t xml:space="preserve">” shall mean, with respect to any Benchmark Transition Event for any then-current Benchmark, the first alternative set forth in the order below that can be determined by the Administrative Agent for the applicable Benchmark Replacement Date; provided, that with respect to a Benchmark with respect to any Obligations, interest, fees, commissions or other amounts denominated in any currency other than Dollars or calculated with respect thereto, the alternative set forth in clause (b) below: </w:t>
      </w:r>
    </w:p>
    <w:p>
      <w:pPr>
        <w:pStyle w:val="TextBody"/>
        <w:bidi w:val="0"/>
        <w:spacing w:before="240" w:after="0"/>
        <w:jc w:val="both"/>
        <w:rPr>
          <w:rFonts w:ascii="Times New Roman" w:hAnsi="Times New Roman"/>
          <w:sz w:val="24"/>
        </w:rPr>
      </w:pPr>
      <w:r>
        <w:rPr>
          <w:rFonts w:ascii="Times New Roman" w:hAnsi="Times New Roman"/>
          <w:sz w:val="24"/>
        </w:rPr>
        <w:t xml:space="preserve">(i) the sum of (i) Daily Simple SOFR and (ii) 0.10% (10 basis points); or </w:t>
      </w:r>
    </w:p>
    <w:p>
      <w:pPr>
        <w:pStyle w:val="TextBody"/>
        <w:bidi w:val="0"/>
        <w:spacing w:before="240" w:after="0"/>
        <w:jc w:val="both"/>
        <w:rPr>
          <w:rFonts w:ascii="Times New Roman" w:hAnsi="Times New Roman"/>
          <w:sz w:val="24"/>
        </w:rPr>
      </w:pPr>
      <w:r>
        <w:rPr>
          <w:rFonts w:ascii="Times New Roman" w:hAnsi="Times New Roman"/>
          <w:sz w:val="24"/>
        </w:rPr>
        <w:t xml:space="preserve">(ii) the sum of: (i) the alternate benchmark rate that has been selected by the Administrative Agent and the Company as the replacement for such Benchmark giving due consideration to (A) any selection or recommendation of a replacement benchmark rate or the mechanism for determining such a rate by the Relevant Governmental Body or (B) any evolving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then-prevailing market convention for determining a benchmark rate as a replacement for such Benchmark for syndicated credit facilities denominated in the applicable currency at such time and (ii) the related Benchmark Replacement Adjustment. </w:t>
      </w:r>
    </w:p>
    <w:p>
      <w:pPr>
        <w:pStyle w:val="TextBody"/>
        <w:bidi w:val="0"/>
        <w:spacing w:before="240" w:after="0"/>
        <w:jc w:val="both"/>
        <w:rPr>
          <w:rFonts w:ascii="Times New Roman" w:hAnsi="Times New Roman"/>
          <w:sz w:val="24"/>
        </w:rPr>
      </w:pPr>
      <w:r>
        <w:rPr>
          <w:rFonts w:ascii="Times New Roman" w:hAnsi="Times New Roman"/>
          <w:sz w:val="24"/>
        </w:rPr>
        <w:t xml:space="preserve">If the Benchmark Replacement as determined pursuant to clause (a) or (b) above would be less than the Floor, the Benchmark Replacement will be deemed to be the Floor for the purposes of this Agreement and the other Loan Documents. </w:t>
      </w:r>
    </w:p>
    <w:p>
      <w:pPr>
        <w:pStyle w:val="TextBody"/>
        <w:bidi w:val="0"/>
        <w:spacing w:before="240" w:after="0"/>
        <w:jc w:val="both"/>
        <w:rPr/>
      </w:pPr>
      <w:r>
        <w:rPr/>
        <w:t>“</w:t>
      </w:r>
      <w:r>
        <w:rPr>
          <w:rFonts w:ascii="Times New Roman" w:hAnsi="Times New Roman"/>
          <w:sz w:val="24"/>
          <w:u w:val="single"/>
        </w:rPr>
        <w:t>Benchmark Replacement Adjustment</w:t>
      </w:r>
      <w:r>
        <w:rPr>
          <w:rFonts w:ascii="Times New Roman" w:hAnsi="Times New Roman"/>
          <w:sz w:val="24"/>
        </w:rPr>
        <w:t xml:space="preserve">” shall mean,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p>
    <w:p>
      <w:pPr>
        <w:pStyle w:val="TextBody"/>
        <w:bidi w:val="0"/>
        <w:spacing w:before="240" w:after="0"/>
        <w:jc w:val="both"/>
        <w:rPr/>
      </w:pPr>
      <w:r>
        <w:rPr/>
        <w:t>“</w:t>
      </w:r>
      <w:r>
        <w:rPr>
          <w:rFonts w:ascii="Times New Roman" w:hAnsi="Times New Roman"/>
          <w:sz w:val="24"/>
          <w:u w:val="single"/>
        </w:rPr>
        <w:t>Benchmark Replacement Date</w:t>
      </w:r>
      <w:r>
        <w:rPr>
          <w:rFonts w:ascii="Times New Roman" w:hAnsi="Times New Roman"/>
          <w:sz w:val="24"/>
        </w:rPr>
        <w:t xml:space="preserve">” shall mean a date and time determined by the Administrative Agent, which date shall be no later than the earliest to occur of the following events with respect to the then-current Benchmark for any Agreed Currency: </w:t>
      </w:r>
    </w:p>
    <w:p>
      <w:pPr>
        <w:pStyle w:val="TextBody"/>
        <w:bidi w:val="0"/>
        <w:spacing w:before="240" w:after="0"/>
        <w:jc w:val="both"/>
        <w:rPr>
          <w:rFonts w:ascii="Times New Roman" w:hAnsi="Times New Roman"/>
          <w:sz w:val="24"/>
        </w:rPr>
      </w:pPr>
      <w:r>
        <w:rPr>
          <w:rFonts w:ascii="Times New Roman" w:hAnsi="Times New Roman"/>
          <w:sz w:val="24"/>
        </w:rPr>
        <w:t xml:space="preserve">(i) in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 </w:t>
      </w:r>
    </w:p>
    <w:p>
      <w:pPr>
        <w:pStyle w:val="TextBody"/>
        <w:bidi w:val="0"/>
        <w:spacing w:before="240" w:after="0"/>
        <w:jc w:val="both"/>
        <w:rPr>
          <w:rFonts w:ascii="Times New Roman" w:hAnsi="Times New Roman"/>
          <w:sz w:val="24"/>
        </w:rPr>
      </w:pPr>
      <w:r>
        <w:rPr>
          <w:rFonts w:ascii="Times New Roman" w:hAnsi="Times New Roman"/>
          <w:sz w:val="24"/>
        </w:rPr>
        <w:t xml:space="preserve">(ii) in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 </w:t>
      </w:r>
    </w:p>
    <w:p>
      <w:pPr>
        <w:pStyle w:val="TextBody"/>
        <w:bidi w:val="0"/>
        <w:spacing w:before="240" w:after="0"/>
        <w:jc w:val="both"/>
        <w:rPr>
          <w:rFonts w:ascii="Times New Roman" w:hAnsi="Times New Roman"/>
          <w:sz w:val="24"/>
        </w:rPr>
      </w:pPr>
      <w:r>
        <w:rPr>
          <w:rFonts w:ascii="Times New Roman" w:hAnsi="Times New Roman"/>
          <w:sz w:val="24"/>
        </w:rPr>
        <w:t xml:space="preserve">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Benchmark Transition Event</w:t>
      </w:r>
      <w:r>
        <w:rPr>
          <w:rFonts w:ascii="Times New Roman" w:hAnsi="Times New Roman"/>
          <w:sz w:val="24"/>
        </w:rPr>
        <w:t xml:space="preserve">” shall mean, with respect to the then-current Benchmark for any Agreed Currency, the occurrence of one or more of the following events with respect to such Benchmark: </w:t>
      </w:r>
    </w:p>
    <w:p>
      <w:pPr>
        <w:pStyle w:val="TextBody"/>
        <w:bidi w:val="0"/>
        <w:spacing w:before="240" w:after="0"/>
        <w:jc w:val="both"/>
        <w:rPr>
          <w:rFonts w:ascii="Times New Roman" w:hAnsi="Times New Roman"/>
          <w:sz w:val="24"/>
        </w:rPr>
      </w:pPr>
      <w:r>
        <w:rPr>
          <w:rFonts w:ascii="Times New Roman" w:hAnsi="Times New Roman"/>
          <w:sz w:val="24"/>
        </w:rPr>
        <w:t xml:space="preserve">(i) a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TextBody"/>
        <w:bidi w:val="0"/>
        <w:spacing w:before="240" w:after="0"/>
        <w:jc w:val="both"/>
        <w:rPr>
          <w:rFonts w:ascii="Times New Roman" w:hAnsi="Times New Roman"/>
          <w:sz w:val="24"/>
        </w:rPr>
      </w:pPr>
      <w:r>
        <w:rPr>
          <w:rFonts w:ascii="Times New Roman" w:hAnsi="Times New Roman"/>
          <w:sz w:val="24"/>
        </w:rPr>
        <w:t xml:space="preserve">(ii) a public statement or publication of information by the regulatory supervisor for the administrator of such Benchmark (or the published component used in the calculation thereof), the Board, the NYFRB, the central bank for the Agreed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in each case which states that the administrator of such Benchmark (or such component thereof)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 </w:t>
      </w:r>
    </w:p>
    <w:p>
      <w:pPr>
        <w:pStyle w:val="TextBody"/>
        <w:bidi w:val="0"/>
        <w:spacing w:before="240" w:after="0"/>
        <w:jc w:val="both"/>
        <w:rPr>
          <w:rFonts w:ascii="Times New Roman" w:hAnsi="Times New Roman"/>
          <w:sz w:val="24"/>
        </w:rPr>
      </w:pPr>
      <w:r>
        <w:rPr>
          <w:rFonts w:ascii="Times New Roman" w:hAnsi="Times New Roman"/>
          <w:sz w:val="24"/>
        </w:rPr>
        <w:t xml:space="preserve">(iii) a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 </w:t>
      </w:r>
    </w:p>
    <w:p>
      <w:pPr>
        <w:pStyle w:val="TextBody"/>
        <w:bidi w:val="0"/>
        <w:spacing w:before="240" w:after="0"/>
        <w:jc w:val="both"/>
        <w:rPr>
          <w:rFonts w:ascii="Times New Roman" w:hAnsi="Times New Roman"/>
          <w:sz w:val="24"/>
        </w:rPr>
      </w:pPr>
      <w:r>
        <w:rPr>
          <w:rFonts w:ascii="Times New Roman" w:hAnsi="Times New Roman"/>
          <w:sz w:val="24"/>
        </w:rPr>
        <w:t xml:space="preserve">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both"/>
        <w:rPr/>
      </w:pPr>
      <w:r>
        <w:rPr/>
        <w:t>“</w:t>
      </w:r>
      <w:r>
        <w:rPr>
          <w:rFonts w:ascii="Times New Roman" w:hAnsi="Times New Roman"/>
          <w:sz w:val="24"/>
          <w:u w:val="single"/>
        </w:rPr>
        <w:t>Benchmark Unavailability Period</w:t>
      </w:r>
      <w:r>
        <w:rPr>
          <w:rFonts w:ascii="Times New Roman" w:hAnsi="Times New Roman"/>
          <w:sz w:val="24"/>
        </w:rPr>
        <w:t xml:space="preserve">” shall mean, with respect to any then-current Benchmark for any Agreed Currency, the period (if any) (a) beginning at the time that a Benchmark Replacement Date with respect to such Benchmark has occurred if, at such time, no Benchmark Replacement has replaced such Benchmark for all purposes hereunder and under any Loan Document in accordance with Section 10.1 and (b) ending at the time that a Benchmark Replacement has replaced such Benchmark for all purposes hereunder and under any Loan Document in accordance with Section 10.1.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Beneficial Ownership Certification</w:t>
      </w:r>
      <w:r>
        <w:rPr>
          <w:rFonts w:ascii="Times New Roman" w:hAnsi="Times New Roman"/>
          <w:sz w:val="24"/>
        </w:rPr>
        <w:t xml:space="preserve">” shall mean a certification regarding beneficial ownership or control as required by the Beneficial Ownership Regulation. </w:t>
      </w:r>
    </w:p>
    <w:p>
      <w:pPr>
        <w:pStyle w:val="TextBody"/>
        <w:bidi w:val="0"/>
        <w:spacing w:before="240" w:after="0"/>
        <w:jc w:val="both"/>
        <w:rPr/>
      </w:pPr>
      <w:r>
        <w:rPr/>
        <w:t>“</w:t>
      </w:r>
      <w:r>
        <w:rPr>
          <w:rFonts w:ascii="Times New Roman" w:hAnsi="Times New Roman"/>
          <w:sz w:val="24"/>
          <w:u w:val="single"/>
        </w:rPr>
        <w:t>Beneficial Ownership Regulation</w:t>
      </w:r>
      <w:r>
        <w:rPr>
          <w:rFonts w:ascii="Times New Roman" w:hAnsi="Times New Roman"/>
          <w:sz w:val="24"/>
        </w:rPr>
        <w:t>” shall mean 31 C.F.R. § 1010.230. “</w:t>
      </w:r>
      <w:r>
        <w:rPr>
          <w:rFonts w:ascii="Times New Roman" w:hAnsi="Times New Roman"/>
          <w:sz w:val="24"/>
          <w:u w:val="single"/>
        </w:rPr>
        <w:t>Board</w:t>
      </w:r>
      <w:r>
        <w:rPr>
          <w:rFonts w:ascii="Times New Roman" w:hAnsi="Times New Roman"/>
          <w:sz w:val="24"/>
        </w:rPr>
        <w:t xml:space="preserve">” shall mean the Board of Governors of the Federal Reserve System. </w:t>
      </w:r>
    </w:p>
    <w:p>
      <w:pPr>
        <w:pStyle w:val="TextBody"/>
        <w:bidi w:val="0"/>
        <w:spacing w:before="240" w:after="0"/>
        <w:jc w:val="both"/>
        <w:rPr/>
      </w:pPr>
      <w:r>
        <w:rPr/>
        <w:t>“</w:t>
      </w:r>
      <w:r>
        <w:rPr>
          <w:rFonts w:ascii="Times New Roman" w:hAnsi="Times New Roman"/>
          <w:sz w:val="24"/>
          <w:u w:val="single"/>
        </w:rPr>
        <w:t>Borrower</w:t>
      </w:r>
      <w:r>
        <w:rPr>
          <w:rFonts w:ascii="Times New Roman" w:hAnsi="Times New Roman"/>
          <w:sz w:val="24"/>
        </w:rPr>
        <w:t xml:space="preserve">” shall mean the Company. </w:t>
      </w:r>
    </w:p>
    <w:p>
      <w:pPr>
        <w:pStyle w:val="TextBody"/>
        <w:bidi w:val="0"/>
        <w:spacing w:before="240" w:after="0"/>
        <w:jc w:val="both"/>
        <w:rPr/>
      </w:pPr>
      <w:r>
        <w:rPr/>
        <w:t>“</w:t>
      </w:r>
      <w:r>
        <w:rPr>
          <w:rFonts w:ascii="Times New Roman" w:hAnsi="Times New Roman"/>
          <w:sz w:val="24"/>
          <w:u w:val="single"/>
        </w:rPr>
        <w:t>Borrower Materials</w:t>
      </w:r>
      <w:r>
        <w:rPr>
          <w:rFonts w:ascii="Times New Roman" w:hAnsi="Times New Roman"/>
          <w:sz w:val="24"/>
        </w:rPr>
        <w:t xml:space="preserve">” shall have the meaning ascribed thereto in </w:t>
      </w:r>
      <w:r>
        <w:rPr>
          <w:rFonts w:ascii="Times New Roman" w:hAnsi="Times New Roman"/>
          <w:sz w:val="24"/>
          <w:u w:val="single"/>
        </w:rPr>
        <w:t>Section 6.6</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Business Day</w:t>
      </w:r>
      <w:r>
        <w:rPr>
          <w:rFonts w:ascii="Times New Roman" w:hAnsi="Times New Roman"/>
          <w:sz w:val="24"/>
        </w:rPr>
        <w:t xml:space="preserve">” shall mean any day other than a Saturday, Sunday or other day on which commercial banks are authorized to close under the laws of, or are in fact closed in, the state where the Administrative Agent’s Office with respect to Obligations denominated in Dollars is located and </w:t>
      </w:r>
    </w:p>
    <w:p>
      <w:pPr>
        <w:pStyle w:val="TextBody"/>
        <w:bidi w:val="0"/>
        <w:spacing w:before="240" w:after="0"/>
        <w:jc w:val="both"/>
        <w:rPr>
          <w:rFonts w:ascii="Times New Roman" w:hAnsi="Times New Roman"/>
          <w:sz w:val="24"/>
        </w:rPr>
      </w:pPr>
      <w:r>
        <w:rPr>
          <w:rFonts w:ascii="Times New Roman" w:hAnsi="Times New Roman"/>
          <w:sz w:val="24"/>
        </w:rPr>
        <w:t xml:space="preserve">(i) if such day relates to any Revolving Loan made as a Term Rate Advance and denominated in Euro, shall mean any such day that is also a TARGET Day; </w:t>
      </w:r>
    </w:p>
    <w:p>
      <w:pPr>
        <w:pStyle w:val="TextBody"/>
        <w:bidi w:val="0"/>
        <w:spacing w:before="240" w:after="0"/>
        <w:jc w:val="both"/>
        <w:rPr>
          <w:rFonts w:ascii="Times New Roman" w:hAnsi="Times New Roman"/>
          <w:sz w:val="24"/>
        </w:rPr>
      </w:pPr>
      <w:r>
        <w:rPr>
          <w:rFonts w:ascii="Times New Roman" w:hAnsi="Times New Roman"/>
          <w:sz w:val="24"/>
        </w:rPr>
        <w:t xml:space="preserve">(ii) if such day relates to any Revolving Loan made as a Term Rate Advance and denominated in a currency other than Dollars, Yen or Euro, shall also mean any such day on which dealings in deposits in the relevant currency are conducted by and between banks in the London or other applicable offshore interbank market for such currency; </w:t>
      </w:r>
    </w:p>
    <w:p>
      <w:pPr>
        <w:pStyle w:val="TextBody"/>
        <w:bidi w:val="0"/>
        <w:spacing w:before="240" w:after="0"/>
        <w:jc w:val="both"/>
        <w:rPr>
          <w:rFonts w:ascii="Times New Roman" w:hAnsi="Times New Roman"/>
          <w:sz w:val="24"/>
        </w:rPr>
      </w:pPr>
      <w:r>
        <w:rPr>
          <w:rFonts w:ascii="Times New Roman" w:hAnsi="Times New Roman"/>
          <w:sz w:val="24"/>
        </w:rPr>
        <w:t xml:space="preserve">(iii) if such day relates to any Revolving Loan made as an SONIA Rate Advance, any day (other than a Saturday or a Sunday) on which banks are open for business in London; and </w:t>
      </w:r>
    </w:p>
    <w:p>
      <w:pPr>
        <w:pStyle w:val="TextBody"/>
        <w:bidi w:val="0"/>
        <w:spacing w:before="240" w:after="0"/>
        <w:jc w:val="both"/>
        <w:rPr>
          <w:rFonts w:ascii="Times New Roman" w:hAnsi="Times New Roman"/>
          <w:sz w:val="24"/>
        </w:rPr>
      </w:pPr>
      <w:r>
        <w:rPr>
          <w:rFonts w:ascii="Times New Roman" w:hAnsi="Times New Roman"/>
          <w:sz w:val="24"/>
        </w:rPr>
        <w:t xml:space="preserve">(iv) if such day relates to any Revolving Loan made as a Term Rate Advance and denominated in Yen, shall mean any such day on which banks are also open for business in Japan. </w:t>
      </w:r>
    </w:p>
    <w:p>
      <w:pPr>
        <w:pStyle w:val="TextBody"/>
        <w:bidi w:val="0"/>
        <w:spacing w:before="240" w:after="0"/>
        <w:jc w:val="both"/>
        <w:rPr/>
      </w:pPr>
      <w:r>
        <w:rPr/>
        <w:t>“</w:t>
      </w:r>
      <w:r>
        <w:rPr>
          <w:rFonts w:ascii="Times New Roman" w:hAnsi="Times New Roman"/>
          <w:sz w:val="24"/>
          <w:u w:val="single"/>
        </w:rPr>
        <w:t>Capitalized Lease Obligation</w:t>
      </w:r>
      <w:r>
        <w:rPr>
          <w:rFonts w:ascii="Times New Roman" w:hAnsi="Times New Roman"/>
          <w:sz w:val="24"/>
        </w:rPr>
        <w:t xml:space="preserve">” shall mean that portion of any obligation of a Person as lessee under a lease which at the time would be required to be capitalized on the balance sheet of such lessee in accordance with GAAP. </w:t>
      </w:r>
    </w:p>
    <w:p>
      <w:pPr>
        <w:pStyle w:val="TextBody"/>
        <w:bidi w:val="0"/>
        <w:spacing w:before="240" w:after="0"/>
        <w:jc w:val="both"/>
        <w:rPr/>
      </w:pPr>
      <w:r>
        <w:rPr/>
        <w:t>“</w:t>
      </w:r>
      <w:r>
        <w:rPr>
          <w:rFonts w:ascii="Times New Roman" w:hAnsi="Times New Roman"/>
          <w:sz w:val="24"/>
          <w:u w:val="single"/>
        </w:rPr>
        <w:t>Cash Collateralize</w:t>
      </w:r>
      <w:r>
        <w:rPr>
          <w:rFonts w:ascii="Times New Roman" w:hAnsi="Times New Roman"/>
          <w:sz w:val="24"/>
        </w:rPr>
        <w:t xml:space="preserve">” shall mean to pledge and deposit with or deliver to the Administrative Agent, for the benefit of the Administrative Agent or Issuing Banks (as applicable) and the Lenders, as collateral for L/C Obligations, or obligations of Lenders to fund participations in respect thereof, cash or deposit account balances or, if the Issuing Bank benefiting from such collateral shall agree in its sole discretion, other credit support, in each case pursuant to documentation in form and substance satisfactory to (a) the Administrative Agent and (b) the applicable Issuing Bank. “Cash Collateral” shall have a meaning correlative to the foregoing and shall include the proceeds of such cash collateral and other credit support. </w:t>
      </w:r>
    </w:p>
    <w:p>
      <w:pPr>
        <w:pStyle w:val="TextBody"/>
        <w:bidi w:val="0"/>
        <w:spacing w:before="240" w:after="0"/>
        <w:jc w:val="both"/>
        <w:rPr/>
      </w:pPr>
      <w:r>
        <w:rPr/>
        <w:t>“</w:t>
      </w:r>
      <w:r>
        <w:rPr>
          <w:rFonts w:ascii="Times New Roman" w:hAnsi="Times New Roman"/>
          <w:sz w:val="24"/>
          <w:u w:val="single"/>
        </w:rPr>
        <w:t>Cash Equivalents</w:t>
      </w:r>
      <w:r>
        <w:rPr>
          <w:rFonts w:ascii="Times New Roman" w:hAnsi="Times New Roman"/>
          <w:sz w:val="24"/>
        </w:rPr>
        <w:t xml:space="preserve">” shall mean ‘cash equivalents’ as defined under and determined in accordance with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Change of Control</w:t>
      </w:r>
      <w:r>
        <w:rPr>
          <w:rFonts w:ascii="Times New Roman" w:hAnsi="Times New Roman"/>
          <w:sz w:val="24"/>
        </w:rPr>
        <w:t xml:space="preserve">” shall mean (a) the acquisition, directly or indirectly, by any Person or group (as such term is used in Section 13(d)(3) of the Exchange Act) of more than fifty percent (50%) of the voting power of the voting stock of either the Company (if the Company is not a Subsidiary of any Person) or of the ultimate parent entity of which the Company is a Subsidiary (if the Company is a Subsidiary of any Person), as the case may be, by way of merger or consolidation or otherwise, or (b) a change shall occur in a majority of the members of the Company’s board of directors (including the Chairman and President) within a year-long period such that such majority shall no longer consist of Continuing Directors. </w:t>
      </w:r>
    </w:p>
    <w:p>
      <w:pPr>
        <w:pStyle w:val="TextBody"/>
        <w:bidi w:val="0"/>
        <w:spacing w:before="240" w:after="0"/>
        <w:jc w:val="both"/>
        <w:rPr/>
      </w:pPr>
      <w:r>
        <w:rPr/>
        <w:t>“</w:t>
      </w:r>
      <w:r>
        <w:rPr>
          <w:rFonts w:ascii="Times New Roman" w:hAnsi="Times New Roman"/>
          <w:sz w:val="24"/>
          <w:u w:val="single"/>
        </w:rPr>
        <w:t>Code</w:t>
      </w:r>
      <w:r>
        <w:rPr>
          <w:rFonts w:ascii="Times New Roman" w:hAnsi="Times New Roman"/>
          <w:sz w:val="24"/>
        </w:rPr>
        <w:t xml:space="preserve">” shall mean the Internal Revenue Code of 1986, as amended from time to time. </w:t>
      </w:r>
    </w:p>
    <w:p>
      <w:pPr>
        <w:pStyle w:val="TextBody"/>
        <w:bidi w:val="0"/>
        <w:spacing w:before="240" w:after="0"/>
        <w:jc w:val="both"/>
        <w:rPr/>
      </w:pPr>
      <w:r>
        <w:rPr/>
        <w:t>“</w:t>
      </w:r>
      <w:r>
        <w:rPr>
          <w:rFonts w:ascii="Times New Roman" w:hAnsi="Times New Roman"/>
          <w:sz w:val="24"/>
          <w:u w:val="single"/>
        </w:rPr>
        <w:t>Commercial Letter of Credit</w:t>
      </w:r>
      <w:r>
        <w:rPr>
          <w:rFonts w:ascii="Times New Roman" w:hAnsi="Times New Roman"/>
          <w:sz w:val="24"/>
        </w:rPr>
        <w:t xml:space="preserve">” shall mean a documentary letter of credit issued in respect of the purchase of goods or services by the Company or any of its Subsidiaries by an Issuing Bank in accordance with the terms of this Agreement. </w:t>
      </w:r>
    </w:p>
    <w:p>
      <w:pPr>
        <w:pStyle w:val="TextBody"/>
        <w:bidi w:val="0"/>
        <w:spacing w:before="240" w:after="0"/>
        <w:jc w:val="both"/>
        <w:rPr/>
      </w:pPr>
      <w:r>
        <w:rPr/>
        <w:t>“</w:t>
      </w:r>
      <w:r>
        <w:rPr>
          <w:rFonts w:ascii="Times New Roman" w:hAnsi="Times New Roman"/>
          <w:sz w:val="24"/>
          <w:u w:val="single"/>
        </w:rPr>
        <w:t>Commitment Ratio</w:t>
      </w:r>
      <w:r>
        <w:rPr>
          <w:rFonts w:ascii="Times New Roman" w:hAnsi="Times New Roman"/>
          <w:sz w:val="24"/>
        </w:rPr>
        <w:t xml:space="preserve">” shall mean the percentage in which a Lender is severally bound to fund its portion of Advances to the Company under the Revolving Loan Commitments, as set forth on </w:t>
      </w:r>
      <w:r>
        <w:rPr>
          <w:rFonts w:ascii="Times New Roman" w:hAnsi="Times New Roman"/>
          <w:sz w:val="24"/>
          <w:u w:val="single"/>
        </w:rPr>
        <w:t>Schedule 1</w:t>
      </w:r>
      <w:r>
        <w:rPr>
          <w:rFonts w:ascii="Times New Roman" w:hAnsi="Times New Roman"/>
          <w:sz w:val="24"/>
        </w:rPr>
        <w:t xml:space="preserve"> attached hereto (together with Dollar amounts) (and which may change from time to time in accordance with the terms hereof). </w:t>
      </w:r>
    </w:p>
    <w:p>
      <w:pPr>
        <w:pStyle w:val="TextBody"/>
        <w:bidi w:val="0"/>
        <w:spacing w:before="240" w:after="0"/>
        <w:jc w:val="both"/>
        <w:rPr/>
      </w:pPr>
      <w:r>
        <w:rPr/>
        <w:t>“</w:t>
      </w:r>
      <w:r>
        <w:rPr>
          <w:rFonts w:ascii="Times New Roman" w:hAnsi="Times New Roman"/>
          <w:sz w:val="24"/>
          <w:u w:val="single"/>
        </w:rPr>
        <w:t>Commitments</w:t>
      </w:r>
      <w:r>
        <w:rPr>
          <w:rFonts w:ascii="Times New Roman" w:hAnsi="Times New Roman"/>
          <w:sz w:val="24"/>
        </w:rPr>
        <w:t xml:space="preserve">” shall mean, collectively, the Revolving Loan Commitments and, if applicable, the L/C Commitments. </w:t>
      </w:r>
    </w:p>
    <w:p>
      <w:pPr>
        <w:pStyle w:val="TextBody"/>
        <w:bidi w:val="0"/>
        <w:spacing w:before="240" w:after="0"/>
        <w:jc w:val="both"/>
        <w:rPr/>
      </w:pPr>
      <w:r>
        <w:rPr/>
        <w:t>“</w:t>
      </w:r>
      <w:r>
        <w:rPr>
          <w:rFonts w:ascii="Times New Roman" w:hAnsi="Times New Roman"/>
          <w:sz w:val="24"/>
          <w:u w:val="single"/>
        </w:rPr>
        <w:t>Communications Act</w:t>
      </w:r>
      <w:r>
        <w:rPr>
          <w:rFonts w:ascii="Times New Roman" w:hAnsi="Times New Roman"/>
          <w:sz w:val="24"/>
        </w:rPr>
        <w:t xml:space="preserve">” shall mean the Communications Act of 1934, and any similar or successor Federal statute, and the rules and regulations of the FCC or other similar or successor agency thereunder, all as the same may be in effect from time to time. </w:t>
      </w:r>
    </w:p>
    <w:p>
      <w:pPr>
        <w:pStyle w:val="TextBody"/>
        <w:bidi w:val="0"/>
        <w:spacing w:before="240" w:after="0"/>
        <w:jc w:val="both"/>
        <w:rPr/>
      </w:pPr>
      <w:r>
        <w:rPr/>
        <w:t>“</w:t>
      </w:r>
      <w:r>
        <w:rPr>
          <w:rFonts w:ascii="Times New Roman" w:hAnsi="Times New Roman"/>
          <w:sz w:val="24"/>
          <w:u w:val="single"/>
        </w:rPr>
        <w:t>Company</w:t>
      </w:r>
      <w:r>
        <w:rPr>
          <w:rFonts w:ascii="Times New Roman" w:hAnsi="Times New Roman"/>
          <w:sz w:val="24"/>
        </w:rPr>
        <w:t xml:space="preserve">” shall have the meaning ascribed thereto in the preamble hereof. </w:t>
      </w:r>
    </w:p>
    <w:p>
      <w:pPr>
        <w:pStyle w:val="TextBody"/>
        <w:bidi w:val="0"/>
        <w:spacing w:before="240" w:after="0"/>
        <w:jc w:val="both"/>
        <w:rPr/>
      </w:pPr>
      <w:r>
        <w:rPr/>
        <w:t>“</w:t>
      </w:r>
      <w:r>
        <w:rPr>
          <w:rFonts w:ascii="Times New Roman" w:hAnsi="Times New Roman"/>
          <w:sz w:val="24"/>
          <w:u w:val="single"/>
        </w:rPr>
        <w:t>Conforming Changes</w:t>
      </w:r>
      <w:r>
        <w:rPr>
          <w:rFonts w:ascii="Times New Roman" w:hAnsi="Times New Roman"/>
          <w:sz w:val="24"/>
        </w:rPr>
        <w:t xml:space="preserve">” shall mean, with respect to either the use or administration of an initial Benchmark or the use, administration, adoption or implementation of any Benchmark Replacement, any technical, administrative or operational changes (including changes to the definition of “the Base Rate” (if applicable),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2.9 and other technical, administrative or operational matters) that the Administrative Agent decides (in consultation with the Company) may be appropriate to reflect the adoption and implementation of any such rate or to permit the use and administration thereof by the Administrative Agent in a manner substantially consistent with market practice (or, if the Administrative Agent decides (in consultation with the Company) that adoption of any portion of such market practice is not administratively feasible or if the Administrative Agent determines (in consultation with the Company) that no market practice for the administration of any such rate exists, in such other manner of administration as the Administrative Agent decides (in consultation with the Company) is reasonably necessary in connection with the administration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Consolidated Total Assets</w:t>
      </w:r>
      <w:r>
        <w:rPr>
          <w:rFonts w:ascii="Times New Roman" w:hAnsi="Times New Roman"/>
          <w:sz w:val="24"/>
        </w:rPr>
        <w:t xml:space="preserve">” shall mean as of any date the total assets of the Company and its Subsidiaries on a consolidated basis shown on the consolidated balance sheet of the Company and its Subsidiaries as of such date and determined in accordance with GAAP. </w:t>
      </w:r>
    </w:p>
    <w:p>
      <w:pPr>
        <w:pStyle w:val="TextBody"/>
        <w:bidi w:val="0"/>
        <w:spacing w:before="240" w:after="0"/>
        <w:jc w:val="both"/>
        <w:rPr/>
      </w:pPr>
      <w:r>
        <w:rPr/>
        <w:t>“</w:t>
      </w:r>
      <w:r>
        <w:rPr>
          <w:rFonts w:ascii="Times New Roman" w:hAnsi="Times New Roman"/>
          <w:sz w:val="24"/>
          <w:u w:val="single"/>
        </w:rPr>
        <w:t>Continue</w:t>
      </w:r>
      <w:r>
        <w:rPr>
          <w:rFonts w:ascii="Times New Roman" w:hAnsi="Times New Roman"/>
          <w:sz w:val="24"/>
        </w:rPr>
        <w:t>”, “</w:t>
      </w:r>
      <w:r>
        <w:rPr>
          <w:rFonts w:ascii="Times New Roman" w:hAnsi="Times New Roman"/>
          <w:sz w:val="24"/>
          <w:u w:val="single"/>
        </w:rPr>
        <w:t>Continuation</w:t>
      </w:r>
      <w:r>
        <w:rPr>
          <w:rFonts w:ascii="Times New Roman" w:hAnsi="Times New Roman"/>
          <w:sz w:val="24"/>
        </w:rPr>
        <w:t>”, “</w:t>
      </w:r>
      <w:r>
        <w:rPr>
          <w:rFonts w:ascii="Times New Roman" w:hAnsi="Times New Roman"/>
          <w:sz w:val="24"/>
          <w:u w:val="single"/>
        </w:rPr>
        <w:t>Continuing</w:t>
      </w:r>
      <w:r>
        <w:rPr>
          <w:rFonts w:ascii="Times New Roman" w:hAnsi="Times New Roman"/>
          <w:sz w:val="24"/>
        </w:rPr>
        <w:t>” and “</w:t>
      </w:r>
      <w:r>
        <w:rPr>
          <w:rFonts w:ascii="Times New Roman" w:hAnsi="Times New Roman"/>
          <w:sz w:val="24"/>
          <w:u w:val="single"/>
        </w:rPr>
        <w:t>Continued</w:t>
      </w:r>
      <w:r>
        <w:rPr>
          <w:rFonts w:ascii="Times New Roman" w:hAnsi="Times New Roman"/>
          <w:sz w:val="24"/>
        </w:rPr>
        <w:t xml:space="preserve">” shall mean the continuation pursuant to Article 2 hereof of a Term Rate Advance as a Term Rate Advance from one Interest Period to a different Interest Period. </w:t>
      </w:r>
    </w:p>
    <w:p>
      <w:pPr>
        <w:pStyle w:val="TextBody"/>
        <w:bidi w:val="0"/>
        <w:spacing w:before="240" w:after="0"/>
        <w:jc w:val="both"/>
        <w:rPr/>
      </w:pPr>
      <w:r>
        <w:rPr/>
        <w:t>“</w:t>
      </w:r>
      <w:r>
        <w:rPr>
          <w:rFonts w:ascii="Times New Roman" w:hAnsi="Times New Roman"/>
          <w:sz w:val="24"/>
          <w:u w:val="single"/>
        </w:rPr>
        <w:t>Continuing Director</w:t>
      </w:r>
      <w:r>
        <w:rPr>
          <w:rFonts w:ascii="Times New Roman" w:hAnsi="Times New Roman"/>
          <w:sz w:val="24"/>
        </w:rPr>
        <w:t xml:space="preserve">” shall mean a director who either (a) was a member of the Company’s board of directors on the date of this Agreement, (b) becomes a member of the Company’s board of directors subsequent to the date of this Agreement and whose appointment, election or nomination for election by the Company’s stockholders is duly approved by a majority of the directors referred to in clause (a) above constituting at the time of such appointment, election or nomination at least a majority of that board, or (c) becomes a member of the Company’s board of directors subsequent to the date of this Agreement and whose appointment, election or nomination for election by the Company’s stockholders is duly approved by a majority of the directors referred to in clauses (a) and (b) above constituting at the time of such appointment, election or nomination at least a majority of that board. </w:t>
      </w:r>
    </w:p>
    <w:p>
      <w:pPr>
        <w:pStyle w:val="TextBody"/>
        <w:bidi w:val="0"/>
        <w:spacing w:before="240" w:after="0"/>
        <w:jc w:val="both"/>
        <w:rPr/>
      </w:pPr>
      <w:r>
        <w:rPr/>
        <w:t>“</w:t>
      </w:r>
      <w:r>
        <w:rPr>
          <w:rFonts w:ascii="Times New Roman" w:hAnsi="Times New Roman"/>
          <w:sz w:val="24"/>
          <w:u w:val="single"/>
        </w:rPr>
        <w:t>Convert</w:t>
      </w:r>
      <w:r>
        <w:rPr>
          <w:rFonts w:ascii="Times New Roman" w:hAnsi="Times New Roman"/>
          <w:sz w:val="24"/>
        </w:rPr>
        <w:t>”, “</w:t>
      </w:r>
      <w:r>
        <w:rPr>
          <w:rFonts w:ascii="Times New Roman" w:hAnsi="Times New Roman"/>
          <w:sz w:val="24"/>
          <w:u w:val="single"/>
        </w:rPr>
        <w:t>Conversion</w:t>
      </w:r>
      <w:r>
        <w:rPr>
          <w:rFonts w:ascii="Times New Roman" w:hAnsi="Times New Roman"/>
          <w:sz w:val="24"/>
        </w:rPr>
        <w:t>” and “</w:t>
      </w:r>
      <w:r>
        <w:rPr>
          <w:rFonts w:ascii="Times New Roman" w:hAnsi="Times New Roman"/>
          <w:sz w:val="24"/>
          <w:u w:val="single"/>
        </w:rPr>
        <w:t>Converted</w:t>
      </w:r>
      <w:r>
        <w:rPr>
          <w:rFonts w:ascii="Times New Roman" w:hAnsi="Times New Roman"/>
          <w:sz w:val="24"/>
        </w:rPr>
        <w:t xml:space="preserve">” shall mean a conversion pursuant to Article 2 hereof of a Term Rate Advance denominated in Dollars into a Base Rate Advance or of a Base Rate Advance into a Term Rate Advance, as applicable. </w:t>
      </w:r>
    </w:p>
    <w:p>
      <w:pPr>
        <w:pStyle w:val="TextBody"/>
        <w:bidi w:val="0"/>
        <w:spacing w:before="240" w:after="0"/>
        <w:jc w:val="both"/>
        <w:rPr/>
      </w:pPr>
      <w:r>
        <w:rPr/>
        <w:t>“</w:t>
      </w:r>
      <w:r>
        <w:rPr>
          <w:rFonts w:ascii="Times New Roman" w:hAnsi="Times New Roman"/>
          <w:sz w:val="24"/>
          <w:u w:val="single"/>
        </w:rPr>
        <w:t>Credit Extension</w:t>
      </w:r>
      <w:r>
        <w:rPr>
          <w:rFonts w:ascii="Times New Roman" w:hAnsi="Times New Roman"/>
          <w:sz w:val="24"/>
        </w:rPr>
        <w:t xml:space="preserve">” shall mean each of the following: (a) an Advance and (b) with respect to any Letter of Credit, the issuance thereof or extension of the expiry date thereof, or the increase of the amount thereof. </w:t>
      </w:r>
    </w:p>
    <w:p>
      <w:pPr>
        <w:pStyle w:val="TextBody"/>
        <w:bidi w:val="0"/>
        <w:spacing w:before="240" w:after="0"/>
        <w:jc w:val="both"/>
        <w:rPr/>
      </w:pPr>
      <w:r>
        <w:rPr/>
        <w:t>“</w:t>
      </w:r>
      <w:r>
        <w:rPr>
          <w:rFonts w:ascii="Times New Roman" w:hAnsi="Times New Roman"/>
          <w:sz w:val="24"/>
          <w:u w:val="single"/>
        </w:rPr>
        <w:t>Daily Simple SOFR</w:t>
      </w:r>
      <w:r>
        <w:rPr>
          <w:rFonts w:ascii="Times New Roman" w:hAnsi="Times New Roman"/>
          <w:sz w:val="24"/>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240" w:after="0"/>
        <w:jc w:val="both"/>
        <w:rPr/>
      </w:pPr>
      <w:r>
        <w:rPr/>
        <w:t>“</w:t>
      </w:r>
      <w:r>
        <w:rPr>
          <w:rFonts w:ascii="Times New Roman" w:hAnsi="Times New Roman"/>
          <w:sz w:val="24"/>
          <w:u w:val="single"/>
        </w:rPr>
        <w:t>Debt Rating</w:t>
      </w:r>
      <w:r>
        <w:rPr>
          <w:rFonts w:ascii="Times New Roman" w:hAnsi="Times New Roman"/>
          <w:sz w:val="24"/>
        </w:rPr>
        <w:t xml:space="preserve">” shall mean, as of any date, the senior unsecured debt rating of the Company that has been most recently announced by S&amp;P, Moody’s or Fitch, as the case may be. </w:t>
      </w:r>
    </w:p>
    <w:p>
      <w:pPr>
        <w:pStyle w:val="TextBody"/>
        <w:bidi w:val="0"/>
        <w:spacing w:before="240" w:after="0"/>
        <w:jc w:val="both"/>
        <w:rPr/>
      </w:pPr>
      <w:r>
        <w:rPr/>
        <w:t>“</w:t>
      </w:r>
      <w:r>
        <w:rPr>
          <w:rFonts w:ascii="Times New Roman" w:hAnsi="Times New Roman"/>
          <w:sz w:val="24"/>
          <w:u w:val="single"/>
        </w:rPr>
        <w:t>Default</w:t>
      </w:r>
      <w:r>
        <w:rPr>
          <w:rFonts w:ascii="Times New Roman" w:hAnsi="Times New Roman"/>
          <w:sz w:val="24"/>
        </w:rPr>
        <w:t xml:space="preserve">” shall mean any Event of Default, and any of the events specified in </w:t>
      </w:r>
      <w:r>
        <w:rPr>
          <w:rFonts w:ascii="Times New Roman" w:hAnsi="Times New Roman"/>
          <w:sz w:val="24"/>
          <w:u w:val="single"/>
        </w:rPr>
        <w:t>Section 8.1</w:t>
      </w:r>
      <w:r>
        <w:rPr>
          <w:rFonts w:ascii="Times New Roman" w:hAnsi="Times New Roman"/>
          <w:sz w:val="24"/>
        </w:rPr>
        <w:t xml:space="preserve"> hereof, regardless of whether there shall have occurred any passage of time or giving of notice, or both, that would be necessary in order to constitute such event an Event of Default. </w:t>
      </w:r>
    </w:p>
    <w:p>
      <w:pPr>
        <w:pStyle w:val="TextBody"/>
        <w:bidi w:val="0"/>
        <w:spacing w:before="240" w:after="0"/>
        <w:jc w:val="both"/>
        <w:rPr/>
      </w:pPr>
      <w:r>
        <w:rPr/>
        <w:t>“</w:t>
      </w:r>
      <w:r>
        <w:rPr>
          <w:rFonts w:ascii="Times New Roman" w:hAnsi="Times New Roman"/>
          <w:sz w:val="24"/>
          <w:u w:val="single"/>
        </w:rPr>
        <w:t>Default Rate</w:t>
      </w:r>
      <w:r>
        <w:rPr>
          <w:rFonts w:ascii="Times New Roman" w:hAnsi="Times New Roman"/>
          <w:sz w:val="24"/>
        </w:rPr>
        <w:t xml:space="preserve">” shall mean a simple per annum interest rate equal to the sum of (a) the then applicable Interest Rate Basis (including the Applicable Margin), and (b) two percent (2.0%). </w:t>
      </w:r>
    </w:p>
    <w:p>
      <w:pPr>
        <w:pStyle w:val="TextBody"/>
        <w:bidi w:val="0"/>
        <w:spacing w:before="240" w:after="0"/>
        <w:jc w:val="both"/>
        <w:rPr/>
      </w:pPr>
      <w:r>
        <w:rPr/>
        <w:t>“</w:t>
      </w:r>
      <w:r>
        <w:rPr>
          <w:rFonts w:ascii="Times New Roman" w:hAnsi="Times New Roman"/>
          <w:sz w:val="24"/>
          <w:u w:val="single"/>
        </w:rPr>
        <w:t>Defaulting Lender</w:t>
      </w:r>
      <w:r>
        <w:rPr>
          <w:rFonts w:ascii="Times New Roman" w:hAnsi="Times New Roman"/>
          <w:sz w:val="24"/>
        </w:rPr>
        <w:t xml:space="preserve">” shall mean, subject to </w:t>
      </w:r>
      <w:r>
        <w:rPr>
          <w:rFonts w:ascii="Times New Roman" w:hAnsi="Times New Roman"/>
          <w:sz w:val="24"/>
          <w:u w:val="single"/>
        </w:rPr>
        <w:t>Section 2.16(b)</w:t>
      </w:r>
      <w:r>
        <w:rPr>
          <w:rFonts w:ascii="Times New Roman" w:hAnsi="Times New Roman"/>
          <w:sz w:val="24"/>
        </w:rPr>
        <w:t xml:space="preserve">, any Lender that, as determined by the Administrative Agent, (a) has failed to perform any of its funding obligations hereunder, including in respect of its Loans or participations in respect of Letters of Credit or Swingline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Loans, within three (3) Business Days of the date required to be funded by it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Company, or the Administrative Agent, an Issuing Bank or the Swingline Lender that it does not intend to comply with its funding obligations hereunder or has made a public statement to that effect with respect to its funding obligations hereunder or under other agreements generally in which it commits to extend credit, (c) has failed, within three (3) Business Days after request by the Administrative Agent, to confirm in a manner reasonably satisfactory to the Administrative Agent that it will comply with its funding obligations under this Agreement, or (d) has, or has a direct or indirect parent company that has, other than via an Undisclosed Administration, (i) become the subject of a voluntary proceeding under any bankruptcy or other debtor relief law or has become the subject of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voluntary or involuntary proceeding under any bankruptcy or other debtor relief law or any such appointment; </w:t>
      </w:r>
      <w:r>
        <w:rPr>
          <w:rFonts w:ascii="Times New Roman" w:hAnsi="Times New Roman"/>
          <w:sz w:val="24"/>
          <w:u w:val="single"/>
        </w:rPr>
        <w:t>provided</w:t>
      </w:r>
      <w:r>
        <w:rPr>
          <w:rFonts w:ascii="Times New Roman" w:hAnsi="Times New Roman"/>
          <w:sz w:val="24"/>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hAnsi="Times New Roman"/>
          <w:sz w:val="24"/>
          <w:u w:val="single"/>
        </w:rPr>
        <w:t>Section 2.16(b)</w:t>
      </w:r>
      <w:r>
        <w:rPr>
          <w:rFonts w:ascii="Times New Roman" w:hAnsi="Times New Roman"/>
          <w:sz w:val="24"/>
        </w:rPr>
        <w:t xml:space="preserve">) upon delivery of written notice of such determination to the Company, each Issuing Bank, the Swingline Lender and each Lender. </w:t>
      </w:r>
    </w:p>
    <w:p>
      <w:pPr>
        <w:pStyle w:val="TextBody"/>
        <w:bidi w:val="0"/>
        <w:spacing w:before="240" w:after="0"/>
        <w:jc w:val="both"/>
        <w:rPr/>
      </w:pPr>
      <w:r>
        <w:rPr/>
        <w:t>“</w:t>
      </w:r>
      <w:r>
        <w:rPr>
          <w:rFonts w:ascii="Times New Roman" w:hAnsi="Times New Roman"/>
          <w:sz w:val="24"/>
          <w:u w:val="single"/>
        </w:rPr>
        <w:t>Designated Person</w:t>
      </w:r>
      <w:r>
        <w:rPr>
          <w:rFonts w:ascii="Times New Roman" w:hAnsi="Times New Roman"/>
          <w:sz w:val="24"/>
        </w:rPr>
        <w:t>” shall mean a person or entity subject of Sanctions Law and Regulations, including, (a) listed in the annex to, or otherwise subject to the provisions of, any Executive Order (as defined in the definition of “Sanctions Laws and Regulations”), (b) named as a “Specifically Designated National and Blocked Person” on the most current list published by the U.S. Department of the Treasury Office of Foreign Assets Control at its official website or any replacement website or other replacement official publication of such list (the “</w:t>
      </w:r>
      <w:r>
        <w:rPr>
          <w:rFonts w:ascii="Times New Roman" w:hAnsi="Times New Roman"/>
          <w:sz w:val="24"/>
          <w:u w:val="single"/>
        </w:rPr>
        <w:t>SDN List</w:t>
      </w:r>
      <w:r>
        <w:rPr>
          <w:rFonts w:ascii="Times New Roman" w:hAnsi="Times New Roman"/>
          <w:sz w:val="24"/>
        </w:rPr>
        <w:t xml:space="preserve">”), (c) any Person listed in any sanctions-related list of designated Persons maintained by the United Nations Security Council, the European Union, the United Kingdom or any EU member state, (d) any Person located, organized or resident in a Sanctioned Country or (e) in which an entity or person on the SDN List (or any combination of such entities or persons) has 50% or greater direct or indirect ownership interest or that is otherwise controlled, directly or indirectly, by an entity or person on the SDN List (or any combination of such entities or persons). </w:t>
      </w:r>
    </w:p>
    <w:p>
      <w:pPr>
        <w:pStyle w:val="TextBody"/>
        <w:bidi w:val="0"/>
        <w:spacing w:before="240" w:after="0"/>
        <w:jc w:val="both"/>
        <w:rPr/>
      </w:pPr>
      <w:r>
        <w:rPr/>
        <w:t>“</w:t>
      </w:r>
      <w:r>
        <w:rPr>
          <w:rFonts w:ascii="Times New Roman" w:hAnsi="Times New Roman"/>
          <w:sz w:val="24"/>
          <w:u w:val="single"/>
        </w:rPr>
        <w:t>Dollar</w:t>
      </w:r>
      <w:r>
        <w:rPr>
          <w:rFonts w:ascii="Times New Roman" w:hAnsi="Times New Roman"/>
          <w:sz w:val="24"/>
        </w:rPr>
        <w:t>” and “</w:t>
      </w:r>
      <w:r>
        <w:rPr>
          <w:rFonts w:ascii="Times New Roman" w:hAnsi="Times New Roman"/>
          <w:sz w:val="24"/>
          <w:u w:val="single"/>
        </w:rPr>
        <w:t>$</w:t>
      </w:r>
      <w:r>
        <w:rPr>
          <w:rFonts w:ascii="Times New Roman" w:hAnsi="Times New Roman"/>
          <w:sz w:val="24"/>
        </w:rPr>
        <w:t xml:space="preserve">” shall mean lawful money of the United States. </w:t>
      </w:r>
    </w:p>
    <w:p>
      <w:pPr>
        <w:pStyle w:val="TextBody"/>
        <w:bidi w:val="0"/>
        <w:spacing w:before="240" w:after="0"/>
        <w:jc w:val="both"/>
        <w:rPr/>
      </w:pPr>
      <w:r>
        <w:rPr/>
        <w:t>“</w:t>
      </w:r>
      <w:r>
        <w:rPr>
          <w:rFonts w:ascii="Times New Roman" w:hAnsi="Times New Roman"/>
          <w:sz w:val="24"/>
          <w:u w:val="single"/>
        </w:rPr>
        <w:t>Dollar Equivalent</w:t>
      </w:r>
      <w:r>
        <w:rPr>
          <w:rFonts w:ascii="Times New Roman" w:hAnsi="Times New Roman"/>
          <w:sz w:val="24"/>
        </w:rPr>
        <w:t xml:space="preserve">” shall mean, at any time, (a) with respect to any amount denominated in Dollars, such amount, and (b) with respect to any amount denominated in any Alternative Currency, the equivalent amount thereof in Dollars as determined by the Administrative Agent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relevant Issuing Bank, as the case may be, at such time on the basis of the Spot Rate (determined in respect of the most recent Revaluation Date) for the purchase of Dollars with such Alternative Currency. </w:t>
      </w:r>
    </w:p>
    <w:p>
      <w:pPr>
        <w:pStyle w:val="TextBody"/>
        <w:bidi w:val="0"/>
        <w:spacing w:before="240" w:after="0"/>
        <w:jc w:val="both"/>
        <w:rPr/>
      </w:pPr>
      <w:r>
        <w:rPr/>
        <w:t>“</w:t>
      </w:r>
      <w:r>
        <w:rPr>
          <w:rFonts w:ascii="Times New Roman" w:hAnsi="Times New Roman"/>
          <w:sz w:val="24"/>
          <w:u w:val="single"/>
        </w:rPr>
        <w:t>Domestic Subsidiary</w:t>
      </w:r>
      <w:r>
        <w:rPr>
          <w:rFonts w:ascii="Times New Roman" w:hAnsi="Times New Roman"/>
          <w:sz w:val="24"/>
        </w:rPr>
        <w:t xml:space="preserve">” shall mean, with respect to any Person, any Subsidiary of such Person that is not a Foreign Subsidiary. Unless otherwise qualified, all references to a “Domestic Subsidiary” or to “Domestic Subsidiaries” in this Agreement shall refer to a Domestic Subsidiary or Domestic Subsidiaries of the Company. </w:t>
      </w:r>
    </w:p>
    <w:p>
      <w:pPr>
        <w:pStyle w:val="TextBody"/>
        <w:bidi w:val="0"/>
        <w:spacing w:before="240" w:after="0"/>
        <w:jc w:val="both"/>
        <w:rPr/>
      </w:pPr>
      <w:r>
        <w:rPr/>
        <w:t>“</w:t>
      </w:r>
      <w:r>
        <w:rPr>
          <w:rFonts w:ascii="Times New Roman" w:hAnsi="Times New Roman"/>
          <w:sz w:val="24"/>
          <w:u w:val="single"/>
        </w:rPr>
        <w:t>EEA Financial Institution</w:t>
      </w:r>
      <w:r>
        <w:rPr>
          <w:rFonts w:ascii="Times New Roman" w:hAnsi="Times New Roman"/>
          <w:sz w:val="24"/>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both"/>
        <w:rPr/>
      </w:pPr>
      <w:r>
        <w:rPr/>
        <w:t>“</w:t>
      </w:r>
      <w:r>
        <w:rPr>
          <w:rFonts w:ascii="Times New Roman" w:hAnsi="Times New Roman"/>
          <w:sz w:val="24"/>
          <w:u w:val="single"/>
        </w:rPr>
        <w:t>EEA Member Country</w:t>
      </w:r>
      <w:r>
        <w:rPr>
          <w:rFonts w:ascii="Times New Roman" w:hAnsi="Times New Roman"/>
          <w:sz w:val="24"/>
        </w:rPr>
        <w:t xml:space="preserve">” shall mean any of the member states of the European Union, Iceland, Liechtenstein and Norway. </w:t>
      </w:r>
    </w:p>
    <w:p>
      <w:pPr>
        <w:pStyle w:val="TextBody"/>
        <w:bidi w:val="0"/>
        <w:spacing w:before="240" w:after="0"/>
        <w:jc w:val="both"/>
        <w:rPr/>
      </w:pPr>
      <w:r>
        <w:rPr/>
        <w:t>“</w:t>
      </w:r>
      <w:r>
        <w:rPr>
          <w:rFonts w:ascii="Times New Roman" w:hAnsi="Times New Roman"/>
          <w:sz w:val="24"/>
          <w:u w:val="single"/>
        </w:rPr>
        <w:t>EEA Resolution Authority</w:t>
      </w:r>
      <w:r>
        <w:rPr>
          <w:rFonts w:ascii="Times New Roman" w:hAnsi="Times New Roman"/>
          <w:sz w:val="24"/>
        </w:rPr>
        <w:t xml:space="preserve">” shall mean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both"/>
        <w:rPr/>
      </w:pPr>
      <w:r>
        <w:rPr/>
        <w:t>“</w:t>
      </w:r>
      <w:r>
        <w:rPr>
          <w:rFonts w:ascii="Times New Roman" w:hAnsi="Times New Roman"/>
          <w:sz w:val="24"/>
          <w:u w:val="single"/>
        </w:rPr>
        <w:t>Effective Date</w:t>
      </w:r>
      <w:r>
        <w:rPr>
          <w:rFonts w:ascii="Times New Roman" w:hAnsi="Times New Roman"/>
          <w:sz w:val="24"/>
        </w:rPr>
        <w:t xml:space="preserve">” shall mean the date when all of the conditions set forth in Section 3.1 shall have been satisfied or waived. </w:t>
      </w:r>
    </w:p>
    <w:p>
      <w:pPr>
        <w:pStyle w:val="TextBody"/>
        <w:bidi w:val="0"/>
        <w:spacing w:before="240" w:after="0"/>
        <w:jc w:val="both"/>
        <w:rPr/>
      </w:pPr>
      <w:r>
        <w:rPr/>
        <w:t>“</w:t>
      </w:r>
      <w:r>
        <w:rPr>
          <w:rFonts w:ascii="Times New Roman" w:hAnsi="Times New Roman"/>
          <w:sz w:val="24"/>
          <w:u w:val="single"/>
        </w:rPr>
        <w:t>Effective Date Credit Agreements</w:t>
      </w:r>
      <w:r>
        <w:rPr>
          <w:rFonts w:ascii="Times New Roman" w:hAnsi="Times New Roman"/>
          <w:sz w:val="24"/>
        </w:rPr>
        <w:t>” shall mean (i) the Third Amended and Restated Multicurrency Revolving Credit Agreement dated as of the Effective Date, among the Borrower and certain agents and lenders from time to time party thereto, (ii) the 364-Day Term Loan Agreement, dated as of the Effective Date, among the Borrower, JPMorgan Chase Bank, N.A., as administrative agent, and certain agents and lenders from time to time party thereto (the “</w:t>
      </w:r>
      <w:r>
        <w:rPr>
          <w:rFonts w:ascii="Times New Roman" w:hAnsi="Times New Roman"/>
          <w:sz w:val="24"/>
          <w:u w:val="single"/>
        </w:rPr>
        <w:t>364-Day Term Loan Agreement</w:t>
      </w:r>
      <w:r>
        <w:rPr>
          <w:rFonts w:ascii="Times New Roman" w:hAnsi="Times New Roman"/>
          <w:sz w:val="24"/>
        </w:rPr>
        <w:t>”) (iii) the 2-Year Term Loan Agreement, dated as of the Effective Date, among the Borrower, JPMorgan Chase Bank, N.A., as administrative agent, and certain agents and lenders from time to time party thereto (the “</w:t>
      </w:r>
      <w:r>
        <w:rPr>
          <w:rFonts w:ascii="Times New Roman" w:hAnsi="Times New Roman"/>
          <w:sz w:val="24"/>
          <w:u w:val="single"/>
        </w:rPr>
        <w:t>2-Year Term Loan Agreement</w:t>
      </w:r>
      <w:r>
        <w:rPr>
          <w:rFonts w:ascii="Times New Roman" w:hAnsi="Times New Roman"/>
          <w:sz w:val="24"/>
        </w:rPr>
        <w:t xml:space="preserve">”) and (iv) the Second Amended and Restated Term Loan Agreement, dated as of the Effective Date among the Borrower, Mizuho Bank, Ltd., as administrative agent, and certain agents and lenders from time to time party thereto. </w:t>
      </w:r>
    </w:p>
    <w:p>
      <w:pPr>
        <w:pStyle w:val="TextBody"/>
        <w:bidi w:val="0"/>
        <w:spacing w:before="240" w:after="0"/>
        <w:jc w:val="both"/>
        <w:rPr/>
      </w:pPr>
      <w:r>
        <w:rPr/>
        <w:t>“</w:t>
      </w:r>
      <w:r>
        <w:rPr>
          <w:rFonts w:ascii="Times New Roman" w:hAnsi="Times New Roman"/>
          <w:sz w:val="24"/>
          <w:u w:val="single"/>
        </w:rPr>
        <w:t>EMU</w:t>
      </w:r>
      <w:r>
        <w:rPr>
          <w:rFonts w:ascii="Times New Roman" w:hAnsi="Times New Roman"/>
          <w:sz w:val="24"/>
        </w:rPr>
        <w:t xml:space="preserve">” shall mean the economic and monetary union in accordance with the Treaty of Rome 1957, as amended by the Single European Act 1986, the Maastricht Treaty of 1992 and the Amsterdam Treaty of 1998. </w:t>
      </w:r>
    </w:p>
    <w:p>
      <w:pPr>
        <w:pStyle w:val="TextBody"/>
        <w:bidi w:val="0"/>
        <w:spacing w:before="240" w:after="0"/>
        <w:jc w:val="both"/>
        <w:rPr/>
      </w:pPr>
      <w:r>
        <w:rPr/>
        <w:t>“</w:t>
      </w:r>
      <w:r>
        <w:rPr>
          <w:rFonts w:ascii="Times New Roman" w:hAnsi="Times New Roman"/>
          <w:sz w:val="24"/>
          <w:u w:val="single"/>
        </w:rPr>
        <w:t>EMU Legislation</w:t>
      </w:r>
      <w:r>
        <w:rPr>
          <w:rFonts w:ascii="Times New Roman" w:hAnsi="Times New Roman"/>
          <w:sz w:val="24"/>
        </w:rPr>
        <w:t xml:space="preserve">” shall mean the legislative measures of the EMU for the introduction of, changeover to or operation of a single or unified European currency. </w:t>
      </w:r>
    </w:p>
    <w:p>
      <w:pPr>
        <w:pStyle w:val="TextBody"/>
        <w:bidi w:val="0"/>
        <w:spacing w:before="240" w:after="0"/>
        <w:jc w:val="both"/>
        <w:rPr/>
      </w:pPr>
      <w:r>
        <w:rPr/>
        <w:t>“</w:t>
      </w:r>
      <w:r>
        <w:rPr>
          <w:rFonts w:ascii="Times New Roman" w:hAnsi="Times New Roman"/>
          <w:sz w:val="24"/>
          <w:u w:val="single"/>
        </w:rPr>
        <w:t>ERISA</w:t>
      </w:r>
      <w:r>
        <w:rPr>
          <w:rFonts w:ascii="Times New Roman" w:hAnsi="Times New Roman"/>
          <w:sz w:val="24"/>
        </w:rPr>
        <w:t xml:space="preserve">” shall mean the Employee Retirement Income Security Act of 1974,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ERISA Affiliate</w:t>
      </w:r>
      <w:r>
        <w:rPr>
          <w:rFonts w:ascii="Times New Roman" w:hAnsi="Times New Roman"/>
          <w:sz w:val="24"/>
        </w:rPr>
        <w:t xml:space="preserve">” shall mean any Person, including a Subsidiary or an Affiliate of the Company, that is a member of any group of organizations of which the Company is a member and is treated as a single employer with the Company under Section 414 of the Code. </w:t>
      </w:r>
    </w:p>
    <w:p>
      <w:pPr>
        <w:pStyle w:val="TextBody"/>
        <w:bidi w:val="0"/>
        <w:spacing w:before="240" w:after="0"/>
        <w:jc w:val="both"/>
        <w:rPr/>
      </w:pPr>
      <w:r>
        <w:rPr/>
        <w:t>“</w:t>
      </w:r>
      <w:r>
        <w:rPr>
          <w:rFonts w:ascii="Times New Roman" w:hAnsi="Times New Roman"/>
          <w:sz w:val="24"/>
          <w:u w:val="single"/>
        </w:rPr>
        <w:t>EU Bail-In Legislation Schedule</w:t>
      </w:r>
      <w:r>
        <w:rPr>
          <w:rFonts w:ascii="Times New Roman" w:hAnsi="Times New Roman"/>
          <w:sz w:val="24"/>
        </w:rPr>
        <w:t xml:space="preserve">” shall mean the EU Bail-In Legislation Schedule published by the Loan Market Association (or any successor Person), as in effect from time to time. </w:t>
      </w:r>
    </w:p>
    <w:p>
      <w:pPr>
        <w:pStyle w:val="TextBody"/>
        <w:bidi w:val="0"/>
        <w:spacing w:before="240" w:after="0"/>
        <w:jc w:val="both"/>
        <w:rPr/>
      </w:pPr>
      <w:r>
        <w:rPr/>
        <w:t>“</w:t>
      </w:r>
      <w:r>
        <w:rPr>
          <w:rFonts w:ascii="Times New Roman" w:hAnsi="Times New Roman"/>
          <w:sz w:val="24"/>
          <w:u w:val="single"/>
        </w:rPr>
        <w:t>EURIBOR Rate</w:t>
      </w:r>
      <w:r>
        <w:rPr>
          <w:rFonts w:ascii="Times New Roman" w:hAnsi="Times New Roman"/>
          <w:sz w:val="24"/>
        </w:rPr>
        <w:t xml:space="preserve">” shall mean, for any Interest Period for each Advance denominated in Euro, an interest rate per annum equal to (a) the Euro interbank offered rate administered by the Banking Federation and of the European Union (or any other person which takes over administration of that rate) for the relevant period displayed on page EURIBOR01 of the Reuters screen at or about 11:00 A.M. (Central European time) two TARGET Days before the first day of such Interest Period or, if such page or such service shall cease to be available, such other page or such other service for the purpose of displaying an average rate of the Banking Federation of the EMU as the Administrative Agent, after consultation with the Lenders and the Company, shall reasonably select or (b) if no quotation for the Euro for the relevant period is displayed and the Administrative Agent has not selected an alternative service on which a quotation is displayed, the rate per annum at which deposits in Euro for delivery on the first day of such Interest Period in same day funds in the approximate amount of the Term Rate Advance being made, Continued and with a term equivalent to such Interest Period would be offered by Toronto Dominion’s London branch (or other branch or Affiliate) to leading banks in the European interbank market at or about 11:00 A.M. (Central European time) two TARGET Days before the first day of such Interest Period. </w:t>
      </w:r>
    </w:p>
    <w:p>
      <w:pPr>
        <w:pStyle w:val="TextBody"/>
        <w:bidi w:val="0"/>
        <w:spacing w:before="240" w:after="0"/>
        <w:jc w:val="both"/>
        <w:rPr/>
      </w:pPr>
      <w:r>
        <w:rPr/>
        <w:t>“</w:t>
      </w:r>
      <w:r>
        <w:rPr>
          <w:rFonts w:ascii="Times New Roman" w:hAnsi="Times New Roman"/>
          <w:sz w:val="24"/>
          <w:u w:val="single"/>
        </w:rPr>
        <w:t>Euro</w:t>
      </w:r>
      <w:r>
        <w:rPr>
          <w:rFonts w:ascii="Times New Roman" w:hAnsi="Times New Roman"/>
          <w:sz w:val="24"/>
        </w:rPr>
        <w:t>”, “</w:t>
      </w:r>
      <w:r>
        <w:rPr>
          <w:rFonts w:ascii="Times New Roman" w:hAnsi="Times New Roman"/>
          <w:sz w:val="24"/>
          <w:u w:val="single"/>
        </w:rPr>
        <w:t>EUR</w:t>
      </w:r>
      <w:r>
        <w:rPr>
          <w:rFonts w:ascii="Times New Roman" w:hAnsi="Times New Roman"/>
          <w:sz w:val="24"/>
        </w:rPr>
        <w:t xml:space="preserve">” and “” shall mean the lawful currency of the Participating Member States introduced in accordance with the EMU Legislation. </w:t>
      </w:r>
    </w:p>
    <w:p>
      <w:pPr>
        <w:pStyle w:val="TextBody"/>
        <w:bidi w:val="0"/>
        <w:spacing w:before="240" w:after="0"/>
        <w:jc w:val="both"/>
        <w:rPr/>
      </w:pPr>
      <w:r>
        <w:rPr/>
        <w:t>“</w:t>
      </w:r>
      <w:r>
        <w:rPr>
          <w:rFonts w:ascii="Times New Roman" w:hAnsi="Times New Roman"/>
          <w:sz w:val="24"/>
          <w:u w:val="single"/>
        </w:rPr>
        <w:t>Event of Default</w:t>
      </w:r>
      <w:r>
        <w:rPr>
          <w:rFonts w:ascii="Times New Roman" w:hAnsi="Times New Roman"/>
          <w:sz w:val="24"/>
        </w:rPr>
        <w:t xml:space="preserve">” shall mean any of the events specified in </w:t>
      </w:r>
      <w:r>
        <w:rPr>
          <w:rFonts w:ascii="Times New Roman" w:hAnsi="Times New Roman"/>
          <w:sz w:val="24"/>
          <w:u w:val="single"/>
        </w:rPr>
        <w:t>Section 8.1</w:t>
      </w:r>
      <w:r>
        <w:rPr>
          <w:rFonts w:ascii="Times New Roman" w:hAnsi="Times New Roman"/>
          <w:sz w:val="24"/>
        </w:rPr>
        <w:t xml:space="preserve">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requirement stated therein for notice or lapse of time, or both, has been satisfied. </w:t>
      </w:r>
    </w:p>
    <w:p>
      <w:pPr>
        <w:pStyle w:val="TextBody"/>
        <w:bidi w:val="0"/>
        <w:spacing w:before="240" w:after="0"/>
        <w:jc w:val="both"/>
        <w:rPr/>
      </w:pPr>
      <w:r>
        <w:rPr/>
        <w:t>“</w:t>
      </w:r>
      <w:r>
        <w:rPr>
          <w:rFonts w:ascii="Times New Roman" w:hAnsi="Times New Roman"/>
          <w:sz w:val="24"/>
          <w:u w:val="single"/>
        </w:rPr>
        <w:t>Exchange Act</w:t>
      </w:r>
      <w:r>
        <w:rPr>
          <w:rFonts w:ascii="Times New Roman" w:hAnsi="Times New Roman"/>
          <w:sz w:val="24"/>
        </w:rPr>
        <w:t>” shall mean the Securities Exchange Act of 1934, as amended. “</w:t>
      </w:r>
      <w:r>
        <w:rPr>
          <w:rFonts w:ascii="Times New Roman" w:hAnsi="Times New Roman"/>
          <w:sz w:val="24"/>
          <w:u w:val="single"/>
        </w:rPr>
        <w:t>Existing ABS Facility</w:t>
      </w:r>
      <w:r>
        <w:rPr>
          <w:rFonts w:ascii="Times New Roman" w:hAnsi="Times New Roman"/>
          <w:sz w:val="24"/>
        </w:rPr>
        <w:t xml:space="preserve">” shall mean each mortgage loan facility existing on the Effective Date and listed on Schedule 3. </w:t>
      </w:r>
    </w:p>
    <w:p>
      <w:pPr>
        <w:pStyle w:val="TextBody"/>
        <w:bidi w:val="0"/>
        <w:spacing w:before="240" w:after="0"/>
        <w:jc w:val="both"/>
        <w:rPr/>
      </w:pPr>
      <w:r>
        <w:rPr/>
        <w:t>“</w:t>
      </w:r>
      <w:r>
        <w:rPr>
          <w:rFonts w:ascii="Times New Roman" w:hAnsi="Times New Roman"/>
          <w:sz w:val="24"/>
          <w:u w:val="single"/>
        </w:rPr>
        <w:t>Existing Credit Agreements</w:t>
      </w:r>
      <w:r>
        <w:rPr>
          <w:rFonts w:ascii="Times New Roman" w:hAnsi="Times New Roman"/>
          <w:sz w:val="24"/>
        </w:rPr>
        <w:t>” shall mean (i) the Third Amended and Restated Multicurrency Revolving Credit Agreement dated as of the Effective Date and amended as of June 29, 2023, as of June 27, 2024</w:t>
      </w:r>
      <w:r>
        <w:rPr>
          <w:rFonts w:ascii="Times New Roman" w:hAnsi="Times New Roman"/>
          <w:strike/>
          <w:color w:val="FF0000"/>
          <w:sz w:val="24"/>
        </w:rPr>
        <w:t xml:space="preserve"> and</w:t>
      </w:r>
      <w:r>
        <w:rPr>
          <w:rFonts w:ascii="Times New Roman" w:hAnsi="Times New Roman"/>
          <w:color w:val="0000FF"/>
          <w:sz w:val="24"/>
          <w:u w:val="single"/>
          <w:bdr w:val="double" w:sz="2" w:space="1" w:color="000000"/>
        </w:rPr>
        <w:t>,</w:t>
      </w:r>
      <w:r>
        <w:rPr>
          <w:rFonts w:ascii="Times New Roman" w:hAnsi="Times New Roman"/>
          <w:sz w:val="24"/>
        </w:rPr>
        <w:t xml:space="preserve"> as of January 28, 2025</w:t>
      </w:r>
      <w:r>
        <w:rPr>
          <w:rFonts w:ascii="Times New Roman" w:hAnsi="Times New Roman"/>
          <w:color w:val="0000FF"/>
          <w:sz w:val="24"/>
          <w:u w:val="single"/>
          <w:bdr w:val="double" w:sz="2" w:space="1" w:color="000000"/>
        </w:rPr>
        <w:t xml:space="preserve"> and as of May 7, 2026</w:t>
      </w:r>
      <w:r>
        <w:rPr>
          <w:rFonts w:ascii="Times New Roman" w:hAnsi="Times New Roman"/>
          <w:sz w:val="24"/>
        </w:rPr>
        <w:t>, among the Borrower</w:t>
      </w:r>
      <w:r>
        <w:rPr>
          <w:rFonts w:ascii="Times New Roman" w:hAnsi="Times New Roman"/>
          <w:color w:val="0000FF"/>
          <w:sz w:val="24"/>
          <w:u w:val="single"/>
          <w:bdr w:val="double" w:sz="2" w:space="1" w:color="000000"/>
        </w:rPr>
        <w:t>, ATC International Financing II B.V., any other subsidiary borrowers party thereto</w:t>
      </w:r>
      <w:r>
        <w:rPr>
          <w:rFonts w:ascii="Times New Roman" w:hAnsi="Times New Roman"/>
          <w:sz w:val="24"/>
        </w:rPr>
        <w:t xml:space="preserve"> </w:t>
      </w:r>
      <w:r>
        <w:rPr>
          <w:rFonts w:ascii="Times New Roman" w:hAnsi="Times New Roman"/>
          <w:color w:val="0000FF"/>
          <w:sz w:val="24"/>
          <w:u w:val="single"/>
          <w:bdr w:val="double" w:sz="2" w:space="1" w:color="000000"/>
        </w:rPr>
        <w:t>from time to time</w:t>
      </w:r>
      <w:r>
        <w:rPr>
          <w:rFonts w:ascii="Times New Roman" w:hAnsi="Times New Roman"/>
          <w:sz w:val="24"/>
        </w:rPr>
        <w:t xml:space="preserve"> and certain agents and lenders from time to time party thereto; and (ii) the Second Amended and Restated Term Loan Agreement, dated as of the Effective Date and amended as of June 29, 2023</w:t>
      </w:r>
      <w:r>
        <w:rPr>
          <w:rFonts w:ascii="Times New Roman" w:hAnsi="Times New Roman"/>
          <w:strike/>
          <w:color w:val="FF0000"/>
          <w:sz w:val="24"/>
        </w:rPr>
        <w:t xml:space="preserve"> and</w:t>
      </w:r>
      <w:r>
        <w:rPr>
          <w:rFonts w:ascii="Times New Roman" w:hAnsi="Times New Roman"/>
          <w:color w:val="0000FF"/>
          <w:sz w:val="24"/>
          <w:u w:val="single"/>
          <w:bdr w:val="double" w:sz="2" w:space="1" w:color="000000"/>
        </w:rPr>
        <w:t>,</w:t>
      </w:r>
      <w:r>
        <w:rPr>
          <w:rFonts w:ascii="Times New Roman" w:hAnsi="Times New Roman"/>
          <w:sz w:val="24"/>
        </w:rPr>
        <w:t xml:space="preserve"> as of January 28, 2025</w:t>
      </w:r>
      <w:r>
        <w:rPr>
          <w:rFonts w:ascii="Times New Roman" w:hAnsi="Times New Roman"/>
          <w:color w:val="0000FF"/>
          <w:sz w:val="24"/>
          <w:u w:val="single"/>
          <w:bdr w:val="double" w:sz="2" w:space="1" w:color="000000"/>
        </w:rPr>
        <w:t xml:space="preserve"> and as of May 7, 2026</w:t>
      </w:r>
      <w:r>
        <w:rPr>
          <w:rFonts w:ascii="Times New Roman" w:hAnsi="Times New Roman"/>
          <w:sz w:val="24"/>
        </w:rPr>
        <w:t xml:space="preserve">, among the Borrower, Mizuho Bank, Ltd., as administrative agent, and certain agents and lenders from time to time party thereto. </w:t>
      </w:r>
    </w:p>
    <w:p>
      <w:pPr>
        <w:pStyle w:val="TextBody"/>
        <w:bidi w:val="0"/>
        <w:spacing w:before="240" w:after="0"/>
        <w:jc w:val="both"/>
        <w:rPr/>
      </w:pPr>
      <w:r>
        <w:rPr/>
        <w:t>“</w:t>
      </w:r>
      <w:r>
        <w:rPr>
          <w:rFonts w:ascii="Times New Roman" w:hAnsi="Times New Roman"/>
          <w:sz w:val="24"/>
          <w:u w:val="single"/>
        </w:rPr>
        <w:t>Existing USD Credit Agreement</w:t>
      </w:r>
      <w:r>
        <w:rPr>
          <w:rFonts w:ascii="Times New Roman" w:hAnsi="Times New Roman"/>
          <w:sz w:val="24"/>
        </w:rPr>
        <w:t xml:space="preserve">” shall mean the Third Amended and Restated Revolving Credit Agreement dated as of February 10, 2021 (as amended, amended and restated or otherwise supplemented from time to time immediately prior to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Extending Lender</w:t>
      </w:r>
      <w:r>
        <w:rPr>
          <w:rFonts w:ascii="Times New Roman" w:hAnsi="Times New Roman"/>
          <w:sz w:val="24"/>
        </w:rPr>
        <w:t xml:space="preserve">” shall have the meaning ascribed thereto in </w:t>
      </w:r>
      <w:r>
        <w:rPr>
          <w:rFonts w:ascii="Times New Roman" w:hAnsi="Times New Roman"/>
          <w:sz w:val="24"/>
          <w:u w:val="single"/>
        </w:rPr>
        <w:t>Section 2.18</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Extension Date</w:t>
      </w:r>
      <w:r>
        <w:rPr>
          <w:rFonts w:ascii="Times New Roman" w:hAnsi="Times New Roman"/>
          <w:sz w:val="24"/>
        </w:rPr>
        <w:t xml:space="preserve">” shall have the meaning ascribed thereto in </w:t>
      </w:r>
      <w:r>
        <w:rPr>
          <w:rFonts w:ascii="Times New Roman" w:hAnsi="Times New Roman"/>
          <w:sz w:val="24"/>
          <w:u w:val="single"/>
        </w:rPr>
        <w:t>Section 2.18</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FATCA</w:t>
      </w:r>
      <w:r>
        <w:rPr>
          <w:rFonts w:ascii="Times New Roman" w:hAnsi="Times New Roman"/>
          <w:sz w:val="24"/>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both"/>
        <w:rPr/>
      </w:pPr>
      <w:r>
        <w:rPr/>
        <w:t>“</w:t>
      </w:r>
      <w:r>
        <w:rPr>
          <w:rFonts w:ascii="Times New Roman" w:hAnsi="Times New Roman"/>
          <w:sz w:val="24"/>
          <w:u w:val="single"/>
        </w:rPr>
        <w:t>FCC</w:t>
      </w:r>
      <w:r>
        <w:rPr>
          <w:rFonts w:ascii="Times New Roman" w:hAnsi="Times New Roman"/>
          <w:sz w:val="24"/>
        </w:rPr>
        <w:t xml:space="preserve">” shall mean the Federal Communications Commission, or any other similar or successor agency of the Federal government administering the Communications Act. </w:t>
      </w:r>
    </w:p>
    <w:p>
      <w:pPr>
        <w:pStyle w:val="TextBody"/>
        <w:bidi w:val="0"/>
        <w:spacing w:before="240" w:after="0"/>
        <w:jc w:val="both"/>
        <w:rPr/>
      </w:pPr>
      <w:r>
        <w:rPr/>
        <w:t>“</w:t>
      </w:r>
      <w:r>
        <w:rPr>
          <w:rFonts w:ascii="Times New Roman" w:hAnsi="Times New Roman"/>
          <w:sz w:val="24"/>
          <w:u w:val="single"/>
        </w:rPr>
        <w:t>Federal Funds Rate</w:t>
      </w:r>
      <w:r>
        <w:rPr>
          <w:rFonts w:ascii="Times New Roman" w:hAnsi="Times New Roman"/>
          <w:sz w:val="24"/>
        </w:rPr>
        <w:t xml:space="preserve">” shall mean, for any day, the greater of (a)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and (b) 0%. </w:t>
      </w:r>
    </w:p>
    <w:p>
      <w:pPr>
        <w:pStyle w:val="TextBody"/>
        <w:bidi w:val="0"/>
        <w:spacing w:before="240" w:after="0"/>
        <w:jc w:val="both"/>
        <w:rPr/>
      </w:pPr>
      <w:r>
        <w:rPr/>
        <w:t>“</w:t>
      </w:r>
      <w:r>
        <w:rPr>
          <w:rFonts w:ascii="Times New Roman" w:hAnsi="Times New Roman"/>
          <w:sz w:val="24"/>
          <w:u w:val="single"/>
        </w:rPr>
        <w:t>Fitch</w:t>
      </w:r>
      <w:r>
        <w:rPr>
          <w:rFonts w:ascii="Times New Roman" w:hAnsi="Times New Roman"/>
          <w:sz w:val="24"/>
        </w:rPr>
        <w:t xml:space="preserve">” shall mean Fitch, Inc. (Fitch Ratings), and its successors. </w:t>
      </w:r>
    </w:p>
    <w:p>
      <w:pPr>
        <w:pStyle w:val="TextBody"/>
        <w:bidi w:val="0"/>
        <w:spacing w:before="240" w:after="0"/>
        <w:jc w:val="both"/>
        <w:rPr/>
      </w:pPr>
      <w:r>
        <w:rPr/>
        <w:t>“</w:t>
      </w:r>
      <w:r>
        <w:rPr>
          <w:rFonts w:ascii="Times New Roman" w:hAnsi="Times New Roman"/>
          <w:sz w:val="24"/>
          <w:u w:val="single"/>
        </w:rPr>
        <w:t>Floor</w:t>
      </w:r>
      <w:r>
        <w:rPr>
          <w:rFonts w:ascii="Times New Roman" w:hAnsi="Times New Roman"/>
          <w:sz w:val="24"/>
        </w:rPr>
        <w:t xml:space="preserve">” shall mean a rate of interest equal to 0.0%. </w:t>
      </w:r>
    </w:p>
    <w:p>
      <w:pPr>
        <w:pStyle w:val="TextBody"/>
        <w:bidi w:val="0"/>
        <w:spacing w:before="240" w:after="0"/>
        <w:jc w:val="both"/>
        <w:rPr/>
      </w:pPr>
      <w:r>
        <w:rPr/>
        <w:t>“</w:t>
      </w:r>
      <w:r>
        <w:rPr>
          <w:rFonts w:ascii="Times New Roman" w:hAnsi="Times New Roman"/>
          <w:sz w:val="24"/>
          <w:u w:val="single"/>
        </w:rPr>
        <w:t>Foreign Subsidiary</w:t>
      </w:r>
      <w:r>
        <w:rPr>
          <w:rFonts w:ascii="Times New Roman" w:hAnsi="Times New Roman"/>
          <w:sz w:val="24"/>
        </w:rPr>
        <w:t xml:space="preserve">” shall mean a Subsidiary whose place of registration, incorporation, organization or domicile is outside of the United States of America. Unless otherwise qualified, all references to a “Foreign Subsidiary” or to “Foreign Subsidiaries” in this Agreement shall refer to a Foreign Subsidiary or Foreign Subsidiaries of the Company. </w:t>
      </w:r>
    </w:p>
    <w:p>
      <w:pPr>
        <w:pStyle w:val="TextBody"/>
        <w:bidi w:val="0"/>
        <w:spacing w:before="240" w:after="0"/>
        <w:jc w:val="both"/>
        <w:rPr/>
      </w:pPr>
      <w:r>
        <w:rPr/>
        <w:t>“</w:t>
      </w:r>
      <w:r>
        <w:rPr>
          <w:rFonts w:ascii="Times New Roman" w:hAnsi="Times New Roman"/>
          <w:sz w:val="24"/>
          <w:u w:val="single"/>
        </w:rPr>
        <w:t>Fronting Exposure</w:t>
      </w:r>
      <w:r>
        <w:rPr>
          <w:rFonts w:ascii="Times New Roman" w:hAnsi="Times New Roman"/>
          <w:sz w:val="24"/>
        </w:rPr>
        <w:t xml:space="preserve">” shall mean, at any time there is a Defaulting Lender, (a) with respect to any Issuing Bank, such Defaulting Lender’s Commitment Ratio of the outstanding L/C Obligations in respect of Letters of Credit issued by such Issuing Bank other than L/C Obligations as to which such Defaulting Lender’s participation obligation has been reallocated to other Lenders or Cash Collateralized in accordance with the terms hereof and (b) with respect to the Swingline Lender, such Defaulting Lender’s Commitment Ratio of Swingline Loans other than Swingline Loans as to which such Defaulting Lender’s participation obligation has been reallocated to other Lenders in accordance with the terms hereof. </w:t>
      </w:r>
    </w:p>
    <w:p>
      <w:pPr>
        <w:pStyle w:val="TextBody"/>
        <w:bidi w:val="0"/>
        <w:spacing w:before="240" w:after="0"/>
        <w:jc w:val="both"/>
        <w:rPr/>
      </w:pPr>
      <w:r>
        <w:rPr/>
        <w:t>“</w:t>
      </w:r>
      <w:r>
        <w:rPr>
          <w:rFonts w:ascii="Times New Roman" w:hAnsi="Times New Roman"/>
          <w:sz w:val="24"/>
          <w:u w:val="single"/>
        </w:rPr>
        <w:t>Funds From Operations</w:t>
      </w:r>
      <w:r>
        <w:rPr>
          <w:rFonts w:ascii="Times New Roman" w:hAnsi="Times New Roman"/>
          <w:sz w:val="24"/>
        </w:rPr>
        <w:t xml:space="preserve">” shall mean net income (computed in accordance with GAAP), excluding gains (or losses) from sales of property and extraordinary and unusual items, </w:t>
      </w:r>
      <w:r>
        <w:rPr>
          <w:rFonts w:ascii="Times New Roman" w:hAnsi="Times New Roman"/>
          <w:i/>
          <w:sz w:val="24"/>
        </w:rPr>
        <w:t xml:space="preserve">plus </w:t>
      </w:r>
      <w:r>
        <w:rPr>
          <w:rFonts w:ascii="Times New Roman" w:hAnsi="Times New Roman"/>
          <w:sz w:val="24"/>
        </w:rPr>
        <w:t xml:space="preserve">depreciation, amortization and dividends declared on preferred stock, and after adjustments for unconsolidated minority interests, on a consolidated basis for the Company and its Subsidiaries. </w:t>
      </w:r>
    </w:p>
    <w:p>
      <w:pPr>
        <w:pStyle w:val="TextBody"/>
        <w:bidi w:val="0"/>
        <w:spacing w:before="240" w:after="0"/>
        <w:jc w:val="both"/>
        <w:rPr/>
      </w:pPr>
      <w:r>
        <w:rPr/>
        <w:t>“</w:t>
      </w:r>
      <w:r>
        <w:rPr>
          <w:rFonts w:ascii="Times New Roman" w:hAnsi="Times New Roman"/>
          <w:sz w:val="24"/>
          <w:u w:val="single"/>
        </w:rPr>
        <w:t>GAAP</w:t>
      </w:r>
      <w:r>
        <w:rPr>
          <w:rFonts w:ascii="Times New Roman" w:hAnsi="Times New Roman"/>
          <w:sz w:val="24"/>
        </w:rPr>
        <w:t xml:space="preserve">” shall mean generally accepted accounting principles in the United States, consistently applied and as in effect on the date of this Agreement. </w:t>
      </w:r>
    </w:p>
    <w:p>
      <w:pPr>
        <w:pStyle w:val="TextBody"/>
        <w:bidi w:val="0"/>
        <w:spacing w:before="240" w:after="0"/>
        <w:jc w:val="both"/>
        <w:rPr/>
      </w:pPr>
      <w:r>
        <w:rPr/>
        <w:t>“</w:t>
      </w:r>
      <w:r>
        <w:rPr>
          <w:rFonts w:ascii="Times New Roman" w:hAnsi="Times New Roman"/>
          <w:sz w:val="24"/>
          <w:u w:val="single"/>
        </w:rPr>
        <w:t>Governmental Authority</w:t>
      </w:r>
      <w:r>
        <w:rPr>
          <w:rFonts w:ascii="Times New Roman" w:hAnsi="Times New Roman"/>
          <w:sz w:val="24"/>
        </w:rPr>
        <w:t xml:space="preserve">” shall mean the government of the United States of America or any other nation, or of any political subdivision thereof, whether state or local, and any agency,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both"/>
        <w:rPr/>
      </w:pPr>
      <w:r>
        <w:rPr/>
        <w:t>“</w:t>
      </w:r>
      <w:r>
        <w:rPr>
          <w:rFonts w:ascii="Times New Roman" w:hAnsi="Times New Roman"/>
          <w:sz w:val="24"/>
          <w:u w:val="single"/>
        </w:rPr>
        <w:t>Granting Lender</w:t>
      </w:r>
      <w:r>
        <w:rPr>
          <w:rFonts w:ascii="Times New Roman" w:hAnsi="Times New Roman"/>
          <w:sz w:val="24"/>
        </w:rPr>
        <w:t xml:space="preserve">” shall have the meaning ascribed thereto in </w:t>
      </w:r>
      <w:r>
        <w:rPr>
          <w:rFonts w:ascii="Times New Roman" w:hAnsi="Times New Roman"/>
          <w:sz w:val="24"/>
          <w:u w:val="single"/>
        </w:rPr>
        <w:t>Section 12.4(f)</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Guaranty</w:t>
      </w:r>
      <w:r>
        <w:rPr>
          <w:rFonts w:ascii="Times New Roman" w:hAnsi="Times New Roman"/>
          <w:sz w:val="24"/>
        </w:rPr>
        <w:t xml:space="preserve">”, as applied to an obligation, shall mean and include (a) a guaranty, direct or indirect, in any manner, of all or any part of such obligation, and (b) any agreement, direct or indirect, contingent or otherwise, the practical effect of which is to assure in any way the payment or performance (or payment of damages in the event of non-performance) of all or any part of such obligation, including, without limiting the foregoing, any reimbursement obligations as to amounts drawn down by beneficiaries of outstanding letters of credit or capital call requirements;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the term “</w:t>
      </w:r>
      <w:r>
        <w:rPr>
          <w:rFonts w:ascii="Times New Roman" w:hAnsi="Times New Roman"/>
          <w:sz w:val="24"/>
          <w:u w:val="single"/>
        </w:rPr>
        <w:t>Guaranty</w:t>
      </w:r>
      <w:r>
        <w:rPr>
          <w:rFonts w:ascii="Times New Roman" w:hAnsi="Times New Roman"/>
          <w:sz w:val="24"/>
        </w:rPr>
        <w:t xml:space="preserve">” shall only include guarantees of Indebtedness. </w:t>
      </w:r>
    </w:p>
    <w:p>
      <w:pPr>
        <w:pStyle w:val="TextBody"/>
        <w:bidi w:val="0"/>
        <w:spacing w:before="240" w:after="0"/>
        <w:jc w:val="both"/>
        <w:rPr/>
      </w:pPr>
      <w:r>
        <w:rPr/>
        <w:t>“</w:t>
      </w:r>
      <w:r>
        <w:rPr>
          <w:rFonts w:ascii="Times New Roman" w:hAnsi="Times New Roman"/>
          <w:sz w:val="24"/>
          <w:u w:val="single"/>
        </w:rPr>
        <w:t>Hedge Agreements</w:t>
      </w:r>
      <w:r>
        <w:rPr>
          <w:rFonts w:ascii="Times New Roman" w:hAnsi="Times New Roman"/>
          <w:sz w:val="24"/>
        </w:rPr>
        <w:t xml:space="preserve">” shall mean, with respect to any Person, any agreements or other arrangements to which such Person is a party relating to any rate swap transaction, basis swap, forward rate transaction, interest rate cap transaction, interest rate floor transaction, interest rate collar transaction, currency swap transaction, cross-currency rate swap transaction, or any other similar transaction, including an option to enter into any of the foregoing or any combination of the foregoing. </w:t>
      </w:r>
    </w:p>
    <w:p>
      <w:pPr>
        <w:pStyle w:val="TextBody"/>
        <w:bidi w:val="0"/>
        <w:spacing w:before="240" w:after="0"/>
        <w:jc w:val="both"/>
        <w:rPr/>
      </w:pPr>
      <w:r>
        <w:rPr/>
        <w:t>“</w:t>
      </w:r>
      <w:r>
        <w:rPr>
          <w:rFonts w:ascii="Times New Roman" w:hAnsi="Times New Roman"/>
          <w:sz w:val="24"/>
          <w:u w:val="single"/>
        </w:rPr>
        <w:t>Honor Date</w:t>
      </w:r>
      <w:r>
        <w:rPr>
          <w:rFonts w:ascii="Times New Roman" w:hAnsi="Times New Roman"/>
          <w:sz w:val="24"/>
        </w:rPr>
        <w:t xml:space="preserve">” shall have the meaning ascribed thereto in Section 2.13(c)(i) hereof. </w:t>
      </w:r>
    </w:p>
    <w:p>
      <w:pPr>
        <w:pStyle w:val="TextBody"/>
        <w:bidi w:val="0"/>
        <w:spacing w:before="240" w:after="0"/>
        <w:jc w:val="both"/>
        <w:rPr/>
      </w:pPr>
      <w:r>
        <w:rPr/>
        <w:t>“</w:t>
      </w:r>
      <w:r>
        <w:rPr>
          <w:rFonts w:ascii="Times New Roman" w:hAnsi="Times New Roman"/>
          <w:sz w:val="24"/>
          <w:u w:val="single"/>
        </w:rPr>
        <w:t>Illegality Notice</w:t>
      </w:r>
      <w:r>
        <w:rPr>
          <w:rFonts w:ascii="Times New Roman" w:hAnsi="Times New Roman"/>
          <w:sz w:val="24"/>
        </w:rPr>
        <w:t xml:space="preserve">” has the meaning specified in Section 10.2. </w:t>
      </w:r>
    </w:p>
    <w:p>
      <w:pPr>
        <w:pStyle w:val="TextBody"/>
        <w:bidi w:val="0"/>
        <w:spacing w:before="240" w:after="0"/>
        <w:jc w:val="both"/>
        <w:rPr/>
      </w:pPr>
      <w:r>
        <w:rPr/>
        <w:t>“</w:t>
      </w:r>
      <w:r>
        <w:rPr>
          <w:rFonts w:ascii="Times New Roman" w:hAnsi="Times New Roman"/>
          <w:sz w:val="24"/>
          <w:u w:val="single"/>
        </w:rPr>
        <w:t>Incremental Commitment</w:t>
      </w:r>
      <w:r>
        <w:rPr>
          <w:rFonts w:ascii="Times New Roman" w:hAnsi="Times New Roman"/>
          <w:sz w:val="24"/>
        </w:rPr>
        <w:t xml:space="preserve">” shall have the meaning ascribed thereto in </w:t>
      </w:r>
      <w:r>
        <w:rPr>
          <w:rFonts w:ascii="Times New Roman" w:hAnsi="Times New Roman"/>
          <w:sz w:val="24"/>
          <w:u w:val="single"/>
        </w:rPr>
        <w:t xml:space="preserve">Section 2.14 </w:t>
      </w:r>
      <w:r>
        <w:rPr>
          <w:rFonts w:ascii="Times New Roman" w:hAnsi="Times New Roman"/>
          <w:sz w:val="24"/>
        </w:rPr>
        <w:t xml:space="preserve">hereof. </w:t>
      </w:r>
    </w:p>
    <w:p>
      <w:pPr>
        <w:pStyle w:val="TextBody"/>
        <w:bidi w:val="0"/>
        <w:spacing w:before="240" w:after="0"/>
        <w:jc w:val="both"/>
        <w:rPr/>
      </w:pPr>
      <w:r>
        <w:rPr/>
        <w:t>“</w:t>
      </w:r>
      <w:r>
        <w:rPr>
          <w:rFonts w:ascii="Times New Roman" w:hAnsi="Times New Roman"/>
          <w:sz w:val="24"/>
          <w:u w:val="single"/>
        </w:rPr>
        <w:t>Indebtedness</w:t>
      </w:r>
      <w:r>
        <w:rPr>
          <w:rFonts w:ascii="Times New Roman" w:hAnsi="Times New Roman"/>
          <w:sz w:val="24"/>
        </w:rPr>
        <w:t xml:space="preserve">” shall mean, with respect to any Person and without duplication: </w:t>
      </w:r>
    </w:p>
    <w:p>
      <w:pPr>
        <w:pStyle w:val="TextBody"/>
        <w:bidi w:val="0"/>
        <w:spacing w:before="240" w:after="0"/>
        <w:jc w:val="both"/>
        <w:rPr>
          <w:rFonts w:ascii="Times New Roman" w:hAnsi="Times New Roman"/>
          <w:sz w:val="24"/>
        </w:rPr>
      </w:pPr>
      <w:r>
        <w:rPr>
          <w:rFonts w:ascii="Times New Roman" w:hAnsi="Times New Roman"/>
          <w:sz w:val="24"/>
        </w:rPr>
        <w:t xml:space="preserve">(i) indebtedness for money borrowed of such Person and indebtedness of such Person evidenced by notes payable, bonds, debentures or other similar instruments or drafts accepted representing extensions of credit; </w:t>
      </w:r>
    </w:p>
    <w:p>
      <w:pPr>
        <w:pStyle w:val="TextBody"/>
        <w:bidi w:val="0"/>
        <w:spacing w:before="240" w:after="0"/>
        <w:jc w:val="both"/>
        <w:rPr>
          <w:rFonts w:ascii="Times New Roman" w:hAnsi="Times New Roman"/>
          <w:sz w:val="24"/>
        </w:rPr>
      </w:pPr>
      <w:r>
        <w:rPr>
          <w:rFonts w:ascii="Times New Roman" w:hAnsi="Times New Roman"/>
          <w:sz w:val="24"/>
        </w:rPr>
        <w:t xml:space="preserve">(ii) all indebtedness of such Person upon which interest charges are customarily paid (other than trade payables arising in the ordinary course of business, but only if and so long as such accounts are payable on customary trade terms); </w:t>
      </w:r>
    </w:p>
    <w:p>
      <w:pPr>
        <w:pStyle w:val="TextBody"/>
        <w:bidi w:val="0"/>
        <w:spacing w:before="240" w:after="0"/>
        <w:jc w:val="both"/>
        <w:rPr>
          <w:rFonts w:ascii="Times New Roman" w:hAnsi="Times New Roman"/>
          <w:sz w:val="24"/>
        </w:rPr>
      </w:pPr>
      <w:r>
        <w:rPr>
          <w:rFonts w:ascii="Times New Roman" w:hAnsi="Times New Roman"/>
          <w:sz w:val="24"/>
        </w:rPr>
        <w:t xml:space="preserve">(iii) all Capitalized Lease Obligations of such Person; </w:t>
      </w:r>
    </w:p>
    <w:p>
      <w:pPr>
        <w:pStyle w:val="TextBody"/>
        <w:bidi w:val="0"/>
        <w:spacing w:before="240" w:after="0"/>
        <w:jc w:val="both"/>
        <w:rPr>
          <w:rFonts w:ascii="Times New Roman" w:hAnsi="Times New Roman"/>
          <w:sz w:val="24"/>
        </w:rPr>
      </w:pPr>
      <w:r>
        <w:rPr>
          <w:rFonts w:ascii="Times New Roman" w:hAnsi="Times New Roman"/>
          <w:sz w:val="24"/>
        </w:rPr>
        <w:t xml:space="preserve">(iv) all reimbursement obligations of such Person with respect to outstanding letters of credit; </w:t>
      </w:r>
    </w:p>
    <w:p>
      <w:pPr>
        <w:pStyle w:val="TextBody"/>
        <w:bidi w:val="0"/>
        <w:spacing w:before="240" w:after="0"/>
        <w:jc w:val="both"/>
        <w:rPr>
          <w:rFonts w:ascii="Times New Roman" w:hAnsi="Times New Roman"/>
          <w:sz w:val="24"/>
        </w:rPr>
      </w:pPr>
      <w:r>
        <w:rPr>
          <w:rFonts w:ascii="Times New Roman" w:hAnsi="Times New Roman"/>
          <w:sz w:val="24"/>
        </w:rPr>
        <w:t xml:space="preserve">(v) all indebtedness of such Person issued or assumed as full or partial payment for property or services (other than trade payables arising in the ordinary course of business, but only if and so long as such accounts are payable on customary trade terms);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(vi) all net obligations of such Person under Hedge Agreements valued on a marked to market basis on the date of determination; </w:t>
      </w:r>
    </w:p>
    <w:p>
      <w:pPr>
        <w:pStyle w:val="TextBody"/>
        <w:bidi w:val="0"/>
        <w:spacing w:before="240" w:after="0"/>
        <w:jc w:val="both"/>
        <w:rPr>
          <w:rFonts w:ascii="Times New Roman" w:hAnsi="Times New Roman"/>
          <w:sz w:val="24"/>
        </w:rPr>
      </w:pPr>
      <w:r>
        <w:rPr>
          <w:rFonts w:ascii="Times New Roman" w:hAnsi="Times New Roman"/>
          <w:sz w:val="24"/>
        </w:rPr>
        <w:t xml:space="preserve">(vii) all direct or indirect obligations of any other Person secured by any Lien to which any property or asset owned by such Person is subject, but only to the extent of the </w:t>
      </w:r>
      <w:r>
        <w:rPr>
          <w:rFonts w:ascii="Times New Roman" w:hAnsi="Times New Roman"/>
          <w:strike/>
          <w:color w:val="FF0000"/>
          <w:sz w:val="24"/>
        </w:rPr>
        <w:t>higher of the</w:t>
      </w:r>
      <w:r>
        <w:rPr>
          <w:rFonts w:ascii="Times New Roman" w:hAnsi="Times New Roman"/>
          <w:sz w:val="24"/>
        </w:rPr>
        <w:t xml:space="preserve"> fair market value </w:t>
      </w:r>
      <w:r>
        <w:rPr>
          <w:rFonts w:ascii="Times New Roman" w:hAnsi="Times New Roman"/>
          <w:strike/>
          <w:color w:val="FF0000"/>
          <w:sz w:val="24"/>
        </w:rPr>
        <w:t>or the book value</w:t>
      </w:r>
      <w:r>
        <w:rPr>
          <w:rFonts w:ascii="Times New Roman" w:hAnsi="Times New Roman"/>
          <w:sz w:val="24"/>
        </w:rPr>
        <w:t xml:space="preserve"> of the property or asset subject to such Lien (if less than the amount of such obligation), if the obligation secured thereby shall not have been assumed; and </w:t>
      </w:r>
    </w:p>
    <w:p>
      <w:pPr>
        <w:pStyle w:val="TextBody"/>
        <w:bidi w:val="0"/>
        <w:spacing w:before="240" w:after="0"/>
        <w:jc w:val="both"/>
        <w:rPr>
          <w:rFonts w:ascii="Times New Roman" w:hAnsi="Times New Roman"/>
          <w:sz w:val="24"/>
        </w:rPr>
      </w:pPr>
      <w:r>
        <w:rPr>
          <w:rFonts w:ascii="Times New Roman" w:hAnsi="Times New Roman"/>
          <w:sz w:val="24"/>
        </w:rPr>
        <w:t xml:space="preserve">(viii) Guaranties by such Person of any of the foregoing of any other Person. </w:t>
      </w:r>
    </w:p>
    <w:p>
      <w:pPr>
        <w:pStyle w:val="TextBody"/>
        <w:bidi w:val="0"/>
        <w:spacing w:before="240" w:after="0"/>
        <w:jc w:val="both"/>
        <w:rPr/>
      </w:pPr>
      <w:r>
        <w:rPr/>
        <w:t>“</w:t>
      </w:r>
      <w:r>
        <w:rPr>
          <w:rFonts w:ascii="Times New Roman" w:hAnsi="Times New Roman"/>
          <w:sz w:val="24"/>
          <w:u w:val="single"/>
        </w:rPr>
        <w:t>Indemnitee</w:t>
      </w:r>
      <w:r>
        <w:rPr>
          <w:rFonts w:ascii="Times New Roman" w:hAnsi="Times New Roman"/>
          <w:sz w:val="24"/>
        </w:rPr>
        <w:t xml:space="preserve">” shall have the meaning ascribed thereto in </w:t>
      </w:r>
      <w:r>
        <w:rPr>
          <w:rFonts w:ascii="Times New Roman" w:hAnsi="Times New Roman"/>
          <w:sz w:val="24"/>
          <w:u w:val="single"/>
        </w:rPr>
        <w:t>Section 12.5</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Initial Issuing Banks</w:t>
      </w:r>
      <w:r>
        <w:rPr>
          <w:rFonts w:ascii="Times New Roman" w:hAnsi="Times New Roman"/>
          <w:sz w:val="24"/>
        </w:rPr>
        <w:t xml:space="preserve">” shall mean the banks listed on the signature pages hereof as the Initial Issuing Banks. </w:t>
      </w:r>
    </w:p>
    <w:p>
      <w:pPr>
        <w:pStyle w:val="TextBody"/>
        <w:bidi w:val="0"/>
        <w:spacing w:before="240" w:after="0"/>
        <w:jc w:val="both"/>
        <w:rPr/>
      </w:pPr>
      <w:r>
        <w:rPr/>
        <w:t>“</w:t>
      </w:r>
      <w:r>
        <w:rPr>
          <w:rFonts w:ascii="Times New Roman" w:hAnsi="Times New Roman"/>
          <w:sz w:val="24"/>
          <w:u w:val="single"/>
        </w:rPr>
        <w:t>Interest Expense</w:t>
      </w:r>
      <w:r>
        <w:rPr>
          <w:rFonts w:ascii="Times New Roman" w:hAnsi="Times New Roman"/>
          <w:sz w:val="24"/>
        </w:rPr>
        <w:t xml:space="preserve">” shall mean, for any Person and for any period, all cash interest expense (including imputed interest with respect to Capitalized Lease Obligations and commitment fees) with respect to any Indebtedness (including, without limitation, the Obligations) and Attributable Debt of such Person during such period pursuant to the terms of such Indebtedness. </w:t>
      </w:r>
    </w:p>
    <w:p>
      <w:pPr>
        <w:pStyle w:val="TextBody"/>
        <w:bidi w:val="0"/>
        <w:spacing w:before="240" w:after="0"/>
        <w:jc w:val="both"/>
        <w:rPr/>
      </w:pPr>
      <w:r>
        <w:rPr/>
        <w:t>“</w:t>
      </w:r>
      <w:r>
        <w:rPr>
          <w:rFonts w:ascii="Times New Roman" w:hAnsi="Times New Roman"/>
          <w:sz w:val="24"/>
          <w:u w:val="single"/>
        </w:rPr>
        <w:t>Interest Period</w:t>
      </w:r>
      <w:r>
        <w:rPr>
          <w:rFonts w:ascii="Times New Roman" w:hAnsi="Times New Roman"/>
          <w:sz w:val="24"/>
        </w:rPr>
        <w:t xml:space="preserve">” shall mean (a) in connection with any Base Rate Advance, the period beginning on the date such Advance is made as or Converted to a Base Rate Advance and ending on the last day of the fiscal quarter in which such Advance is made as or Converted to a Base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 Base Rate Advance is made or Converted on the last day of any fiscal quarter, it shall have an Interest Period ending on, and its Payment Date shall be, the last day of the following fiscal quarter, (b) in connection with any SONIA Rate Advance, the period beginning on the date such Advance is made and ending on the date that is on the numerically corresponding day of the following calendar month (or, if there is no such numerically corresponding day in such month, then the last day of such month) and (c) in connection with any Term Rate Advance, the term of such Term Rate Advance selected by the Company or otherwise determined in accordance with this Agreement. Notwithstanding the foregoing, however, (i) any applicable Interest Period which would otherwise end on a day which is not a Business Day shall be extended to the next Business Day unless, with respect to Term Rate Advances only, such Business Day falls in another calendar month, in which case such Interest Period shall end on the next preceding Business Day, (ii) any applicable Interest Period, with respect to Term Rate Advances only, which begins on a day for which there is no numerically corresponding day in the calendar month during which such Interest Period is to end shall (subject to clause (i) above) end on the last day of such calendar month, and (iii) the Company shall not select an Interest Period which extends beyond the Maturity Date or such earlier date as would interfere with the Borrower’s repayment obligations under </w:t>
      </w:r>
      <w:r>
        <w:rPr>
          <w:rFonts w:ascii="Times New Roman" w:hAnsi="Times New Roman"/>
          <w:sz w:val="24"/>
          <w:u w:val="single"/>
        </w:rPr>
        <w:t>Section 2.6</w:t>
      </w:r>
      <w:r>
        <w:rPr>
          <w:rFonts w:ascii="Times New Roman" w:hAnsi="Times New Roman"/>
          <w:sz w:val="24"/>
        </w:rPr>
        <w:t xml:space="preserve"> hereof. Interest shall be due and payable with respect to any Advance as provided in </w:t>
      </w:r>
      <w:r>
        <w:rPr>
          <w:rFonts w:ascii="Times New Roman" w:hAnsi="Times New Roman"/>
          <w:sz w:val="24"/>
          <w:u w:val="single"/>
        </w:rPr>
        <w:t>Section 2.3</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Interest Rate Basis</w:t>
      </w:r>
      <w:r>
        <w:rPr>
          <w:rFonts w:ascii="Times New Roman" w:hAnsi="Times New Roman"/>
          <w:sz w:val="24"/>
        </w:rPr>
        <w:t xml:space="preserve">” shall mean the Base Rate Basis, the SONIA Rate Basis or the Term Rate Basis, as appropriate. </w:t>
      </w:r>
    </w:p>
    <w:p>
      <w:pPr>
        <w:pStyle w:val="TextBody"/>
        <w:bidi w:val="0"/>
        <w:spacing w:before="240" w:after="0"/>
        <w:jc w:val="both"/>
        <w:rPr/>
      </w:pPr>
      <w:r>
        <w:rPr/>
        <w:t>“</w:t>
      </w:r>
      <w:r>
        <w:rPr>
          <w:rFonts w:ascii="Times New Roman" w:hAnsi="Times New Roman"/>
          <w:sz w:val="24"/>
          <w:u w:val="single"/>
        </w:rPr>
        <w:t>Investment</w:t>
      </w:r>
      <w:r>
        <w:rPr>
          <w:rFonts w:ascii="Times New Roman" w:hAnsi="Times New Roman"/>
          <w:sz w:val="24"/>
        </w:rPr>
        <w:t xml:space="preserve">” shall mean any investment or loan by the Company or any of its Subsidiaries in or to any Person which Person, after giving effect to such investment or loan, is not consolidated with the Company and its Subsidiaries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ISP</w:t>
      </w:r>
      <w:r>
        <w:rPr>
          <w:rFonts w:ascii="Times New Roman" w:hAnsi="Times New Roman"/>
          <w:sz w:val="24"/>
        </w:rPr>
        <w:t xml:space="preserve">” shall mean, with respect to any Letter of Credit, the “International Standby Practices 1998” published by the Institute of International Banking Law &amp; Practice, Inc. (or such later version thereof as may be in effect at the time of issuance). </w:t>
      </w:r>
    </w:p>
    <w:p>
      <w:pPr>
        <w:pStyle w:val="TextBody"/>
        <w:bidi w:val="0"/>
        <w:spacing w:before="240" w:after="0"/>
        <w:jc w:val="both"/>
        <w:rPr/>
      </w:pPr>
      <w:r>
        <w:rPr/>
        <w:t>“</w:t>
      </w:r>
      <w:r>
        <w:rPr>
          <w:rFonts w:ascii="Times New Roman" w:hAnsi="Times New Roman"/>
          <w:sz w:val="24"/>
          <w:u w:val="single"/>
        </w:rPr>
        <w:t>Issuer Documents</w:t>
      </w:r>
      <w:r>
        <w:rPr>
          <w:rFonts w:ascii="Times New Roman" w:hAnsi="Times New Roman"/>
          <w:sz w:val="24"/>
        </w:rPr>
        <w:t xml:space="preserve">” shall mean with respect to any Letter of Credit, the Letter of Credit Application, and any other document, agreement and instrument entered into by the applicable Issuing Bank and the Company (or any Subsidiary) or in favor of the applicable Issuing Bank and relating to such Letter of Credit. </w:t>
      </w:r>
    </w:p>
    <w:p>
      <w:pPr>
        <w:pStyle w:val="TextBody"/>
        <w:bidi w:val="0"/>
        <w:spacing w:before="240" w:after="0"/>
        <w:jc w:val="both"/>
        <w:rPr/>
      </w:pPr>
      <w:r>
        <w:rPr/>
        <w:t>“</w:t>
      </w:r>
      <w:r>
        <w:rPr>
          <w:rFonts w:ascii="Times New Roman" w:hAnsi="Times New Roman"/>
          <w:sz w:val="24"/>
          <w:u w:val="single"/>
        </w:rPr>
        <w:t>Issuing Banks</w:t>
      </w:r>
      <w:r>
        <w:rPr>
          <w:rFonts w:ascii="Times New Roman" w:hAnsi="Times New Roman"/>
          <w:sz w:val="24"/>
        </w:rPr>
        <w:t xml:space="preserve">” shall mean each Initial Issuing Bank, each Lender with an outstanding Letter of Credit listed on Schedule 2, and any other Lender approved as a Issuing Bank by the Administrative Agent and the Company and any assignee to which a L/C Commitment hereunder has been assigned pursuant to </w:t>
      </w:r>
      <w:r>
        <w:rPr>
          <w:rFonts w:ascii="Times New Roman" w:hAnsi="Times New Roman"/>
          <w:sz w:val="24"/>
          <w:u w:val="single"/>
        </w:rPr>
        <w:t>Section 12.4</w:t>
      </w:r>
      <w:r>
        <w:rPr>
          <w:rFonts w:ascii="Times New Roman" w:hAnsi="Times New Roman"/>
          <w:sz w:val="24"/>
        </w:rPr>
        <w:t xml:space="preserve"> so long as each such Lender or such assignee expressly agrees to perform in accordance with their terms all of the obligations that by the terms of this Agreement are required to be performed by it as an Issuing Bank and notifies the Administrative Agent of its applicable lending office and the amount of its L/C Commitment (which information shall be recorded by the Administrative Agent in the Register), for so long as such Initial Issuing Bank, Lender or assignee, as the case may be, shall have a L/C Commitment. </w:t>
      </w:r>
    </w:p>
    <w:p>
      <w:pPr>
        <w:pStyle w:val="TextBody"/>
        <w:bidi w:val="0"/>
        <w:spacing w:before="240" w:after="0"/>
        <w:jc w:val="both"/>
        <w:rPr/>
      </w:pPr>
      <w:r>
        <w:rPr/>
        <w:t>“</w:t>
      </w:r>
      <w:r>
        <w:rPr>
          <w:rFonts w:ascii="Times New Roman" w:hAnsi="Times New Roman"/>
          <w:sz w:val="24"/>
          <w:u w:val="single"/>
        </w:rPr>
        <w:t>Joint Lead Arrangers</w:t>
      </w:r>
      <w:r>
        <w:rPr>
          <w:rFonts w:ascii="Times New Roman" w:hAnsi="Times New Roman"/>
          <w:sz w:val="24"/>
        </w:rPr>
        <w:t xml:space="preserve">” shall mean TD Securities (USA) LLC, JPMorgan Chase Bank, </w:t>
      </w:r>
    </w:p>
    <w:p>
      <w:pPr>
        <w:pStyle w:val="TextBody"/>
        <w:bidi w:val="0"/>
        <w:spacing w:before="240" w:after="0"/>
        <w:jc w:val="both"/>
        <w:rPr>
          <w:rFonts w:ascii="Times New Roman" w:hAnsi="Times New Roman"/>
          <w:sz w:val="24"/>
        </w:rPr>
      </w:pPr>
      <w:r>
        <w:rPr>
          <w:rFonts w:ascii="Times New Roman" w:hAnsi="Times New Roman"/>
          <w:sz w:val="24"/>
        </w:rPr>
        <w:t xml:space="preserve">N.A. and each other financial institution identified as a joint lead arranger on the cover of this Agreement. </w:t>
      </w:r>
    </w:p>
    <w:p>
      <w:pPr>
        <w:pStyle w:val="TextBody"/>
        <w:bidi w:val="0"/>
        <w:spacing w:before="240" w:after="0"/>
        <w:jc w:val="both"/>
        <w:rPr/>
      </w:pPr>
      <w:r>
        <w:rPr/>
        <w:t>“</w:t>
      </w:r>
      <w:r>
        <w:rPr>
          <w:rFonts w:ascii="Times New Roman" w:hAnsi="Times New Roman"/>
          <w:sz w:val="24"/>
          <w:u w:val="single"/>
        </w:rPr>
        <w:t>known to the Company</w:t>
      </w:r>
      <w:r>
        <w:rPr>
          <w:rFonts w:ascii="Times New Roman" w:hAnsi="Times New Roman"/>
          <w:sz w:val="24"/>
        </w:rPr>
        <w:t>”, “</w:t>
      </w:r>
      <w:r>
        <w:rPr>
          <w:rFonts w:ascii="Times New Roman" w:hAnsi="Times New Roman"/>
          <w:sz w:val="24"/>
          <w:u w:val="single"/>
        </w:rPr>
        <w:t>to the knowledge of the Company</w:t>
      </w:r>
      <w:r>
        <w:rPr>
          <w:rFonts w:ascii="Times New Roman" w:hAnsi="Times New Roman"/>
          <w:sz w:val="24"/>
        </w:rPr>
        <w:t xml:space="preserve">” or any similar phrase, shall mean known by, or reasonably should have been known by, the executive officers of the Company (which shall include, without limitation, the chief executive officer, the chief operating officer, if any, the chief financial officer and the general counsel of the Company). </w:t>
      </w:r>
    </w:p>
    <w:p>
      <w:pPr>
        <w:pStyle w:val="TextBody"/>
        <w:bidi w:val="0"/>
        <w:spacing w:before="240" w:after="0"/>
        <w:jc w:val="both"/>
        <w:rPr/>
      </w:pPr>
      <w:r>
        <w:rPr/>
        <w:t>“</w:t>
      </w:r>
      <w:r>
        <w:rPr>
          <w:rFonts w:ascii="Times New Roman" w:hAnsi="Times New Roman"/>
          <w:sz w:val="24"/>
          <w:u w:val="single"/>
        </w:rPr>
        <w:t>L/C Advance</w:t>
      </w:r>
      <w:r>
        <w:rPr>
          <w:rFonts w:ascii="Times New Roman" w:hAnsi="Times New Roman"/>
          <w:sz w:val="24"/>
        </w:rPr>
        <w:t xml:space="preserve">” shall mean an extension of credit resulting from a drawing under any Letter of Credit which has not been reimbursed on the date when made or refinanced as Revolving Loans. </w:t>
      </w:r>
    </w:p>
    <w:p>
      <w:pPr>
        <w:pStyle w:val="TextBody"/>
        <w:bidi w:val="0"/>
        <w:spacing w:before="240" w:after="0"/>
        <w:jc w:val="both"/>
        <w:rPr/>
      </w:pPr>
      <w:r>
        <w:rPr/>
        <w:t>“</w:t>
      </w:r>
      <w:r>
        <w:rPr>
          <w:rFonts w:ascii="Times New Roman" w:hAnsi="Times New Roman"/>
          <w:sz w:val="24"/>
          <w:u w:val="single"/>
        </w:rPr>
        <w:t>L/C Commitment</w:t>
      </w:r>
      <w:r>
        <w:rPr>
          <w:rFonts w:ascii="Times New Roman" w:hAnsi="Times New Roman"/>
          <w:sz w:val="24"/>
        </w:rPr>
        <w:t xml:space="preserve">” shall mean, with respect to any Issuing Bank at any time, the amount set forth opposite such Issuing Bank’s name on Schedule 1 hereto under the caption “L/C Commitment” or set forth for such Issuing Bank in the Register maintained by the Administrative Agent pursuant to </w:t>
      </w:r>
      <w:r>
        <w:rPr>
          <w:rFonts w:ascii="Times New Roman" w:hAnsi="Times New Roman"/>
          <w:sz w:val="24"/>
          <w:u w:val="single"/>
        </w:rPr>
        <w:t>Section 12.4(c)</w:t>
      </w:r>
      <w:r>
        <w:rPr>
          <w:rFonts w:ascii="Times New Roman" w:hAnsi="Times New Roman"/>
          <w:sz w:val="24"/>
        </w:rPr>
        <w:t xml:space="preserve"> as such Issuing Bank’s “L/C Commitment,” as such amount may be reduced at or prior to such time pursuant to </w:t>
      </w:r>
      <w:r>
        <w:rPr>
          <w:rFonts w:ascii="Times New Roman" w:hAnsi="Times New Roman"/>
          <w:sz w:val="24"/>
          <w:u w:val="single"/>
        </w:rPr>
        <w:t>Section 2.5</w:t>
      </w:r>
      <w:r>
        <w:rPr>
          <w:rFonts w:ascii="Times New Roman" w:hAnsi="Times New Roman"/>
          <w:sz w:val="24"/>
        </w:rPr>
        <w:t xml:space="preserve">, or such other amount as may be approved by the Administrative Agent and the Company. </w:t>
      </w:r>
    </w:p>
    <w:p>
      <w:pPr>
        <w:pStyle w:val="TextBody"/>
        <w:bidi w:val="0"/>
        <w:spacing w:before="240" w:after="0"/>
        <w:jc w:val="both"/>
        <w:rPr/>
      </w:pPr>
      <w:r>
        <w:rPr/>
        <w:t>“</w:t>
      </w:r>
      <w:r>
        <w:rPr>
          <w:rFonts w:ascii="Times New Roman" w:hAnsi="Times New Roman"/>
          <w:sz w:val="24"/>
          <w:u w:val="single"/>
        </w:rPr>
        <w:t>L/C Credit Extension</w:t>
      </w:r>
      <w:r>
        <w:rPr>
          <w:rFonts w:ascii="Times New Roman" w:hAnsi="Times New Roman"/>
          <w:sz w:val="24"/>
        </w:rPr>
        <w:t xml:space="preserve">” shall mean, with respect to any Letter of Credit, the issuance thereof or extension of the expiry date thereof, or the increase of the amount thereof. </w:t>
      </w:r>
    </w:p>
    <w:p>
      <w:pPr>
        <w:pStyle w:val="TextBody"/>
        <w:bidi w:val="0"/>
        <w:spacing w:before="240" w:after="0"/>
        <w:jc w:val="both"/>
        <w:rPr/>
      </w:pPr>
      <w:r>
        <w:rPr/>
        <w:t>“</w:t>
      </w:r>
      <w:r>
        <w:rPr>
          <w:rFonts w:ascii="Times New Roman" w:hAnsi="Times New Roman"/>
          <w:sz w:val="24"/>
          <w:u w:val="single"/>
        </w:rPr>
        <w:t>L/C Loan</w:t>
      </w:r>
      <w:r>
        <w:rPr>
          <w:rFonts w:ascii="Times New Roman" w:hAnsi="Times New Roman"/>
          <w:sz w:val="24"/>
        </w:rPr>
        <w:t xml:space="preserve">” shall mean, with respect to each Lender, such Lender’s funding of its participation in any L/C Advance in accordance with its Commitment Ratio. </w:t>
      </w:r>
    </w:p>
    <w:p>
      <w:pPr>
        <w:pStyle w:val="TextBody"/>
        <w:bidi w:val="0"/>
        <w:spacing w:before="240" w:after="0"/>
        <w:jc w:val="both"/>
        <w:rPr/>
      </w:pPr>
      <w:r>
        <w:rPr/>
        <w:t>“</w:t>
      </w:r>
      <w:r>
        <w:rPr>
          <w:rFonts w:ascii="Times New Roman" w:hAnsi="Times New Roman"/>
          <w:sz w:val="24"/>
          <w:u w:val="single"/>
        </w:rPr>
        <w:t>L/C Obligations</w:t>
      </w:r>
      <w:r>
        <w:rPr>
          <w:rFonts w:ascii="Times New Roman" w:hAnsi="Times New Roman"/>
          <w:sz w:val="24"/>
        </w:rPr>
        <w:t xml:space="preserve">” shall mean, as at any date of determination, the aggregate amount available to be drawn under all outstanding Letters of Credit </w:t>
      </w:r>
      <w:r>
        <w:rPr>
          <w:rFonts w:ascii="Times New Roman" w:hAnsi="Times New Roman"/>
          <w:sz w:val="24"/>
          <w:u w:val="single"/>
        </w:rPr>
        <w:t>plus</w:t>
      </w:r>
      <w:r>
        <w:rPr>
          <w:rFonts w:ascii="Times New Roman" w:hAnsi="Times New Roman"/>
          <w:sz w:val="24"/>
        </w:rPr>
        <w:t xml:space="preserve"> the aggregate of all Unreimbursed Amounts, including all L/C Advances. For purposes of computing the amount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available to be drawn under any Letter of Credit, the amount of such Letter of Credit shall be determined in accordance with </w:t>
      </w:r>
      <w:r>
        <w:rPr>
          <w:rFonts w:ascii="Times New Roman" w:hAnsi="Times New Roman"/>
          <w:sz w:val="24"/>
          <w:u w:val="single"/>
        </w:rPr>
        <w:t>Section 1.5</w:t>
      </w:r>
      <w:r>
        <w:rPr>
          <w:rFonts w:ascii="Times New Roman" w:hAnsi="Times New Roman"/>
          <w:sz w:val="24"/>
        </w:rPr>
        <w:t xml:space="preserv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w:t>
      </w:r>
    </w:p>
    <w:p>
      <w:pPr>
        <w:pStyle w:val="TextBody"/>
        <w:bidi w:val="0"/>
        <w:spacing w:before="240" w:after="0"/>
        <w:jc w:val="both"/>
        <w:rPr/>
      </w:pPr>
      <w:r>
        <w:rPr/>
        <w:t>“</w:t>
      </w:r>
      <w:r>
        <w:rPr>
          <w:rFonts w:ascii="Times New Roman" w:hAnsi="Times New Roman"/>
          <w:sz w:val="24"/>
          <w:u w:val="single"/>
        </w:rPr>
        <w:t>Lenders</w:t>
      </w:r>
      <w:r>
        <w:rPr>
          <w:rFonts w:ascii="Times New Roman" w:hAnsi="Times New Roman"/>
          <w:sz w:val="24"/>
        </w:rPr>
        <w:t>” shall mean the Persons whose names appear as “</w:t>
      </w:r>
      <w:r>
        <w:rPr>
          <w:rFonts w:ascii="Times New Roman" w:hAnsi="Times New Roman"/>
          <w:sz w:val="24"/>
          <w:u w:val="single"/>
        </w:rPr>
        <w:t>Lenders</w:t>
      </w:r>
      <w:r>
        <w:rPr>
          <w:rFonts w:ascii="Times New Roman" w:hAnsi="Times New Roman"/>
          <w:sz w:val="24"/>
        </w:rPr>
        <w:t>” on Schedule 1, any other Person which becomes a “</w:t>
      </w:r>
      <w:r>
        <w:rPr>
          <w:rFonts w:ascii="Times New Roman" w:hAnsi="Times New Roman"/>
          <w:sz w:val="24"/>
          <w:u w:val="single"/>
        </w:rPr>
        <w:t>Lender</w:t>
      </w:r>
      <w:r>
        <w:rPr>
          <w:rFonts w:ascii="Times New Roman" w:hAnsi="Times New Roman"/>
          <w:sz w:val="24"/>
        </w:rPr>
        <w:t xml:space="preserve">” hereunder after the Effective Date by executing an Assignment and Assumption substantially in the form of </w:t>
      </w:r>
      <w:r>
        <w:rPr>
          <w:rFonts w:ascii="Times New Roman" w:hAnsi="Times New Roman"/>
          <w:sz w:val="24"/>
          <w:u w:val="single"/>
        </w:rPr>
        <w:t>Exhibit F</w:t>
      </w:r>
      <w:r>
        <w:rPr>
          <w:rFonts w:ascii="Times New Roman" w:hAnsi="Times New Roman"/>
          <w:sz w:val="24"/>
        </w:rPr>
        <w:t xml:space="preserve"> attached hereto in accordance with the provisions hereof, any New Lender and, unless the context requires otherwise, the Swingline Lender; and “</w:t>
      </w:r>
      <w:r>
        <w:rPr>
          <w:rFonts w:ascii="Times New Roman" w:hAnsi="Times New Roman"/>
          <w:sz w:val="24"/>
          <w:u w:val="single"/>
        </w:rPr>
        <w:t>Lender</w:t>
      </w:r>
      <w:r>
        <w:rPr>
          <w:rFonts w:ascii="Times New Roman" w:hAnsi="Times New Roman"/>
          <w:sz w:val="24"/>
        </w:rPr>
        <w:t xml:space="preserve">” shall mean any one of the foregoing Lenders. </w:t>
      </w:r>
    </w:p>
    <w:p>
      <w:pPr>
        <w:pStyle w:val="TextBody"/>
        <w:bidi w:val="0"/>
        <w:spacing w:before="240" w:after="0"/>
        <w:jc w:val="both"/>
        <w:rPr/>
      </w:pPr>
      <w:r>
        <w:rPr/>
        <w:t>“</w:t>
      </w:r>
      <w:r>
        <w:rPr>
          <w:rFonts w:ascii="Times New Roman" w:hAnsi="Times New Roman"/>
          <w:sz w:val="24"/>
          <w:u w:val="single"/>
        </w:rPr>
        <w:t>Letter of Credit Application</w:t>
      </w:r>
      <w:r>
        <w:rPr>
          <w:rFonts w:ascii="Times New Roman" w:hAnsi="Times New Roman"/>
          <w:sz w:val="24"/>
        </w:rPr>
        <w:t xml:space="preserve">” shall mean an application and agreement for the issuance or amendment of a Letter of Credit in the form from time to time in use by the applicable Issuing Bank. </w:t>
      </w:r>
    </w:p>
    <w:p>
      <w:pPr>
        <w:pStyle w:val="TextBody"/>
        <w:bidi w:val="0"/>
        <w:spacing w:before="240" w:after="0"/>
        <w:jc w:val="both"/>
        <w:rPr/>
      </w:pPr>
      <w:r>
        <w:rPr/>
        <w:t>“</w:t>
      </w:r>
      <w:r>
        <w:rPr>
          <w:rFonts w:ascii="Times New Roman" w:hAnsi="Times New Roman"/>
          <w:sz w:val="24"/>
          <w:u w:val="single"/>
        </w:rPr>
        <w:t>Letter of Credit Expiration Date</w:t>
      </w:r>
      <w:r>
        <w:rPr>
          <w:rFonts w:ascii="Times New Roman" w:hAnsi="Times New Roman"/>
          <w:sz w:val="24"/>
        </w:rPr>
        <w:t xml:space="preserve">” shall mean the day that is seven (7) days prior to the scheduled Maturity Date (or, if such day is not a Business Day, the next preceding Business Day). </w:t>
      </w:r>
    </w:p>
    <w:p>
      <w:pPr>
        <w:pStyle w:val="TextBody"/>
        <w:bidi w:val="0"/>
        <w:spacing w:before="240" w:after="0"/>
        <w:jc w:val="both"/>
        <w:rPr/>
      </w:pPr>
      <w:r>
        <w:rPr/>
        <w:t>“</w:t>
      </w:r>
      <w:r>
        <w:rPr>
          <w:rFonts w:ascii="Times New Roman" w:hAnsi="Times New Roman"/>
          <w:sz w:val="24"/>
          <w:u w:val="single"/>
        </w:rPr>
        <w:t>Letter of Credit Fee</w:t>
      </w:r>
      <w:r>
        <w:rPr>
          <w:rFonts w:ascii="Times New Roman" w:hAnsi="Times New Roman"/>
          <w:sz w:val="24"/>
        </w:rPr>
        <w:t xml:space="preserve">” shall have the meaning specified in </w:t>
      </w:r>
      <w:r>
        <w:rPr>
          <w:rFonts w:ascii="Times New Roman" w:hAnsi="Times New Roman"/>
          <w:sz w:val="24"/>
          <w:u w:val="single"/>
        </w:rPr>
        <w:t>Section 2.4(b)(ii)</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Letter of Credit Sublimit</w:t>
      </w:r>
      <w:r>
        <w:rPr>
          <w:rFonts w:ascii="Times New Roman" w:hAnsi="Times New Roman"/>
          <w:sz w:val="24"/>
        </w:rPr>
        <w:t xml:space="preserve">” shall mean, at any time, an amount equal to the lesser of (a) $200,000,000 and (b) the Available Amount. The Letter of Credit Sublimit is part of, and not in addition to, the Revolving Loan Commitments. </w:t>
      </w:r>
    </w:p>
    <w:p>
      <w:pPr>
        <w:pStyle w:val="TextBody"/>
        <w:bidi w:val="0"/>
        <w:spacing w:before="240" w:after="0"/>
        <w:jc w:val="both"/>
        <w:rPr/>
      </w:pPr>
      <w:r>
        <w:rPr/>
        <w:t>“</w:t>
      </w:r>
      <w:r>
        <w:rPr>
          <w:rFonts w:ascii="Times New Roman" w:hAnsi="Times New Roman"/>
          <w:sz w:val="24"/>
          <w:u w:val="single"/>
        </w:rPr>
        <w:t>Letters of Credit</w:t>
      </w:r>
      <w:r>
        <w:rPr>
          <w:rFonts w:ascii="Times New Roman" w:hAnsi="Times New Roman"/>
          <w:sz w:val="24"/>
        </w:rPr>
        <w:t xml:space="preserve">” shall mean, collectively, each Standby Letter of Credit or Commercial Letter of Credit issued by the Issuing Banks on behalf of the Company or any of its Subsidiaries in accordance with the terms hereof; </w:t>
      </w:r>
      <w:r>
        <w:rPr>
          <w:rFonts w:ascii="Times New Roman" w:hAnsi="Times New Roman"/>
          <w:sz w:val="24"/>
          <w:u w:val="single"/>
        </w:rPr>
        <w:t>provided</w:t>
      </w:r>
      <w:r>
        <w:rPr>
          <w:rFonts w:ascii="Times New Roman" w:hAnsi="Times New Roman"/>
          <w:sz w:val="24"/>
        </w:rPr>
        <w:t xml:space="preserve"> that any Commercial Letter of Credit issued hereunder shall provide solely for cash payment upon presentation of a sight draft. </w:t>
      </w:r>
    </w:p>
    <w:p>
      <w:pPr>
        <w:pStyle w:val="TextBody"/>
        <w:bidi w:val="0"/>
        <w:spacing w:before="240" w:after="0"/>
        <w:jc w:val="both"/>
        <w:rPr/>
      </w:pPr>
      <w:r>
        <w:rPr/>
        <w:t>“</w:t>
      </w:r>
      <w:r>
        <w:rPr>
          <w:rFonts w:ascii="Times New Roman" w:hAnsi="Times New Roman"/>
          <w:sz w:val="24"/>
          <w:u w:val="single"/>
        </w:rPr>
        <w:t>Licenses</w:t>
      </w:r>
      <w:r>
        <w:rPr>
          <w:rFonts w:ascii="Times New Roman" w:hAnsi="Times New Roman"/>
          <w:sz w:val="24"/>
        </w:rPr>
        <w:t xml:space="preserve">” shall mean, collectively, any telephone, microwave, radio transmissions, personal communications or other license, authorization, certificate of compliance, franchise, approval or permit, whether for the construction, the ownership or the operation of any communications tower facilities, granted or issued by the FCC and held by the Company or any of its Subsidiaries. </w:t>
      </w:r>
    </w:p>
    <w:p>
      <w:pPr>
        <w:pStyle w:val="TextBody"/>
        <w:bidi w:val="0"/>
        <w:spacing w:before="240" w:after="0"/>
        <w:jc w:val="both"/>
        <w:rPr/>
      </w:pPr>
      <w:r>
        <w:rPr/>
        <w:t>“</w:t>
      </w:r>
      <w:r>
        <w:rPr>
          <w:rFonts w:ascii="Times New Roman" w:hAnsi="Times New Roman"/>
          <w:sz w:val="24"/>
          <w:u w:val="single"/>
        </w:rPr>
        <w:t>Lien</w:t>
      </w:r>
      <w:r>
        <w:rPr>
          <w:rFonts w:ascii="Times New Roman" w:hAnsi="Times New Roman"/>
          <w:sz w:val="24"/>
        </w:rPr>
        <w:t xml:space="preserve">” shall mean, with respect to any property, any mortgage, lien, pledge, charge, security interest, title retention agreement or other encumbrance of any kind in respect of such property. </w:t>
      </w:r>
    </w:p>
    <w:p>
      <w:pPr>
        <w:pStyle w:val="TextBody"/>
        <w:bidi w:val="0"/>
        <w:spacing w:before="240" w:after="0"/>
        <w:jc w:val="both"/>
        <w:rPr/>
      </w:pPr>
      <w:r>
        <w:rPr/>
        <w:t>“</w:t>
      </w:r>
      <w:r>
        <w:rPr>
          <w:rFonts w:ascii="Times New Roman" w:hAnsi="Times New Roman"/>
          <w:sz w:val="24"/>
          <w:u w:val="single"/>
        </w:rPr>
        <w:t>Loan Documents</w:t>
      </w:r>
      <w:r>
        <w:rPr>
          <w:rFonts w:ascii="Times New Roman" w:hAnsi="Times New Roman"/>
          <w:sz w:val="24"/>
        </w:rPr>
        <w:t xml:space="preserve">” shall mean, collectively, this Agreement, the Notes, all fee letters, Requests for Advance, all Requests for Issuance of Letters of Credit, all Letters of Credit and all other certificates, documents, instruments and agreements executed or delivered by the Company in connection with or contemplated by this Agreement. </w:t>
      </w:r>
    </w:p>
    <w:p>
      <w:pPr>
        <w:pStyle w:val="TextBody"/>
        <w:bidi w:val="0"/>
        <w:spacing w:before="240" w:after="0"/>
        <w:jc w:val="both"/>
        <w:rPr/>
      </w:pPr>
      <w:r>
        <w:rPr/>
        <w:t>“</w:t>
      </w:r>
      <w:r>
        <w:rPr>
          <w:rFonts w:ascii="Times New Roman" w:hAnsi="Times New Roman"/>
          <w:sz w:val="24"/>
          <w:u w:val="single"/>
        </w:rPr>
        <w:t>Loans</w:t>
      </w:r>
      <w:r>
        <w:rPr>
          <w:rFonts w:ascii="Times New Roman" w:hAnsi="Times New Roman"/>
          <w:sz w:val="24"/>
        </w:rPr>
        <w:t xml:space="preserve">” shall mean, collectively, the Revolving Loans, the L/C Loans and the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Majority Lenders</w:t>
      </w:r>
      <w:r>
        <w:rPr>
          <w:rFonts w:ascii="Times New Roman" w:hAnsi="Times New Roman"/>
          <w:sz w:val="24"/>
        </w:rPr>
        <w:t xml:space="preserve">” shall mean Lenders the total of whose Revolving Loan Commitments at such time (or, after the termination thereof, the Dollar Equivalent of the Revolving Loans of such Lenders then outstanding and such Lenders’ Commitment Ratios of the Swingline Loans then outstanding and the Dollar Equivalent of the L/C Obligations then outstanding) exceeds fifty percent (50%) of the Revolving Loan Commitments of all Lenders in effect at such time (or, after the termination thereof, the Dollar Equivalent of the Revolving Loans of all Lenders then outstanding, the Swingline Loans then outstanding and the L/C Obligations then outstanding), in each case, held by all Lenders entitled to vote hereunder; </w:t>
      </w:r>
      <w:r>
        <w:rPr>
          <w:rFonts w:ascii="Times New Roman" w:hAnsi="Times New Roman"/>
          <w:sz w:val="24"/>
          <w:u w:val="single"/>
        </w:rPr>
        <w:t>provided</w:t>
      </w:r>
      <w:r>
        <w:rPr>
          <w:rFonts w:ascii="Times New Roman" w:hAnsi="Times New Roman"/>
          <w:sz w:val="24"/>
        </w:rPr>
        <w:t xml:space="preserve"> that the Revolving Loan Commitment of, and the portion of the Dollar Equivalent of the Revolving Loans then outstanding held or deemed held by any Defaulting Lender, and any Defaulting Lender’s Commitment Ratio of the Swingline Loans then outstanding and the Dollar Equivalent of the L/C Obligations then outstanding shall be excluded for purposes of making a determination of Majority Lenders. </w:t>
      </w:r>
    </w:p>
    <w:p>
      <w:pPr>
        <w:pStyle w:val="TextBody"/>
        <w:bidi w:val="0"/>
        <w:spacing w:before="240" w:after="0"/>
        <w:jc w:val="both"/>
        <w:rPr/>
      </w:pPr>
      <w:r>
        <w:rPr/>
        <w:t>“</w:t>
      </w:r>
      <w:r>
        <w:rPr>
          <w:rFonts w:ascii="Times New Roman" w:hAnsi="Times New Roman"/>
          <w:sz w:val="24"/>
          <w:u w:val="single"/>
        </w:rPr>
        <w:t>margin stock</w:t>
      </w:r>
      <w:r>
        <w:rPr>
          <w:rFonts w:ascii="Times New Roman" w:hAnsi="Times New Roman"/>
          <w:sz w:val="24"/>
        </w:rPr>
        <w:t xml:space="preserve">” shall have the meaning ascribed thereto in Section 4.1(k) hereof. </w:t>
      </w:r>
    </w:p>
    <w:p>
      <w:pPr>
        <w:pStyle w:val="TextBody"/>
        <w:bidi w:val="0"/>
        <w:spacing w:before="240" w:after="0"/>
        <w:jc w:val="both"/>
        <w:rPr/>
      </w:pPr>
      <w:r>
        <w:rPr/>
        <w:t>“</w:t>
      </w:r>
      <w:r>
        <w:rPr>
          <w:rFonts w:ascii="Times New Roman" w:hAnsi="Times New Roman"/>
          <w:sz w:val="24"/>
          <w:u w:val="single"/>
        </w:rPr>
        <w:t>Material Subsidiary</w:t>
      </w:r>
      <w:r>
        <w:rPr>
          <w:rFonts w:ascii="Times New Roman" w:hAnsi="Times New Roman"/>
          <w:sz w:val="24"/>
        </w:rPr>
        <w:t xml:space="preserve">” shall mean any Subsidiary of the Company whose Adjusted EBITDA, as of the last day of any fiscal year, is greater than ten percent (10%) of the Adjusted EBITDA of the Company and its subsidiaries on a consolidated basis as of such date. </w:t>
      </w:r>
    </w:p>
    <w:p>
      <w:pPr>
        <w:pStyle w:val="TextBody"/>
        <w:bidi w:val="0"/>
        <w:spacing w:before="240" w:after="0"/>
        <w:jc w:val="both"/>
        <w:rPr/>
      </w:pPr>
      <w:r>
        <w:rPr/>
        <w:t>“</w:t>
      </w:r>
      <w:r>
        <w:rPr>
          <w:rFonts w:ascii="Times New Roman" w:hAnsi="Times New Roman"/>
          <w:sz w:val="24"/>
          <w:u w:val="single"/>
        </w:rPr>
        <w:t>Material Subsidiary Group</w:t>
      </w:r>
      <w:r>
        <w:rPr>
          <w:rFonts w:ascii="Times New Roman" w:hAnsi="Times New Roman"/>
          <w:sz w:val="24"/>
        </w:rPr>
        <w:t xml:space="preserve">” shall mean one or more Subsidiaries of the Company when taken as a whole whose Adjusted EBITDA, as of the last day of any fiscal year, is greater than ten percent (10%) of the Adjusted EBITDA of the Company and its subsidiaries on a consolidated basis as of such date. </w:t>
      </w:r>
    </w:p>
    <w:p>
      <w:pPr>
        <w:pStyle w:val="TextBody"/>
        <w:bidi w:val="0"/>
        <w:spacing w:before="240" w:after="0"/>
        <w:jc w:val="both"/>
        <w:rPr/>
      </w:pPr>
      <w:r>
        <w:rPr/>
        <w:t>“</w:t>
      </w:r>
      <w:r>
        <w:rPr>
          <w:rFonts w:ascii="Times New Roman" w:hAnsi="Times New Roman"/>
          <w:sz w:val="24"/>
          <w:u w:val="single"/>
        </w:rPr>
        <w:t>Materially Adverse Effect</w:t>
      </w:r>
      <w:r>
        <w:rPr>
          <w:rFonts w:ascii="Times New Roman" w:hAnsi="Times New Roman"/>
          <w:sz w:val="24"/>
        </w:rPr>
        <w:t xml:space="preserve">” shall mean (a) any material adverse effect upon the business, assets, liabilities, financial condition or results of operations of the Company and its Subsidiaries, taken as a whole, or (b) a material adverse effect upon any material rights or benefits of the Lenders, the Issuing Banks or the Administrative Agent under the Loan Documents. </w:t>
      </w:r>
    </w:p>
    <w:p>
      <w:pPr>
        <w:pStyle w:val="TextBody"/>
        <w:bidi w:val="0"/>
        <w:spacing w:before="240" w:after="0"/>
        <w:jc w:val="both"/>
        <w:rPr/>
      </w:pPr>
      <w:r>
        <w:rPr/>
        <w:t>“</w:t>
      </w:r>
      <w:r>
        <w:rPr>
          <w:rFonts w:ascii="Times New Roman" w:hAnsi="Times New Roman"/>
          <w:sz w:val="24"/>
          <w:u w:val="single"/>
        </w:rPr>
        <w:t>Maturity Date</w:t>
      </w:r>
      <w:r>
        <w:rPr>
          <w:rFonts w:ascii="Times New Roman" w:hAnsi="Times New Roman"/>
          <w:sz w:val="24"/>
        </w:rPr>
        <w:t xml:space="preserve">” shall mean </w:t>
      </w:r>
      <w:r>
        <w:rPr>
          <w:rFonts w:ascii="Times New Roman" w:hAnsi="Times New Roman"/>
          <w:strike/>
          <w:color w:val="FF0000"/>
          <w:sz w:val="24"/>
        </w:rPr>
        <w:t>January 28</w:t>
      </w:r>
      <w:r>
        <w:rPr>
          <w:rFonts w:ascii="Times New Roman" w:hAnsi="Times New Roman"/>
          <w:color w:val="0000FF"/>
          <w:sz w:val="24"/>
          <w:u w:val="single"/>
          <w:bdr w:val="double" w:sz="2" w:space="1" w:color="000000"/>
        </w:rPr>
        <w:t>May 1</w:t>
      </w:r>
      <w:r>
        <w:rPr>
          <w:rFonts w:ascii="Times New Roman" w:hAnsi="Times New Roman"/>
          <w:sz w:val="24"/>
        </w:rPr>
        <w:t xml:space="preserve">, </w:t>
      </w:r>
      <w:r>
        <w:rPr>
          <w:rFonts w:ascii="Times New Roman" w:hAnsi="Times New Roman"/>
          <w:strike/>
          <w:color w:val="FF0000"/>
          <w:sz w:val="24"/>
        </w:rPr>
        <w:t>2030</w:t>
      </w:r>
      <w:r>
        <w:rPr>
          <w:rFonts w:ascii="Times New Roman" w:hAnsi="Times New Roman"/>
          <w:color w:val="0000FF"/>
          <w:sz w:val="24"/>
          <w:u w:val="single"/>
          <w:bdr w:val="double" w:sz="2" w:space="1" w:color="000000"/>
        </w:rPr>
        <w:t>2031</w:t>
      </w:r>
      <w:r>
        <w:rPr>
          <w:rFonts w:ascii="Times New Roman" w:hAnsi="Times New Roman"/>
          <w:sz w:val="24"/>
        </w:rPr>
        <w:t xml:space="preserve">, or such earlier date as payment of the Loans shall be due (whether by acceleration, reduction of the Commitments to zero or otherwise). </w:t>
      </w:r>
    </w:p>
    <w:p>
      <w:pPr>
        <w:pStyle w:val="TextBody"/>
        <w:bidi w:val="0"/>
        <w:spacing w:before="240" w:after="0"/>
        <w:jc w:val="both"/>
        <w:rPr/>
      </w:pPr>
      <w:r>
        <w:rPr/>
        <w:t>“</w:t>
      </w:r>
      <w:r>
        <w:rPr>
          <w:rFonts w:ascii="Times New Roman" w:hAnsi="Times New Roman"/>
          <w:sz w:val="24"/>
          <w:u w:val="single"/>
        </w:rPr>
        <w:t>Moody’s</w:t>
      </w:r>
      <w:r>
        <w:rPr>
          <w:rFonts w:ascii="Times New Roman" w:hAnsi="Times New Roman"/>
          <w:sz w:val="24"/>
        </w:rPr>
        <w:t xml:space="preserve">” shall mean Moody’s Investor’s Service, Inc., and its successors. </w:t>
      </w:r>
    </w:p>
    <w:p>
      <w:pPr>
        <w:pStyle w:val="TextBody"/>
        <w:bidi w:val="0"/>
        <w:spacing w:before="240" w:after="0"/>
        <w:jc w:val="both"/>
        <w:rPr/>
      </w:pPr>
      <w:r>
        <w:rPr/>
        <w:t>“</w:t>
      </w:r>
      <w:r>
        <w:rPr>
          <w:rFonts w:ascii="Times New Roman" w:hAnsi="Times New Roman"/>
          <w:sz w:val="24"/>
          <w:u w:val="single"/>
        </w:rPr>
        <w:t>Necessary Authorizations</w:t>
      </w:r>
      <w:r>
        <w:rPr>
          <w:rFonts w:ascii="Times New Roman" w:hAnsi="Times New Roman"/>
          <w:sz w:val="24"/>
        </w:rPr>
        <w:t xml:space="preserve">” shall mean all approvals and licenses from, and all filings and registrations with, any governmental or other regulatory authority, including, without limiting the foregoing, the Licenses and all approvals, licenses, filings and registrations under the Communications Act, necessary in order to enable the Company and its Subsidiaries to own, construct, maintain, and operate communications tower facilities and to invest in other Persons who own, construct, maintain, manage and operate communications tower facilities. </w:t>
      </w:r>
    </w:p>
    <w:p>
      <w:pPr>
        <w:pStyle w:val="TextBody"/>
        <w:bidi w:val="0"/>
        <w:spacing w:before="240" w:after="0"/>
        <w:jc w:val="both"/>
        <w:rPr/>
      </w:pPr>
      <w:r>
        <w:rPr/>
        <w:t>“</w:t>
      </w:r>
      <w:r>
        <w:rPr>
          <w:rFonts w:ascii="Times New Roman" w:hAnsi="Times New Roman"/>
          <w:sz w:val="24"/>
          <w:u w:val="single"/>
        </w:rPr>
        <w:t>Net Income</w:t>
      </w:r>
      <w:r>
        <w:rPr>
          <w:rFonts w:ascii="Times New Roman" w:hAnsi="Times New Roman"/>
          <w:sz w:val="24"/>
        </w:rPr>
        <w:t xml:space="preserve">” shall mean, for any Person and for any period of determination, net income of such Person determined in accordance with GAAP. </w:t>
      </w:r>
    </w:p>
    <w:p>
      <w:pPr>
        <w:pStyle w:val="TextBody"/>
        <w:bidi w:val="0"/>
        <w:spacing w:before="240" w:after="0"/>
        <w:jc w:val="both"/>
        <w:rPr/>
      </w:pPr>
      <w:r>
        <w:rPr/>
        <w:t>“</w:t>
      </w:r>
      <w:r>
        <w:rPr>
          <w:rFonts w:ascii="Times New Roman" w:hAnsi="Times New Roman"/>
          <w:sz w:val="24"/>
          <w:u w:val="single"/>
        </w:rPr>
        <w:t>New Lender</w:t>
      </w:r>
      <w:r>
        <w:rPr>
          <w:rFonts w:ascii="Times New Roman" w:hAnsi="Times New Roman"/>
          <w:sz w:val="24"/>
        </w:rPr>
        <w:t xml:space="preserve">” shall have the meaning ascribed thereto in </w:t>
      </w:r>
      <w:r>
        <w:rPr>
          <w:rFonts w:ascii="Times New Roman" w:hAnsi="Times New Roman"/>
          <w:sz w:val="24"/>
          <w:u w:val="single"/>
        </w:rPr>
        <w:t>Section 2.14</w:t>
      </w:r>
      <w:r>
        <w:rPr>
          <w:rFonts w:ascii="Times New Roman" w:hAnsi="Times New Roman"/>
          <w:sz w:val="24"/>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Non-Consenting Lender</w:t>
      </w:r>
      <w:r>
        <w:rPr>
          <w:rFonts w:ascii="Times New Roman" w:hAnsi="Times New Roman"/>
          <w:sz w:val="24"/>
        </w:rPr>
        <w:t xml:space="preserve">” shall have the meaning ascribed thereto in </w:t>
      </w:r>
      <w:r>
        <w:rPr>
          <w:rFonts w:ascii="Times New Roman" w:hAnsi="Times New Roman"/>
          <w:sz w:val="24"/>
          <w:u w:val="single"/>
        </w:rPr>
        <w:t xml:space="preserve">Section 12.12(c) </w:t>
      </w:r>
      <w:r>
        <w:rPr>
          <w:rFonts w:ascii="Times New Roman" w:hAnsi="Times New Roman"/>
          <w:sz w:val="24"/>
        </w:rPr>
        <w:t xml:space="preserve">hereof. </w:t>
      </w:r>
    </w:p>
    <w:p>
      <w:pPr>
        <w:pStyle w:val="TextBody"/>
        <w:bidi w:val="0"/>
        <w:spacing w:before="240" w:after="0"/>
        <w:jc w:val="both"/>
        <w:rPr/>
      </w:pPr>
      <w:r>
        <w:rPr/>
        <w:t>“</w:t>
      </w:r>
      <w:r>
        <w:rPr>
          <w:rFonts w:ascii="Times New Roman" w:hAnsi="Times New Roman"/>
          <w:sz w:val="24"/>
          <w:u w:val="single"/>
        </w:rPr>
        <w:t>Non-Extending Lender</w:t>
      </w:r>
      <w:r>
        <w:rPr>
          <w:rFonts w:ascii="Times New Roman" w:hAnsi="Times New Roman"/>
          <w:sz w:val="24"/>
        </w:rPr>
        <w:t xml:space="preserve">” shall have the meaning ascribed thereto in </w:t>
      </w:r>
      <w:r>
        <w:rPr>
          <w:rFonts w:ascii="Times New Roman" w:hAnsi="Times New Roman"/>
          <w:sz w:val="24"/>
          <w:u w:val="single"/>
        </w:rPr>
        <w:t>Section 2.18</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Non-Extension Notice Date</w:t>
      </w:r>
      <w:r>
        <w:rPr>
          <w:rFonts w:ascii="Times New Roman" w:hAnsi="Times New Roman"/>
          <w:sz w:val="24"/>
        </w:rPr>
        <w:t xml:space="preserve">” shall have the meaning ascribed thereto in Section 2.13(b)(iii) hereof. </w:t>
      </w:r>
    </w:p>
    <w:p>
      <w:pPr>
        <w:pStyle w:val="TextBody"/>
        <w:bidi w:val="0"/>
        <w:spacing w:before="240" w:after="0"/>
        <w:jc w:val="both"/>
        <w:rPr/>
      </w:pPr>
      <w:r>
        <w:rPr/>
        <w:t>“</w:t>
      </w:r>
      <w:r>
        <w:rPr>
          <w:rFonts w:ascii="Times New Roman" w:hAnsi="Times New Roman"/>
          <w:sz w:val="24"/>
          <w:u w:val="single"/>
        </w:rPr>
        <w:t>Non-U.S. Person</w:t>
      </w:r>
      <w:r>
        <w:rPr>
          <w:rFonts w:ascii="Times New Roman" w:hAnsi="Times New Roman"/>
          <w:sz w:val="24"/>
        </w:rPr>
        <w:t xml:space="preserve">” shall mean a Person who is not a U.S. Person. </w:t>
      </w:r>
    </w:p>
    <w:p>
      <w:pPr>
        <w:pStyle w:val="TextBody"/>
        <w:bidi w:val="0"/>
        <w:spacing w:before="240" w:after="0"/>
        <w:jc w:val="both"/>
        <w:rPr/>
      </w:pPr>
      <w:r>
        <w:rPr/>
        <w:t>“</w:t>
      </w:r>
      <w:r>
        <w:rPr>
          <w:rFonts w:ascii="Times New Roman" w:hAnsi="Times New Roman"/>
          <w:sz w:val="24"/>
          <w:u w:val="single"/>
        </w:rPr>
        <w:t>Notes</w:t>
      </w:r>
      <w:r>
        <w:rPr>
          <w:rFonts w:ascii="Times New Roman" w:hAnsi="Times New Roman"/>
          <w:sz w:val="24"/>
        </w:rPr>
        <w:t xml:space="preserve">” shall mean, collectively, the Revolving Loan Notes. </w:t>
      </w:r>
    </w:p>
    <w:p>
      <w:pPr>
        <w:pStyle w:val="TextBody"/>
        <w:bidi w:val="0"/>
        <w:spacing w:before="240" w:after="0"/>
        <w:jc w:val="both"/>
        <w:rPr/>
      </w:pPr>
      <w:r>
        <w:rPr/>
        <w:t>“</w:t>
      </w:r>
      <w:r>
        <w:rPr>
          <w:rFonts w:ascii="Times New Roman" w:hAnsi="Times New Roman"/>
          <w:sz w:val="24"/>
          <w:u w:val="single"/>
        </w:rPr>
        <w:t>NYFRB</w:t>
      </w:r>
      <w:r>
        <w:rPr>
          <w:rFonts w:ascii="Times New Roman" w:hAnsi="Times New Roman"/>
          <w:sz w:val="24"/>
        </w:rPr>
        <w:t xml:space="preserve">” shall mean the Federal Reserve Bank of New York. </w:t>
      </w:r>
    </w:p>
    <w:p>
      <w:pPr>
        <w:pStyle w:val="TextBody"/>
        <w:bidi w:val="0"/>
        <w:spacing w:before="240" w:after="0"/>
        <w:jc w:val="both"/>
        <w:rPr/>
      </w:pPr>
      <w:r>
        <w:rPr/>
        <w:t>“</w:t>
      </w:r>
      <w:r>
        <w:rPr>
          <w:rFonts w:ascii="Times New Roman" w:hAnsi="Times New Roman"/>
          <w:sz w:val="24"/>
          <w:u w:val="single"/>
        </w:rPr>
        <w:t>Obligations</w:t>
      </w:r>
      <w:r>
        <w:rPr>
          <w:rFonts w:ascii="Times New Roman" w:hAnsi="Times New Roman"/>
          <w:sz w:val="24"/>
        </w:rPr>
        <w:t xml:space="preserve">” shall mean all payment and performance obligations of every kind, nature and description of the Company to the Lenders, the Issuing Banks or the Administrative Agent, or any of them, under this Agreement and the other Loan Documents (including, without limitation, any interest, fees and other charges on the Loans or otherwise under the Loan Documents that would accrue but for the filing of a bankruptcy action with respect to the Borrower, whether or not such claim is allowed in such bankruptcy action and the L/C Obligations), as they may be amended from time to time, or as a result of making the Loans or issuing Letters of Credit, whether such obligations are direct or indirect, absolute or contingent, due or not due, contractual or based in tort, liquidated or unliquidated, arising by operation of law or otherwise, now existing or hereafter arising. </w:t>
      </w:r>
    </w:p>
    <w:p>
      <w:pPr>
        <w:pStyle w:val="TextBody"/>
        <w:bidi w:val="0"/>
        <w:spacing w:before="240" w:after="0"/>
        <w:jc w:val="both"/>
        <w:rPr/>
      </w:pPr>
      <w:r>
        <w:rPr/>
        <w:t>“</w:t>
      </w:r>
      <w:r>
        <w:rPr>
          <w:rFonts w:ascii="Times New Roman" w:hAnsi="Times New Roman"/>
          <w:sz w:val="24"/>
          <w:u w:val="single"/>
        </w:rPr>
        <w:t>OFAC</w:t>
      </w:r>
      <w:r>
        <w:rPr>
          <w:rFonts w:ascii="Times New Roman" w:hAnsi="Times New Roman"/>
          <w:sz w:val="24"/>
        </w:rPr>
        <w:t xml:space="preserve">” shall mean the U.S. Department of the Treasury’s Office of Foreign Assets Control. </w:t>
      </w:r>
    </w:p>
    <w:p>
      <w:pPr>
        <w:pStyle w:val="TextBody"/>
        <w:bidi w:val="0"/>
        <w:spacing w:before="240" w:after="0"/>
        <w:jc w:val="both"/>
        <w:rPr/>
      </w:pPr>
      <w:r>
        <w:rPr/>
        <w:t>“</w:t>
      </w:r>
      <w:r>
        <w:rPr>
          <w:rFonts w:ascii="Times New Roman" w:hAnsi="Times New Roman"/>
          <w:sz w:val="24"/>
          <w:u w:val="single"/>
        </w:rPr>
        <w:t>Outstanding Amount</w:t>
      </w:r>
      <w:r>
        <w:rPr>
          <w:rFonts w:ascii="Times New Roman" w:hAnsi="Times New Roman"/>
          <w:sz w:val="24"/>
        </w:rPr>
        <w:t xml:space="preserve">” shall mean (i) with respect to Revolving Loans and Swingline Loans on any date, the Dollar Equivalent of the aggregate outstanding principal amount thereof after giving effect to any borrowings and prepayments or repayments of Revolving Loans and Swingline Loans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w:t>
      </w:r>
    </w:p>
    <w:p>
      <w:pPr>
        <w:pStyle w:val="TextBody"/>
        <w:bidi w:val="0"/>
        <w:spacing w:before="240" w:after="0"/>
        <w:jc w:val="both"/>
        <w:rPr/>
      </w:pPr>
      <w:r>
        <w:rPr/>
        <w:t>“</w:t>
      </w:r>
      <w:r>
        <w:rPr>
          <w:rFonts w:ascii="Times New Roman" w:hAnsi="Times New Roman"/>
          <w:sz w:val="24"/>
          <w:u w:val="single"/>
        </w:rPr>
        <w:t>Ownership Interests</w:t>
      </w:r>
      <w:r>
        <w:rPr>
          <w:rFonts w:ascii="Times New Roman" w:hAnsi="Times New Roman"/>
          <w:sz w:val="24"/>
        </w:rPr>
        <w:t xml:space="preserve">” shall mean, as applied to any Person, corporate stock and any and all securities, shares, partnership interests (whether general, limited, special or other), limited liability company interests, membership interests, equity interests, participations, rights or other equivalents (however designated and of any character) of corporate stock of such Person or any of the foregoing issued by such Person (whether a corporation, a partnership, a limited liability company or another type of entity) and includes, without limitation, securities convertible into Ownership Interests and rights, warrants or options to acquire Ownership Interests. </w:t>
      </w:r>
    </w:p>
    <w:p>
      <w:pPr>
        <w:pStyle w:val="TextBody"/>
        <w:bidi w:val="0"/>
        <w:spacing w:before="240" w:after="0"/>
        <w:jc w:val="both"/>
        <w:rPr/>
      </w:pPr>
      <w:r>
        <w:rPr/>
        <w:t>“</w:t>
      </w:r>
      <w:r>
        <w:rPr>
          <w:rFonts w:ascii="Times New Roman" w:hAnsi="Times New Roman"/>
          <w:sz w:val="24"/>
          <w:u w:val="single"/>
        </w:rPr>
        <w:t>Participant</w:t>
      </w:r>
      <w:r>
        <w:rPr>
          <w:rFonts w:ascii="Times New Roman" w:hAnsi="Times New Roman"/>
          <w:sz w:val="24"/>
        </w:rPr>
        <w:t xml:space="preserve">” shall have the meaning specified in </w:t>
      </w:r>
      <w:r>
        <w:rPr>
          <w:rFonts w:ascii="Times New Roman" w:hAnsi="Times New Roman"/>
          <w:sz w:val="24"/>
          <w:u w:val="single"/>
        </w:rPr>
        <w:t>Section 12.4(d)</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Participating Member State</w:t>
      </w:r>
      <w:r>
        <w:rPr>
          <w:rFonts w:ascii="Times New Roman" w:hAnsi="Times New Roman"/>
          <w:sz w:val="24"/>
        </w:rPr>
        <w:t xml:space="preserve">” shall mean each state so described in any EMU Legislation.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Payment</w:t>
      </w:r>
      <w:r>
        <w:rPr>
          <w:rFonts w:ascii="Times New Roman" w:hAnsi="Times New Roman"/>
          <w:sz w:val="24"/>
        </w:rPr>
        <w:t xml:space="preserve">” shall have the meaning ascribed thereto in </w:t>
      </w:r>
      <w:r>
        <w:rPr>
          <w:rFonts w:ascii="Times New Roman" w:hAnsi="Times New Roman"/>
          <w:sz w:val="24"/>
          <w:u w:val="single"/>
        </w:rPr>
        <w:t>Section 9.10(a)</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Payment Date</w:t>
      </w:r>
      <w:r>
        <w:rPr>
          <w:rFonts w:ascii="Times New Roman" w:hAnsi="Times New Roman"/>
          <w:sz w:val="24"/>
        </w:rPr>
        <w:t xml:space="preserve">” shall mean the last day of any Interest Period (provided that the Payment Date for any Interest Period of more than three months’ in duration, shall be each Business Day prior to the last day of such Interest Period that occurs at intervals of three months’ duration after the first day of such Interest Period). </w:t>
      </w:r>
    </w:p>
    <w:p>
      <w:pPr>
        <w:pStyle w:val="TextBody"/>
        <w:bidi w:val="0"/>
        <w:spacing w:before="240" w:after="0"/>
        <w:jc w:val="both"/>
        <w:rPr/>
      </w:pPr>
      <w:r>
        <w:rPr/>
        <w:t>“</w:t>
      </w:r>
      <w:r>
        <w:rPr>
          <w:rFonts w:ascii="Times New Roman" w:hAnsi="Times New Roman"/>
          <w:sz w:val="24"/>
          <w:u w:val="single"/>
        </w:rPr>
        <w:t>PBGC</w:t>
      </w:r>
      <w:r>
        <w:rPr>
          <w:rFonts w:ascii="Times New Roman" w:hAnsi="Times New Roman"/>
          <w:sz w:val="24"/>
        </w:rPr>
        <w:t xml:space="preserve">” shall mean the Pension Benefit Guaranty Corporation, or any successor thereto. </w:t>
      </w:r>
    </w:p>
    <w:p>
      <w:pPr>
        <w:pStyle w:val="TextBody"/>
        <w:bidi w:val="0"/>
        <w:spacing w:before="240" w:after="0"/>
        <w:jc w:val="both"/>
        <w:rPr/>
      </w:pPr>
      <w:r>
        <w:rPr/>
        <w:t>“</w:t>
      </w:r>
      <w:r>
        <w:rPr>
          <w:rFonts w:ascii="Times New Roman" w:hAnsi="Times New Roman"/>
          <w:sz w:val="24"/>
          <w:u w:val="single"/>
        </w:rPr>
        <w:t>Permitted Liens</w:t>
      </w:r>
      <w:r>
        <w:rPr>
          <w:rFonts w:ascii="Times New Roman" w:hAnsi="Times New Roman"/>
          <w:sz w:val="24"/>
        </w:rPr>
        <w:t xml:space="preserve">” shall mean, collectively, as applied to any Person: </w:t>
      </w:r>
    </w:p>
    <w:p>
      <w:pPr>
        <w:pStyle w:val="TextBody"/>
        <w:bidi w:val="0"/>
        <w:spacing w:before="240" w:after="0"/>
        <w:jc w:val="both"/>
        <w:rPr>
          <w:rFonts w:ascii="Times New Roman" w:hAnsi="Times New Roman"/>
          <w:sz w:val="24"/>
        </w:rPr>
      </w:pPr>
      <w:r>
        <w:rPr>
          <w:rFonts w:ascii="Times New Roman" w:hAnsi="Times New Roman"/>
          <w:sz w:val="24"/>
        </w:rPr>
        <w:t xml:space="preserve">(i) (i) Liens on real estate or other property for taxes, assessments, governmental charges or levies not yet delinquent and (ii) Liens for taxes, assessments, judgments, governmental charges or levies or claims the non-payment of which is being diligently contested in good faith by appropriate proceedings and for which adequate reserves have been set aside on such Person’s books in accordance with GAAP; </w:t>
      </w:r>
    </w:p>
    <w:p>
      <w:pPr>
        <w:pStyle w:val="TextBody"/>
        <w:bidi w:val="0"/>
        <w:spacing w:before="240" w:after="0"/>
        <w:jc w:val="both"/>
        <w:rPr>
          <w:rFonts w:ascii="Times New Roman" w:hAnsi="Times New Roman"/>
          <w:sz w:val="24"/>
        </w:rPr>
      </w:pPr>
      <w:r>
        <w:rPr>
          <w:rFonts w:ascii="Times New Roman" w:hAnsi="Times New Roman"/>
          <w:sz w:val="24"/>
        </w:rPr>
        <w:t xml:space="preserve">(ii) Liens incurred in the ordinary course of the Company’s business (i) for sums not yet due or being diligently contested in good faith, or (ii) incidental to the ownership of its assets that, in each case, were not incurred in connection with the borrowing of money, such as Liens of carriers, warehousemen, mechanics, vendors (solely to the extent arising by operation of law), laborers and materialmen, in each case, if reserves in accordance with GAAP or appropriate provisions shall have been made therefor; </w:t>
      </w:r>
    </w:p>
    <w:p>
      <w:pPr>
        <w:pStyle w:val="TextBody"/>
        <w:bidi w:val="0"/>
        <w:spacing w:before="240" w:after="0"/>
        <w:jc w:val="both"/>
        <w:rPr>
          <w:rFonts w:ascii="Times New Roman" w:hAnsi="Times New Roman"/>
          <w:sz w:val="24"/>
        </w:rPr>
      </w:pPr>
      <w:r>
        <w:rPr>
          <w:rFonts w:ascii="Times New Roman" w:hAnsi="Times New Roman"/>
          <w:sz w:val="24"/>
        </w:rPr>
        <w:t xml:space="preserve">(iii) Liens incurred in the ordinary course of business in connection with worker’s compensation and unemployment insurance, social security obligations, assessments or government charges which are not overdue for more than sixty (60) days; </w:t>
      </w:r>
    </w:p>
    <w:p>
      <w:pPr>
        <w:pStyle w:val="TextBody"/>
        <w:bidi w:val="0"/>
        <w:spacing w:before="240" w:after="0"/>
        <w:jc w:val="both"/>
        <w:rPr>
          <w:rFonts w:ascii="Times New Roman" w:hAnsi="Times New Roman"/>
          <w:sz w:val="24"/>
        </w:rPr>
      </w:pPr>
      <w:r>
        <w:rPr>
          <w:rFonts w:ascii="Times New Roman" w:hAnsi="Times New Roman"/>
          <w:sz w:val="24"/>
        </w:rPr>
        <w:t xml:space="preserve">(iv) restrictions on the transfer of the Licenses or assets of the Company or any of its Subsidiaries imposed by any of the Licenses by the Communications Act and any regulations thereunder; </w:t>
      </w:r>
    </w:p>
    <w:p>
      <w:pPr>
        <w:pStyle w:val="TextBody"/>
        <w:bidi w:val="0"/>
        <w:spacing w:before="240" w:after="0"/>
        <w:jc w:val="both"/>
        <w:rPr>
          <w:rFonts w:ascii="Times New Roman" w:hAnsi="Times New Roman"/>
          <w:sz w:val="24"/>
        </w:rPr>
      </w:pPr>
      <w:r>
        <w:rPr>
          <w:rFonts w:ascii="Times New Roman" w:hAnsi="Times New Roman"/>
          <w:sz w:val="24"/>
        </w:rPr>
        <w:t xml:space="preserve">(v) easements, rights-of-way, zoning restrictions, licenses, reservations or restrictions on use and other similar encumbrances on the use of real property which do not materially interfere with the ordinary conduct of the business of such Person or the use of such property in the operation of the business by such Person; </w:t>
      </w:r>
    </w:p>
    <w:p>
      <w:pPr>
        <w:pStyle w:val="TextBody"/>
        <w:bidi w:val="0"/>
        <w:spacing w:before="240" w:after="0"/>
        <w:jc w:val="both"/>
        <w:rPr>
          <w:rFonts w:ascii="Times New Roman" w:hAnsi="Times New Roman"/>
          <w:sz w:val="24"/>
        </w:rPr>
      </w:pPr>
      <w:r>
        <w:rPr>
          <w:rFonts w:ascii="Times New Roman" w:hAnsi="Times New Roman"/>
          <w:sz w:val="24"/>
        </w:rPr>
        <w:t>(vi) Liens arising by operation of law in favor of purchasers in connection with any asset sale</w:t>
      </w:r>
      <w:r>
        <w:rPr>
          <w:rFonts w:ascii="Times New Roman" w:hAnsi="Times New Roman"/>
          <w:strike/>
          <w:color w:val="FF0000"/>
          <w:sz w:val="24"/>
        </w:rPr>
        <w:t xml:space="preserve"> permitted hereunder</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Lien only encumbers the property being sold; </w:t>
      </w:r>
    </w:p>
    <w:p>
      <w:pPr>
        <w:pStyle w:val="TextBody"/>
        <w:bidi w:val="0"/>
        <w:spacing w:before="240" w:after="0"/>
        <w:jc w:val="both"/>
        <w:rPr>
          <w:rFonts w:ascii="Times New Roman" w:hAnsi="Times New Roman"/>
          <w:sz w:val="24"/>
        </w:rPr>
      </w:pPr>
      <w:r>
        <w:rPr>
          <w:rFonts w:ascii="Times New Roman" w:hAnsi="Times New Roman"/>
          <w:sz w:val="24"/>
        </w:rPr>
        <w:t xml:space="preserve">(vii) Liens in respect of Capitalized Lease Obligations, so long as such Liens only attach to the assets leased thereunder, and Liens reflected by Uniform Commercial Code financing statements filed in respect of true leases or subleases of the Company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(viii) Liens to secure performance of statutory obligations, surety or appeal bonds, performance bonds, bids or tenders;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(ix) judgment Liens which do not result in an Event of Default under </w:t>
      </w:r>
      <w:r>
        <w:rPr>
          <w:rFonts w:ascii="Times New Roman" w:hAnsi="Times New Roman"/>
          <w:sz w:val="24"/>
          <w:u w:val="single"/>
        </w:rPr>
        <w:t>Section 8.1(h)</w:t>
      </w:r>
      <w:r>
        <w:rPr>
          <w:rFonts w:ascii="Times New Roman" w:hAnsi="Times New Roman"/>
          <w:sz w:val="24"/>
        </w:rPr>
        <w:t xml:space="preserve"> hereof; </w:t>
      </w:r>
    </w:p>
    <w:p>
      <w:pPr>
        <w:pStyle w:val="TextBody"/>
        <w:bidi w:val="0"/>
        <w:spacing w:before="240" w:after="0"/>
        <w:jc w:val="both"/>
        <w:rPr>
          <w:rFonts w:ascii="Times New Roman" w:hAnsi="Times New Roman"/>
          <w:sz w:val="24"/>
        </w:rPr>
      </w:pPr>
      <w:r>
        <w:rPr>
          <w:rFonts w:ascii="Times New Roman" w:hAnsi="Times New Roman"/>
          <w:sz w:val="24"/>
        </w:rPr>
        <w:t xml:space="preserve">(x) Liens in connection with escrow or security deposits made in connection with Acquisitions permitted hereunder; </w:t>
      </w:r>
    </w:p>
    <w:p>
      <w:pPr>
        <w:pStyle w:val="TextBody"/>
        <w:bidi w:val="0"/>
        <w:spacing w:before="240" w:after="0"/>
        <w:jc w:val="both"/>
        <w:rPr>
          <w:rFonts w:ascii="Times New Roman" w:hAnsi="Times New Roman"/>
          <w:sz w:val="24"/>
        </w:rPr>
      </w:pPr>
      <w:r>
        <w:rPr>
          <w:rFonts w:ascii="Times New Roman" w:hAnsi="Times New Roman"/>
          <w:sz w:val="24"/>
        </w:rPr>
        <w:t xml:space="preserve">(xi) Liens created on any Ownership Interests of Subsidiaries of the Company that are not Material Subsidiaries held by the Company or any of its Subsidiaries; provided, however, that such Lien is not securing Indebtedness of the Company or any of its Domestic Subsidiaries; </w:t>
      </w:r>
    </w:p>
    <w:p>
      <w:pPr>
        <w:pStyle w:val="TextBody"/>
        <w:bidi w:val="0"/>
        <w:spacing w:before="240" w:after="0"/>
        <w:jc w:val="both"/>
        <w:rPr>
          <w:rFonts w:ascii="Times New Roman" w:hAnsi="Times New Roman"/>
          <w:sz w:val="24"/>
        </w:rPr>
      </w:pPr>
      <w:r>
        <w:rPr>
          <w:rFonts w:ascii="Times New Roman" w:hAnsi="Times New Roman"/>
          <w:sz w:val="24"/>
        </w:rPr>
        <w:t xml:space="preserve">(xii) Liens in favor of the Company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(xiii) banker’s Liens, rights of set-off or similar rights and remedies as to deposit accounts or other funds maintained with a depositary institution; </w:t>
      </w:r>
      <w:r>
        <w:rPr>
          <w:rFonts w:ascii="Times New Roman" w:hAnsi="Times New Roman"/>
          <w:sz w:val="24"/>
          <w:u w:val="single"/>
        </w:rPr>
        <w:t>provided</w:t>
      </w:r>
      <w:r>
        <w:rPr>
          <w:rFonts w:ascii="Times New Roman" w:hAnsi="Times New Roman"/>
          <w:sz w:val="24"/>
        </w:rPr>
        <w:t xml:space="preserve"> that such deposit account is not (i) a dedicated cash collateral account and is not subject to restrictions against access in excess of those set forth by regulations promulgated by the Board or other Applicable Law; and (ii) intended to provide collateral to the depositary institution; </w:t>
      </w:r>
    </w:p>
    <w:p>
      <w:pPr>
        <w:pStyle w:val="TextBody"/>
        <w:bidi w:val="0"/>
        <w:spacing w:before="240" w:after="0"/>
        <w:jc w:val="both"/>
        <w:rPr>
          <w:rFonts w:ascii="Times New Roman" w:hAnsi="Times New Roman"/>
          <w:sz w:val="24"/>
        </w:rPr>
      </w:pPr>
      <w:r>
        <w:rPr>
          <w:rFonts w:ascii="Times New Roman" w:hAnsi="Times New Roman"/>
          <w:sz w:val="24"/>
        </w:rPr>
        <w:t xml:space="preserve">(xiv) licenses, sublicenses, leases or subleases granted by the Company or any of its Subsidiaries to any other Person </w:t>
      </w:r>
      <w:r>
        <w:rPr>
          <w:rFonts w:ascii="Times New Roman" w:hAnsi="Times New Roman"/>
          <w:strike/>
          <w:color w:val="FF0000"/>
          <w:sz w:val="24"/>
        </w:rPr>
        <w:t>in</w:t>
      </w:r>
      <w:r>
        <w:rPr>
          <w:rFonts w:ascii="Times New Roman" w:hAnsi="Times New Roman"/>
          <w:color w:val="0000FF"/>
          <w:sz w:val="24"/>
          <w:u w:val="single"/>
          <w:bdr w:val="double" w:sz="2" w:space="1" w:color="000000"/>
        </w:rPr>
        <w:t>which do not materially interfere with</w:t>
      </w:r>
      <w:r>
        <w:rPr>
          <w:rFonts w:ascii="Times New Roman" w:hAnsi="Times New Roman"/>
          <w:sz w:val="24"/>
        </w:rPr>
        <w:t xml:space="preserve">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(xv) Liens in the nature of trustees’ Liens granted pursuant to any indenture governing any Indebtedness permitted hereunder, in each case in favor of the trustee under such indenture and securing only obligations to pay compensation to such trustee, to reimburse its expenses and to indemnify it under the terms thereof; </w:t>
      </w:r>
    </w:p>
    <w:p>
      <w:pPr>
        <w:pStyle w:val="TextBody"/>
        <w:bidi w:val="0"/>
        <w:spacing w:before="240" w:after="0"/>
        <w:jc w:val="both"/>
        <w:rPr>
          <w:rFonts w:ascii="Times New Roman" w:hAnsi="Times New Roman"/>
          <w:sz w:val="24"/>
        </w:rPr>
      </w:pPr>
      <w:r>
        <w:rPr>
          <w:rFonts w:ascii="Times New Roman" w:hAnsi="Times New Roman"/>
          <w:sz w:val="24"/>
        </w:rPr>
        <w:t xml:space="preserve">(xvi) Liens on property of the Company or any of its Subsidiaries at the time the Company or such Subsidiary acquired the property, including acquisition by means of a merger or consolidation with or into the Company or such Subsidiary, or an acquisition of assets </w:t>
      </w:r>
      <w:r>
        <w:rPr>
          <w:rFonts w:ascii="Times New Roman" w:hAnsi="Times New Roman"/>
          <w:color w:val="0000FF"/>
          <w:sz w:val="24"/>
          <w:u w:val="single"/>
          <w:bdr w:val="double" w:sz="2" w:space="1" w:color="000000"/>
        </w:rPr>
        <w:t>and any replacement thereof</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that such Liens (i) are not created, incurred or assumed in connection with or in contemplation of such acquisition and (ii) may not extend to any other property owned by the Company or such Subsidiary; </w:t>
      </w:r>
    </w:p>
    <w:p>
      <w:pPr>
        <w:pStyle w:val="TextBody"/>
        <w:bidi w:val="0"/>
        <w:spacing w:before="240" w:after="0"/>
        <w:jc w:val="both"/>
        <w:rPr>
          <w:rFonts w:ascii="Times New Roman" w:hAnsi="Times New Roman"/>
          <w:sz w:val="24"/>
        </w:rPr>
      </w:pPr>
      <w:r>
        <w:rPr>
          <w:rFonts w:ascii="Times New Roman" w:hAnsi="Times New Roman"/>
          <w:sz w:val="24"/>
        </w:rPr>
        <w:t>(xvii) Liens on property or assets of any Foreign Subsidiary securing the Indebtedness of such Foreign Subsidiary;</w:t>
      </w:r>
      <w:r>
        <w:rPr>
          <w:rFonts w:ascii="Times New Roman" w:hAnsi="Times New Roman"/>
          <w:strike/>
          <w:color w:val="FF0000"/>
          <w:sz w:val="24"/>
        </w:rPr>
        <w:t xml:space="preserve"> 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(xviii) Liens securing obligations under Hedge Agreements in an aggregate amount of such obligations not to exceed $</w:t>
      </w:r>
      <w:r>
        <w:rPr>
          <w:rFonts w:ascii="Times New Roman" w:hAnsi="Times New Roman"/>
          <w:strike/>
          <w:color w:val="FF0000"/>
          <w:sz w:val="24"/>
        </w:rPr>
        <w:t>100,000,000</w:t>
      </w:r>
      <w:r>
        <w:rPr>
          <w:rFonts w:ascii="Times New Roman" w:hAnsi="Times New Roman"/>
          <w:color w:val="0000FF"/>
          <w:sz w:val="24"/>
          <w:u w:val="single"/>
          <w:bdr w:val="double" w:sz="2" w:space="1" w:color="000000"/>
        </w:rPr>
        <w:t>1,000,000,000</w:t>
      </w:r>
      <w:r>
        <w:rPr>
          <w:rFonts w:ascii="Times New Roman" w:hAnsi="Times New Roman"/>
          <w:color w:val="0000FF"/>
          <w:sz w:val="24"/>
        </w:rPr>
        <w:t xml:space="preserve"> </w:t>
      </w:r>
      <w:r>
        <w:rPr>
          <w:rFonts w:ascii="Times New Roman" w:hAnsi="Times New Roman"/>
          <w:sz w:val="24"/>
        </w:rPr>
        <w:t>at any time outstanding</w:t>
      </w:r>
      <w:r>
        <w:rPr>
          <w:rFonts w:ascii="Times New Roman" w:hAnsi="Times New Roman"/>
          <w:color w:val="FF4338"/>
          <w:sz w:val="24"/>
        </w:rPr>
        <w:t>.</w:t>
      </w:r>
      <w:r>
        <w:rPr>
          <w:rFonts w:ascii="Times New Roman" w:hAnsi="Times New Roman"/>
          <w:color w:val="0000FF"/>
          <w:sz w:val="24"/>
          <w:u w:val="single"/>
          <w:bdr w:val="double" w:sz="2" w:space="1" w:color="000000"/>
        </w:rPr>
        <w:t>; 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(xix) </w:t>
      </w:r>
      <w:r>
        <w:rPr>
          <w:rFonts w:ascii="Times New Roman" w:hAnsi="Times New Roman"/>
          <w:color w:val="0000FF"/>
          <w:sz w:val="24"/>
          <w:u w:val="single"/>
          <w:bdr w:val="double" w:sz="2" w:space="1" w:color="000000"/>
        </w:rPr>
        <w:t>Liens existing on March 31, 2026 and renewals and replacements thereof.</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Person</w:t>
      </w:r>
      <w:r>
        <w:rPr>
          <w:rFonts w:ascii="Times New Roman" w:hAnsi="Times New Roman"/>
          <w:sz w:val="24"/>
        </w:rPr>
        <w:t xml:space="preserve">” shall mean an individual, corporation, limited liability company, association, partnership, joint venture, trust or estate, an unincorporated organization, a government or any agency or political subdivision thereof, or any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Plan</w:t>
      </w:r>
      <w:r>
        <w:rPr>
          <w:rFonts w:ascii="Times New Roman" w:hAnsi="Times New Roman"/>
          <w:sz w:val="24"/>
        </w:rPr>
        <w:t xml:space="preserve">” shall mean an employee benefit plan within the meaning of Section 3(3) of ERISA or any other employee benefit plan maintained for employees of the Company or any of its Subsidiaries or ERISA Affiliates. </w:t>
      </w:r>
    </w:p>
    <w:p>
      <w:pPr>
        <w:pStyle w:val="TextBody"/>
        <w:bidi w:val="0"/>
        <w:spacing w:before="240" w:after="0"/>
        <w:jc w:val="both"/>
        <w:rPr/>
      </w:pPr>
      <w:r>
        <w:rPr/>
        <w:t>“</w:t>
      </w:r>
      <w:r>
        <w:rPr>
          <w:rFonts w:ascii="Times New Roman" w:hAnsi="Times New Roman"/>
          <w:sz w:val="24"/>
          <w:u w:val="single"/>
        </w:rPr>
        <w:t>Platform</w:t>
      </w:r>
      <w:r>
        <w:rPr>
          <w:rFonts w:ascii="Times New Roman" w:hAnsi="Times New Roman"/>
          <w:sz w:val="24"/>
        </w:rPr>
        <w:t xml:space="preserve">” shall have the meaning ascribed thereto in </w:t>
      </w:r>
      <w:r>
        <w:rPr>
          <w:rFonts w:ascii="Times New Roman" w:hAnsi="Times New Roman"/>
          <w:sz w:val="24"/>
          <w:u w:val="single"/>
        </w:rPr>
        <w:t>Section 6.6</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Primary Currency</w:t>
      </w:r>
      <w:r>
        <w:rPr>
          <w:rFonts w:ascii="Times New Roman" w:hAnsi="Times New Roman"/>
          <w:sz w:val="24"/>
        </w:rPr>
        <w:t xml:space="preserve">” shall have the meaning ascribed thereto in </w:t>
      </w:r>
      <w:r>
        <w:rPr>
          <w:rFonts w:ascii="Times New Roman" w:hAnsi="Times New Roman"/>
          <w:sz w:val="24"/>
          <w:u w:val="single"/>
        </w:rPr>
        <w:t>Section 12.21(c)</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Prime Rate”</w:t>
      </w:r>
      <w:r>
        <w:rPr>
          <w:rFonts w:ascii="Times New Roman" w:hAnsi="Times New Roman"/>
          <w:sz w:val="24"/>
        </w:rPr>
        <w:t xml:space="preserve"> shall mean the rate of interest per annum announced by the Administrative Agent from time to time as its prime commercial lending rate for Dollar denominated loans in the United States for such day. Any change in the Prime Rate shall take effect at the opening of business on the day such change is publicly announced or quoted as being effective. </w:t>
      </w:r>
    </w:p>
    <w:p>
      <w:pPr>
        <w:pStyle w:val="TextBody"/>
        <w:bidi w:val="0"/>
        <w:spacing w:before="240" w:after="0"/>
        <w:jc w:val="both"/>
        <w:rPr/>
      </w:pPr>
      <w:r>
        <w:rPr/>
        <w:t>“</w:t>
      </w:r>
      <w:r>
        <w:rPr>
          <w:rFonts w:ascii="Times New Roman" w:hAnsi="Times New Roman"/>
          <w:sz w:val="24"/>
          <w:u w:val="single"/>
        </w:rPr>
        <w:t>Proposed Change</w:t>
      </w:r>
      <w:r>
        <w:rPr>
          <w:rFonts w:ascii="Times New Roman" w:hAnsi="Times New Roman"/>
          <w:sz w:val="24"/>
        </w:rPr>
        <w:t xml:space="preserve">” shall have the meaning ascribed thereto in </w:t>
      </w:r>
      <w:r>
        <w:rPr>
          <w:rFonts w:ascii="Times New Roman" w:hAnsi="Times New Roman"/>
          <w:sz w:val="24"/>
          <w:u w:val="single"/>
        </w:rPr>
        <w:t>Section 12.12(c)</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Public Lender</w:t>
      </w:r>
      <w:r>
        <w:rPr>
          <w:rFonts w:ascii="Times New Roman" w:hAnsi="Times New Roman"/>
          <w:sz w:val="24"/>
        </w:rPr>
        <w:t xml:space="preserve">” shall have the meaning ascribed thereto in </w:t>
      </w:r>
      <w:r>
        <w:rPr>
          <w:rFonts w:ascii="Times New Roman" w:hAnsi="Times New Roman"/>
          <w:sz w:val="24"/>
          <w:u w:val="single"/>
        </w:rPr>
        <w:t>Section 6.6</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Register</w:t>
      </w:r>
      <w:r>
        <w:rPr>
          <w:rFonts w:ascii="Times New Roman" w:hAnsi="Times New Roman"/>
          <w:sz w:val="24"/>
        </w:rPr>
        <w:t xml:space="preserve">” shall have the meaning ascribed thereto in </w:t>
      </w:r>
      <w:r>
        <w:rPr>
          <w:rFonts w:ascii="Times New Roman" w:hAnsi="Times New Roman"/>
          <w:sz w:val="24"/>
          <w:u w:val="single"/>
        </w:rPr>
        <w:t>Section 12.4(c)</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REIT</w:t>
      </w:r>
      <w:r>
        <w:rPr>
          <w:rFonts w:ascii="Times New Roman" w:hAnsi="Times New Roman"/>
          <w:sz w:val="24"/>
        </w:rPr>
        <w:t xml:space="preserve">” shall mean a “real estate investment trust” as defined and taxed under Section 856-860 of the Code. </w:t>
      </w:r>
    </w:p>
    <w:p>
      <w:pPr>
        <w:pStyle w:val="TextBody"/>
        <w:bidi w:val="0"/>
        <w:spacing w:before="240" w:after="0"/>
        <w:jc w:val="both"/>
        <w:rPr/>
      </w:pPr>
      <w:r>
        <w:rPr/>
        <w:t>“</w:t>
      </w:r>
      <w:r>
        <w:rPr>
          <w:rFonts w:ascii="Times New Roman" w:hAnsi="Times New Roman"/>
          <w:sz w:val="24"/>
          <w:u w:val="single"/>
        </w:rPr>
        <w:t>Related Parties</w:t>
      </w:r>
      <w:r>
        <w:rPr>
          <w:rFonts w:ascii="Times New Roman" w:hAnsi="Times New Roman"/>
          <w:sz w:val="24"/>
        </w:rPr>
        <w:t xml:space="preserve">” shall mean, with respect to any Person, such Person’s Affiliates and the partners, directors, officers, employees, agents, trustees and advisors of such Person and of such Person’s Affiliates. </w:t>
      </w:r>
    </w:p>
    <w:p>
      <w:pPr>
        <w:pStyle w:val="TextBody"/>
        <w:bidi w:val="0"/>
        <w:spacing w:before="240" w:after="0"/>
        <w:jc w:val="both"/>
        <w:rPr/>
      </w:pPr>
      <w:r>
        <w:rPr/>
        <w:t>“</w:t>
      </w:r>
      <w:r>
        <w:rPr>
          <w:rFonts w:ascii="Times New Roman" w:hAnsi="Times New Roman"/>
          <w:sz w:val="24"/>
          <w:u w:val="single"/>
        </w:rPr>
        <w:t>Relevant Governmental Body</w:t>
      </w:r>
      <w:r>
        <w:rPr>
          <w:rFonts w:ascii="Times New Roman" w:hAnsi="Times New Roman"/>
          <w:sz w:val="24"/>
        </w:rPr>
        <w:t xml:space="preserve">” shall mean (a) with respect to a Benchmark Replacement in respect of Loans denominated in, or calculated with respect to, Dollars, the Board or the NYFRB, or a committee officially endorsed or convened by the Board or the NYFRB, or any successor thereto and (b) with respect to a Benchmark Replacement in respect of Loans </w:t>
      </w:r>
    </w:p>
    <w:p>
      <w:pPr>
        <w:pStyle w:val="TextBody"/>
        <w:bidi w:val="0"/>
        <w:spacing w:before="240" w:after="0"/>
        <w:jc w:val="both"/>
        <w:rPr>
          <w:rFonts w:ascii="Times New Roman" w:hAnsi="Times New Roman"/>
          <w:sz w:val="24"/>
        </w:rPr>
      </w:pPr>
      <w:r>
        <w:rPr>
          <w:rFonts w:ascii="Times New Roman" w:hAnsi="Times New Roman"/>
          <w:sz w:val="24"/>
        </w:rPr>
        <w:t xml:space="preserve">denominated in, or calculated with respect to, any Agreed Currency, (1) the central bank for the Agreed Currency in which such Loans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Agreed Currency in which such Loans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 </w:t>
      </w:r>
    </w:p>
    <w:p>
      <w:pPr>
        <w:pStyle w:val="TextBody"/>
        <w:bidi w:val="0"/>
        <w:spacing w:before="240" w:after="0"/>
        <w:jc w:val="both"/>
        <w:rPr/>
      </w:pPr>
      <w:r>
        <w:rPr/>
        <w:t>“</w:t>
      </w:r>
      <w:r>
        <w:rPr>
          <w:rFonts w:ascii="Times New Roman" w:hAnsi="Times New Roman"/>
          <w:sz w:val="24"/>
          <w:u w:val="single"/>
        </w:rPr>
        <w:t>Relevant Rate</w:t>
      </w:r>
      <w:r>
        <w:rPr>
          <w:rFonts w:ascii="Times New Roman" w:hAnsi="Times New Roman"/>
          <w:sz w:val="24"/>
        </w:rPr>
        <w:t xml:space="preserve">” shall mean (a) with respect to any Term Rate Advance denominated in Dollars, </w:t>
      </w:r>
      <w:r>
        <w:rPr>
          <w:rFonts w:ascii="Times New Roman" w:hAnsi="Times New Roman"/>
          <w:strike/>
          <w:color w:val="FF0000"/>
          <w:sz w:val="24"/>
        </w:rPr>
        <w:t xml:space="preserve">Adjusted </w:t>
      </w:r>
      <w:r>
        <w:rPr>
          <w:rFonts w:ascii="Times New Roman" w:hAnsi="Times New Roman"/>
          <w:sz w:val="24"/>
        </w:rPr>
        <w:t xml:space="preserve">Term SOFR, (b) with respect to any Term Rate Advance denominated in Euros, the EURIBOR Rate (as determined in accordance with the definition thereof), (c) with respect to any Term Rate Advance denominated in Yen, the TIBOR Rate (as determined in accordance with the definition thereof) and (d) with respect to any SONIA Rate Advance, the SONIA Rate. </w:t>
      </w:r>
    </w:p>
    <w:p>
      <w:pPr>
        <w:pStyle w:val="TextBody"/>
        <w:bidi w:val="0"/>
        <w:spacing w:before="240" w:after="0"/>
        <w:jc w:val="both"/>
        <w:rPr/>
      </w:pPr>
      <w:r>
        <w:rPr/>
        <w:t>“</w:t>
      </w:r>
      <w:r>
        <w:rPr>
          <w:rFonts w:ascii="Times New Roman" w:hAnsi="Times New Roman"/>
          <w:sz w:val="24"/>
          <w:u w:val="single"/>
        </w:rPr>
        <w:t>Replacement Lender</w:t>
      </w:r>
      <w:r>
        <w:rPr>
          <w:rFonts w:ascii="Times New Roman" w:hAnsi="Times New Roman"/>
          <w:sz w:val="24"/>
        </w:rPr>
        <w:t xml:space="preserve">” shall have the meaning ascribed thereto in </w:t>
      </w:r>
      <w:r>
        <w:rPr>
          <w:rFonts w:ascii="Times New Roman" w:hAnsi="Times New Roman"/>
          <w:sz w:val="24"/>
          <w:u w:val="single"/>
        </w:rPr>
        <w:t>Section 10.5</w:t>
      </w:r>
      <w:r>
        <w:rPr>
          <w:rFonts w:ascii="Times New Roman" w:hAnsi="Times New Roman"/>
          <w:sz w:val="24"/>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Request for Advance</w:t>
      </w:r>
      <w:r>
        <w:rPr>
          <w:rFonts w:ascii="Times New Roman" w:hAnsi="Times New Roman"/>
          <w:sz w:val="24"/>
        </w:rPr>
        <w:t>” shall mean a certificate designated as a “</w:t>
      </w:r>
      <w:r>
        <w:rPr>
          <w:rFonts w:ascii="Times New Roman" w:hAnsi="Times New Roman"/>
          <w:sz w:val="24"/>
          <w:u w:val="single"/>
        </w:rPr>
        <w:t>Request for Advance</w:t>
      </w:r>
      <w:r>
        <w:rPr>
          <w:rFonts w:ascii="Times New Roman" w:hAnsi="Times New Roman"/>
          <w:sz w:val="24"/>
        </w:rPr>
        <w:t xml:space="preserve">,” signed by an Authorized Signatory of the Borrower requesting an Advance, Continuation or Conversion hereunder, which shall be in substantially the form of </w:t>
      </w:r>
      <w:r>
        <w:rPr>
          <w:rFonts w:ascii="Times New Roman" w:hAnsi="Times New Roman"/>
          <w:sz w:val="24"/>
          <w:u w:val="single"/>
        </w:rPr>
        <w:t>Exhibit A</w:t>
      </w:r>
      <w:r>
        <w:rPr>
          <w:rFonts w:ascii="Times New Roman" w:hAnsi="Times New Roman"/>
          <w:sz w:val="24"/>
        </w:rPr>
        <w:t xml:space="preserve"> attached hereto. </w:t>
      </w:r>
    </w:p>
    <w:p>
      <w:pPr>
        <w:pStyle w:val="TextBody"/>
        <w:bidi w:val="0"/>
        <w:spacing w:before="240" w:after="0"/>
        <w:jc w:val="both"/>
        <w:rPr/>
      </w:pPr>
      <w:r>
        <w:rPr/>
        <w:t>“</w:t>
      </w:r>
      <w:r>
        <w:rPr>
          <w:rFonts w:ascii="Times New Roman" w:hAnsi="Times New Roman"/>
          <w:sz w:val="24"/>
          <w:u w:val="single"/>
        </w:rPr>
        <w:t>Resolution Authority</w:t>
      </w:r>
      <w:r>
        <w:rPr>
          <w:rFonts w:ascii="Times New Roman" w:hAnsi="Times New Roman"/>
          <w:sz w:val="24"/>
        </w:rPr>
        <w:t xml:space="preserve">” shall mean an EEA Resolution Authority or, with respect to any UK Financial Institution, a UK Resolution Authority. </w:t>
      </w:r>
    </w:p>
    <w:p>
      <w:pPr>
        <w:pStyle w:val="TextBody"/>
        <w:bidi w:val="0"/>
        <w:spacing w:before="240" w:after="0"/>
        <w:jc w:val="both"/>
        <w:rPr/>
      </w:pPr>
      <w:r>
        <w:rPr/>
        <w:t>“</w:t>
      </w:r>
      <w:r>
        <w:rPr>
          <w:rFonts w:ascii="Times New Roman" w:hAnsi="Times New Roman"/>
          <w:sz w:val="24"/>
          <w:u w:val="single"/>
        </w:rPr>
        <w:t>Restricted Payment</w:t>
      </w:r>
      <w:r>
        <w:rPr>
          <w:rFonts w:ascii="Times New Roman" w:hAnsi="Times New Roman"/>
          <w:sz w:val="24"/>
        </w:rPr>
        <w:t xml:space="preserve">” shall mean any direct or indirect distribution, dividend or other payment to any Person (other than to the Company or any of its Subsidiaries) on account of any Ownership Interests of the Company or any of its Subsidiaries (other than dividends payable solely in Ownership Interests of such Person or in warrants or other rights or options to acquire such Ownership Interests). </w:t>
      </w:r>
    </w:p>
    <w:p>
      <w:pPr>
        <w:pStyle w:val="TextBody"/>
        <w:bidi w:val="0"/>
        <w:spacing w:before="240" w:after="0"/>
        <w:jc w:val="both"/>
        <w:rPr/>
      </w:pPr>
      <w:r>
        <w:rPr/>
        <w:t>“</w:t>
      </w:r>
      <w:r>
        <w:rPr>
          <w:rFonts w:ascii="Times New Roman" w:hAnsi="Times New Roman"/>
          <w:sz w:val="24"/>
          <w:u w:val="single"/>
        </w:rPr>
        <w:t>Restrictive Change</w:t>
      </w:r>
      <w:r>
        <w:rPr>
          <w:rFonts w:ascii="Times New Roman" w:hAnsi="Times New Roman"/>
          <w:sz w:val="24"/>
        </w:rPr>
        <w:t xml:space="preserve">” shall have the meaning ascribed thereto in Section 5.10 hereof. </w:t>
      </w:r>
    </w:p>
    <w:p>
      <w:pPr>
        <w:pStyle w:val="TextBody"/>
        <w:bidi w:val="0"/>
        <w:spacing w:before="240" w:after="0"/>
        <w:jc w:val="both"/>
        <w:rPr/>
      </w:pPr>
      <w:r>
        <w:rPr/>
        <w:t>“</w:t>
      </w:r>
      <w:r>
        <w:rPr>
          <w:rFonts w:ascii="Times New Roman" w:hAnsi="Times New Roman"/>
          <w:sz w:val="24"/>
          <w:u w:val="single"/>
        </w:rPr>
        <w:t>Revaluation Date</w:t>
      </w:r>
      <w:r>
        <w:rPr>
          <w:rFonts w:ascii="Times New Roman" w:hAnsi="Times New Roman"/>
          <w:sz w:val="24"/>
        </w:rPr>
        <w:t xml:space="preserve">” shall mean (a) with respect to any Revolving Loan made as a Term Rate Advance, each of the following: (i) each date of a Term Rate Advance of such Revolving Loan denominated in an Alternative Currency, (ii) each date of a continuation of such Term Rate Advance of such Revolving Loan denominated in an Alternative Currency and (iii) such additional dates as the Administrative Agent shall determine or the Majority Lenders shall reasonably require; (b) with respect to any Revolving Loan made as a SONIA Rate Advance, each of the following (i) each date of a SONIA Rate Advance of such Revolving Loan, (ii) each date of a continuation of such SONIA Rate Advance of such Revolving Loan and (iii) such additional dates as the Administrative Agent shall determine or the Majority Lenders shall reasonably require; and (c)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relevant Issuing Bank under any Letter of Credit denominated in an Alternative Currency and (iv) such additional dates as the Administrative Agent or the Issuing Bank shall determine or the Majority Lenders shall reasonably require. </w:t>
      </w:r>
    </w:p>
    <w:p>
      <w:pPr>
        <w:pStyle w:val="TextBody"/>
        <w:bidi w:val="0"/>
        <w:spacing w:before="240" w:after="0"/>
        <w:jc w:val="both"/>
        <w:rPr/>
      </w:pPr>
      <w:r>
        <w:rPr/>
        <w:t>“</w:t>
      </w:r>
      <w:r>
        <w:rPr>
          <w:rFonts w:ascii="Times New Roman" w:hAnsi="Times New Roman"/>
          <w:sz w:val="24"/>
          <w:u w:val="single"/>
        </w:rPr>
        <w:t>Revolving Loan</w:t>
      </w:r>
      <w:r>
        <w:rPr>
          <w:rFonts w:ascii="Times New Roman" w:hAnsi="Times New Roman"/>
          <w:sz w:val="24"/>
        </w:rPr>
        <w:t>” and “</w:t>
      </w:r>
      <w:r>
        <w:rPr>
          <w:rFonts w:ascii="Times New Roman" w:hAnsi="Times New Roman"/>
          <w:sz w:val="24"/>
          <w:u w:val="single"/>
        </w:rPr>
        <w:t>Revolving Loans</w:t>
      </w:r>
      <w:r>
        <w:rPr>
          <w:rFonts w:ascii="Times New Roman" w:hAnsi="Times New Roman"/>
          <w:sz w:val="24"/>
        </w:rPr>
        <w:t xml:space="preserve">” shall have the meanings ascribed to such terms in </w:t>
      </w:r>
      <w:r>
        <w:rPr>
          <w:rFonts w:ascii="Times New Roman" w:hAnsi="Times New Roman"/>
          <w:sz w:val="24"/>
          <w:u w:val="single"/>
        </w:rPr>
        <w:t>Section 2.1</w:t>
      </w:r>
      <w:r>
        <w:rPr>
          <w:rFonts w:ascii="Times New Roman" w:hAnsi="Times New Roman"/>
          <w:sz w:val="24"/>
        </w:rPr>
        <w:t xml:space="preserve"> hereof. </w:t>
      </w:r>
    </w:p>
    <w:p>
      <w:pPr>
        <w:pStyle w:val="TextBody"/>
        <w:bidi w:val="0"/>
        <w:spacing w:before="240" w:after="0"/>
        <w:jc w:val="both"/>
        <w:rPr/>
      </w:pPr>
      <w:r>
        <w:rPr/>
        <w:t>“</w:t>
      </w:r>
      <w:r>
        <w:rPr>
          <w:rFonts w:ascii="Times New Roman" w:hAnsi="Times New Roman"/>
          <w:sz w:val="24"/>
          <w:u w:val="single"/>
        </w:rPr>
        <w:t>Revolving Loan Commitments</w:t>
      </w:r>
      <w:r>
        <w:rPr>
          <w:rFonts w:ascii="Times New Roman" w:hAnsi="Times New Roman"/>
          <w:sz w:val="24"/>
        </w:rPr>
        <w:t xml:space="preserve">” shall mean, as to each Lender its obligation to (a) make Revolving Loans to the Company pursuant to </w:t>
      </w:r>
      <w:r>
        <w:rPr>
          <w:rFonts w:ascii="Times New Roman" w:hAnsi="Times New Roman"/>
          <w:sz w:val="24"/>
          <w:u w:val="single"/>
        </w:rPr>
        <w:t>Section 2.1</w:t>
      </w:r>
      <w:r>
        <w:rPr>
          <w:rFonts w:ascii="Times New Roman" w:hAnsi="Times New Roman"/>
          <w:sz w:val="24"/>
        </w:rPr>
        <w:t xml:space="preserve">, (b) purchase participations in L/C Obligations, and (c) purchase participations in Swingline Loans, in an aggregate principal amount at any one time outstanding not to exceed the amount set forth (i) opposite such Lender’s name on </w:t>
      </w:r>
      <w:r>
        <w:rPr>
          <w:rFonts w:ascii="Times New Roman" w:hAnsi="Times New Roman"/>
          <w:sz w:val="24"/>
          <w:u w:val="single"/>
        </w:rPr>
        <w:t>Schedule 1</w:t>
      </w:r>
      <w:r>
        <w:rPr>
          <w:rFonts w:ascii="Times New Roman" w:hAnsi="Times New Roman"/>
          <w:sz w:val="24"/>
        </w:rPr>
        <w:t>, (ii) in the Assignment and Assumption pursuant to which such Lender becomes a party hereto, or (iii) opposite such New Lender’s name on the signature page executed by such New Lender, as applicable, as such amount may be adjusted from time to time in accordance with this Agreement and in each case subject to the Available Amount on such date. The aggregate amount of Revolving Loan Commitments on the Amendment No. </w:t>
      </w:r>
      <w:r>
        <w:rPr>
          <w:rFonts w:ascii="Times New Roman" w:hAnsi="Times New Roman"/>
          <w:strike/>
          <w:color w:val="FF0000"/>
          <w:sz w:val="24"/>
        </w:rPr>
        <w:t>2</w:t>
      </w:r>
      <w:r>
        <w:rPr>
          <w:rFonts w:ascii="Times New Roman" w:hAnsi="Times New Roman"/>
          <w:color w:val="0000FF"/>
          <w:sz w:val="24"/>
          <w:u w:val="single"/>
          <w:bdr w:val="double" w:sz="2" w:space="1" w:color="000000"/>
        </w:rPr>
        <w:t>3</w:t>
      </w:r>
      <w:r>
        <w:rPr>
          <w:rFonts w:ascii="Times New Roman" w:hAnsi="Times New Roman"/>
          <w:sz w:val="24"/>
        </w:rPr>
        <w:t xml:space="preserve"> Effective Date is $4,000,000,000. </w:t>
      </w:r>
    </w:p>
    <w:p>
      <w:pPr>
        <w:pStyle w:val="TextBody"/>
        <w:bidi w:val="0"/>
        <w:spacing w:before="240" w:after="0"/>
        <w:jc w:val="both"/>
        <w:rPr/>
      </w:pPr>
      <w:r>
        <w:rPr/>
        <w:t>“</w:t>
      </w:r>
      <w:r>
        <w:rPr>
          <w:rFonts w:ascii="Times New Roman" w:hAnsi="Times New Roman"/>
          <w:sz w:val="24"/>
          <w:u w:val="single"/>
        </w:rPr>
        <w:t>Revolving Loan Notes</w:t>
      </w:r>
      <w:r>
        <w:rPr>
          <w:rFonts w:ascii="Times New Roman" w:hAnsi="Times New Roman"/>
          <w:sz w:val="24"/>
        </w:rPr>
        <w:t xml:space="preserve">” shall mean, collectively, those certain revolving promissory notes in an aggregate original principal amount of up to the Revolving Loan Commitments, issued by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Borrower to the Lenders having a Revolving Loan Commitment, each one substantially in the form of </w:t>
      </w:r>
      <w:r>
        <w:rPr>
          <w:rFonts w:ascii="Times New Roman" w:hAnsi="Times New Roman"/>
          <w:sz w:val="24"/>
          <w:u w:val="single"/>
        </w:rPr>
        <w:t>Exhibit C</w:t>
      </w:r>
      <w:r>
        <w:rPr>
          <w:rFonts w:ascii="Times New Roman" w:hAnsi="Times New Roman"/>
          <w:sz w:val="24"/>
        </w:rPr>
        <w:t xml:space="preserve"> attached hereto, and any extensions, renewals or amendments to, or replacements of, the foregoing. </w:t>
      </w:r>
    </w:p>
    <w:p>
      <w:pPr>
        <w:pStyle w:val="TextBody"/>
        <w:bidi w:val="0"/>
        <w:spacing w:before="240" w:after="0"/>
        <w:jc w:val="both"/>
        <w:rPr/>
      </w:pPr>
      <w:r>
        <w:rPr/>
        <w:t>“</w:t>
      </w:r>
      <w:r>
        <w:rPr>
          <w:rFonts w:ascii="Times New Roman" w:hAnsi="Times New Roman"/>
          <w:sz w:val="24"/>
          <w:u w:val="single"/>
        </w:rPr>
        <w:t>S&amp;P</w:t>
      </w:r>
      <w:r>
        <w:rPr>
          <w:rFonts w:ascii="Times New Roman" w:hAnsi="Times New Roman"/>
          <w:sz w:val="24"/>
        </w:rPr>
        <w:t xml:space="preserve">” shall mean S&amp;P Global Ratings, and its successors. </w:t>
      </w:r>
    </w:p>
    <w:p>
      <w:pPr>
        <w:pStyle w:val="TextBody"/>
        <w:bidi w:val="0"/>
        <w:spacing w:before="240" w:after="0"/>
        <w:jc w:val="both"/>
        <w:rPr/>
      </w:pPr>
      <w:r>
        <w:rPr/>
        <w:t>“</w:t>
      </w:r>
      <w:r>
        <w:rPr>
          <w:rFonts w:ascii="Times New Roman" w:hAnsi="Times New Roman"/>
          <w:sz w:val="24"/>
          <w:u w:val="single"/>
        </w:rPr>
        <w:t>Sale and Leaseback Transaction</w:t>
      </w:r>
      <w:r>
        <w:rPr>
          <w:rFonts w:ascii="Times New Roman" w:hAnsi="Times New Roman"/>
          <w:sz w:val="24"/>
        </w:rPr>
        <w:t xml:space="preserve">” shall mean any arrangement, directly or indirectly, with any third party whereby the Company or any of its Subsidiaries shall sell or transfer any property, real or personal, whether now owned or hereafter acquired, and whereby the Company or any of its Subsidiaries shall then or thereafter rent or lease as lessee such property or any part thereof or other property which the Company or any of its Subsidiaries intend to use for substantially the same purpose or purposes as the property sold or transferred, except for such arrangements for fair market value. </w:t>
      </w:r>
    </w:p>
    <w:p>
      <w:pPr>
        <w:pStyle w:val="TextBody"/>
        <w:bidi w:val="0"/>
        <w:spacing w:before="240" w:after="0"/>
        <w:jc w:val="both"/>
        <w:rPr/>
      </w:pPr>
      <w:r>
        <w:rPr/>
        <w:t>“</w:t>
      </w:r>
      <w:r>
        <w:rPr>
          <w:rFonts w:ascii="Times New Roman" w:hAnsi="Times New Roman"/>
          <w:sz w:val="24"/>
          <w:u w:val="single"/>
        </w:rPr>
        <w:t>Sanctioned Country</w:t>
      </w:r>
      <w:r>
        <w:rPr>
          <w:rFonts w:ascii="Times New Roman" w:hAnsi="Times New Roman"/>
          <w:sz w:val="24"/>
        </w:rPr>
        <w:t xml:space="preserve">” shall mean a country or territory that is itself the target or subject of a country-wide or region-wide sanctions program administered by (a) OFAC or (b) the United Nations Security Council, European Union, any European Union member state or the United Kingdom (currently, Cuba, the Crimea, Kherson and Zapozhizhia regions of Ukraine, the so-called Donetsk People’s Republic, and the so-called Luhansk People’s Republic, Iran, North Korea and Syria). </w:t>
      </w:r>
    </w:p>
    <w:p>
      <w:pPr>
        <w:pStyle w:val="TextBody"/>
        <w:bidi w:val="0"/>
        <w:spacing w:before="240" w:after="0"/>
        <w:jc w:val="both"/>
        <w:rPr/>
      </w:pPr>
      <w:r>
        <w:rPr/>
        <w:t>“</w:t>
      </w:r>
      <w:r>
        <w:rPr>
          <w:rFonts w:ascii="Times New Roman" w:hAnsi="Times New Roman"/>
          <w:sz w:val="24"/>
          <w:u w:val="single"/>
        </w:rPr>
        <w:t>Sanctions Laws and Regulations</w:t>
      </w:r>
      <w:r>
        <w:rPr>
          <w:rFonts w:ascii="Times New Roman" w:hAnsi="Times New Roman"/>
          <w:sz w:val="24"/>
        </w:rPr>
        <w:t xml:space="preserve">” shall mean (i) any sanctions, prohibitions or requirements imposed by the U.S. government, including any U.S. executive order (an “Executive Order”) or by any sanctions program administered by OFAC; and (ii) any sanctions measures imposed by the United Nations Security Council, European Union, any European Union member state or the United Kingdom. </w:t>
      </w:r>
    </w:p>
    <w:p>
      <w:pPr>
        <w:pStyle w:val="TextBody"/>
        <w:bidi w:val="0"/>
        <w:spacing w:before="240" w:after="0"/>
        <w:jc w:val="both"/>
        <w:rPr/>
      </w:pPr>
      <w:r>
        <w:rPr/>
        <w:t>“</w:t>
      </w:r>
      <w:r>
        <w:rPr>
          <w:rFonts w:ascii="Times New Roman" w:hAnsi="Times New Roman"/>
          <w:sz w:val="24"/>
          <w:u w:val="single"/>
        </w:rPr>
        <w:t>Senior Secured Debt</w:t>
      </w:r>
      <w:r>
        <w:rPr>
          <w:rFonts w:ascii="Times New Roman" w:hAnsi="Times New Roman"/>
          <w:sz w:val="24"/>
        </w:rPr>
        <w:t xml:space="preserve">” shall mean, for the Company and its Subsidiaries on a consolidated basis as of any date, the aggregate amount of secured Indebtedness </w:t>
      </w:r>
      <w:r>
        <w:rPr>
          <w:rFonts w:ascii="Times New Roman" w:hAnsi="Times New Roman"/>
          <w:color w:val="0000FF"/>
          <w:sz w:val="24"/>
          <w:u w:val="single"/>
          <w:bdr w:val="double" w:sz="2" w:space="1" w:color="000000"/>
        </w:rPr>
        <w:t>(other than</w:t>
      </w:r>
      <w:r>
        <w:rPr>
          <w:rFonts w:ascii="Times New Roman" w:hAnsi="Times New Roman"/>
          <w:sz w:val="24"/>
        </w:rPr>
        <w:t xml:space="preserve"> </w:t>
      </w:r>
      <w:r>
        <w:rPr>
          <w:rFonts w:ascii="Times New Roman" w:hAnsi="Times New Roman"/>
          <w:color w:val="0000FF"/>
          <w:sz w:val="24"/>
          <w:u w:val="single"/>
          <w:bdr w:val="double" w:sz="2" w:space="1" w:color="000000"/>
        </w:rPr>
        <w:t>Indebtedness secured by Permitted Liens)</w:t>
      </w:r>
      <w:r>
        <w:rPr>
          <w:rFonts w:ascii="Times New Roman" w:hAnsi="Times New Roman"/>
          <w:sz w:val="24"/>
        </w:rPr>
        <w:t xml:space="preserve"> plus Attributable Debt of such Persons as of such date (including, without limitation, Indebtedness under any Existing ABS Facility and Indebtedness under any additional ABS Facilities entered into in accordance with Section 7.1(h) hereof). </w:t>
      </w:r>
    </w:p>
    <w:p>
      <w:pPr>
        <w:pStyle w:val="TextBody"/>
        <w:bidi w:val="0"/>
        <w:spacing w:before="240" w:after="0"/>
        <w:jc w:val="both"/>
        <w:rPr/>
      </w:pPr>
      <w:r>
        <w:rPr/>
        <w:t>“</w:t>
      </w:r>
      <w:r>
        <w:rPr>
          <w:rFonts w:ascii="Times New Roman" w:hAnsi="Times New Roman"/>
          <w:sz w:val="24"/>
          <w:u w:val="single"/>
        </w:rPr>
        <w:t>SOFR</w:t>
      </w:r>
      <w:r>
        <w:rPr>
          <w:rFonts w:ascii="Times New Roman" w:hAnsi="Times New Roman"/>
          <w:sz w:val="24"/>
        </w:rPr>
        <w:t xml:space="preserve">” shall mean a rate equal to the secured overnight financing rate as administered by the SOFR Administrator. </w:t>
      </w:r>
    </w:p>
    <w:p>
      <w:pPr>
        <w:pStyle w:val="TextBody"/>
        <w:bidi w:val="0"/>
        <w:spacing w:before="240" w:after="0"/>
        <w:jc w:val="both"/>
        <w:rPr/>
      </w:pPr>
      <w:r>
        <w:rPr/>
        <w:t>“</w:t>
      </w:r>
      <w:r>
        <w:rPr>
          <w:rFonts w:ascii="Times New Roman" w:hAnsi="Times New Roman"/>
          <w:sz w:val="24"/>
          <w:u w:val="single"/>
        </w:rPr>
        <w:t>SOFR Administrator</w:t>
      </w:r>
      <w:r>
        <w:rPr>
          <w:rFonts w:ascii="Times New Roman" w:hAnsi="Times New Roman"/>
          <w:sz w:val="24"/>
        </w:rPr>
        <w:t xml:space="preserve">” shall mean the NYFRB (or a successor administrator of the secured overnight financing rate). </w:t>
      </w:r>
    </w:p>
    <w:p>
      <w:pPr>
        <w:pStyle w:val="TextBody"/>
        <w:bidi w:val="0"/>
        <w:spacing w:before="240" w:after="0"/>
        <w:jc w:val="both"/>
        <w:rPr/>
      </w:pPr>
      <w:r>
        <w:rPr/>
        <w:t>“</w:t>
      </w:r>
      <w:r>
        <w:rPr>
          <w:rFonts w:ascii="Times New Roman" w:hAnsi="Times New Roman"/>
          <w:sz w:val="24"/>
          <w:u w:val="single"/>
        </w:rPr>
        <w:t>SOFR Loan</w:t>
      </w:r>
      <w:r>
        <w:rPr>
          <w:rFonts w:ascii="Times New Roman" w:hAnsi="Times New Roman"/>
          <w:sz w:val="24"/>
        </w:rPr>
        <w:t xml:space="preserve">” shall mean a Loan that bears interest at a rate based on </w:t>
      </w:r>
      <w:r>
        <w:rPr>
          <w:rFonts w:ascii="Times New Roman" w:hAnsi="Times New Roman"/>
          <w:strike/>
          <w:color w:val="FF0000"/>
          <w:sz w:val="24"/>
        </w:rPr>
        <w:t xml:space="preserve">Adjusted </w:t>
      </w:r>
      <w:r>
        <w:rPr>
          <w:rFonts w:ascii="Times New Roman" w:hAnsi="Times New Roman"/>
          <w:sz w:val="24"/>
        </w:rPr>
        <w:t xml:space="preserve">Term SOFR, other than pursuant to clause (c) of the definition of “Base Rate”. </w:t>
      </w:r>
    </w:p>
    <w:p>
      <w:pPr>
        <w:pStyle w:val="TextBody"/>
        <w:bidi w:val="0"/>
        <w:spacing w:before="240" w:after="0"/>
        <w:jc w:val="both"/>
        <w:rPr/>
      </w:pPr>
      <w:r>
        <w:rPr/>
        <w:t>“</w:t>
      </w:r>
      <w:r>
        <w:rPr>
          <w:rFonts w:ascii="Times New Roman" w:hAnsi="Times New Roman"/>
          <w:sz w:val="24"/>
          <w:u w:val="single"/>
        </w:rPr>
        <w:t>SONIA</w:t>
      </w:r>
      <w:r>
        <w:rPr>
          <w:rFonts w:ascii="Times New Roman" w:hAnsi="Times New Roman"/>
          <w:sz w:val="24"/>
        </w:rPr>
        <w:t xml:space="preserve">” shall mean, with respect to any Business Day, a rate per annum equal to the Sterling Overnight Index Average for such Business Day published by the SONIA Administrator on the SONIA Administrator’s Website on the immediately succeeding Business Day; provided that if SONIA shall be less than zero, such rate shall be deemed to be zero for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SONIA Administrator</w:t>
      </w:r>
      <w:r>
        <w:rPr>
          <w:rFonts w:ascii="Times New Roman" w:hAnsi="Times New Roman"/>
          <w:sz w:val="24"/>
        </w:rPr>
        <w:t xml:space="preserve">” shall mean the Bank of England (or any successor administrator of the Sterling Overnight Index Average). </w:t>
      </w:r>
    </w:p>
    <w:p>
      <w:pPr>
        <w:pStyle w:val="TextBody"/>
        <w:bidi w:val="0"/>
        <w:spacing w:before="240" w:after="0"/>
        <w:jc w:val="both"/>
        <w:rPr/>
      </w:pPr>
      <w:r>
        <w:rPr/>
        <w:t>“</w:t>
      </w:r>
      <w:r>
        <w:rPr>
          <w:rFonts w:ascii="Times New Roman" w:hAnsi="Times New Roman"/>
          <w:sz w:val="24"/>
          <w:u w:val="single"/>
        </w:rPr>
        <w:t>SONIA Administrator’s Website</w:t>
      </w:r>
      <w:r>
        <w:rPr>
          <w:rFonts w:ascii="Times New Roman" w:hAnsi="Times New Roman"/>
          <w:sz w:val="24"/>
        </w:rPr>
        <w:t xml:space="preserve">” shall mean the Bank of England’s website, currently at http://www.bankofengland.co.uk, or any successor source for the Sterling Overnight Index Average identified as such by the SONIA Administrator from time to time. </w:t>
      </w:r>
    </w:p>
    <w:p>
      <w:pPr>
        <w:pStyle w:val="TextBody"/>
        <w:bidi w:val="0"/>
        <w:spacing w:before="240" w:after="0"/>
        <w:jc w:val="both"/>
        <w:rPr/>
      </w:pPr>
      <w:r>
        <w:rPr/>
        <w:t>“</w:t>
      </w:r>
      <w:r>
        <w:rPr>
          <w:rFonts w:ascii="Times New Roman" w:hAnsi="Times New Roman"/>
          <w:sz w:val="24"/>
          <w:u w:val="single"/>
        </w:rPr>
        <w:t>SONIA Rate</w:t>
      </w:r>
      <w:r>
        <w:rPr>
          <w:rFonts w:ascii="Times New Roman" w:hAnsi="Times New Roman"/>
          <w:sz w:val="24"/>
        </w:rPr>
        <w:t xml:space="preserve">” shall mean, with respect to any applicable determination date, (a) SONIA published on the fifth Business Day preceding such date (provided however that if such determination date is not a Business Day, “SONIA Rate” shall mean such rate that applied on the first Business Day immediately prior thereto) plus (b) 0.0326%. </w:t>
      </w:r>
    </w:p>
    <w:p>
      <w:pPr>
        <w:pStyle w:val="TextBody"/>
        <w:bidi w:val="0"/>
        <w:spacing w:before="240" w:after="0"/>
        <w:jc w:val="both"/>
        <w:rPr/>
      </w:pPr>
      <w:r>
        <w:rPr/>
        <w:t>“</w:t>
      </w:r>
      <w:r>
        <w:rPr>
          <w:rFonts w:ascii="Times New Roman" w:hAnsi="Times New Roman"/>
          <w:sz w:val="24"/>
          <w:u w:val="single"/>
        </w:rPr>
        <w:t>SONIA Rate Advance</w:t>
      </w:r>
      <w:r>
        <w:rPr>
          <w:rFonts w:ascii="Times New Roman" w:hAnsi="Times New Roman"/>
          <w:sz w:val="24"/>
        </w:rPr>
        <w:t xml:space="preserve">” shall mean an Advance denominated in Sterling which the Company requests to be made in accordance with the provisions of Section 2.2 hereof and which shall be in a principal amount of at least the Dollar Equivalent of $5,000,000.00 and in an integral multiple of the Dollar Equivalent of $1,000,000.00. </w:t>
      </w:r>
    </w:p>
    <w:p>
      <w:pPr>
        <w:pStyle w:val="TextBody"/>
        <w:bidi w:val="0"/>
        <w:spacing w:before="240" w:after="0"/>
        <w:jc w:val="both"/>
        <w:rPr/>
      </w:pPr>
      <w:r>
        <w:rPr/>
        <w:t>“</w:t>
      </w:r>
      <w:r>
        <w:rPr>
          <w:rFonts w:ascii="Times New Roman" w:hAnsi="Times New Roman"/>
          <w:sz w:val="24"/>
          <w:u w:val="single"/>
        </w:rPr>
        <w:t>SONIA Rate Basis</w:t>
      </w:r>
      <w:r>
        <w:rPr>
          <w:rFonts w:ascii="Times New Roman" w:hAnsi="Times New Roman"/>
          <w:sz w:val="24"/>
        </w:rPr>
        <w:t xml:space="preserve">” shall mean a simple interest rate equal to the sum of (i) the SONIA Rate and (ii) the Applicable Margin applicable to SONIA Rate Advances for the applicable Loans. The SONIA Rate Basis shall be adjusted automatically as of the opening of business on the effective date of each change in the SONIA Rate to account for such change, and shall also be adjusted to reflect changes of the Applicable Margin applicable to SONIA Rate Advances. </w:t>
      </w:r>
    </w:p>
    <w:p>
      <w:pPr>
        <w:pStyle w:val="TextBody"/>
        <w:bidi w:val="0"/>
        <w:spacing w:before="240" w:after="0"/>
        <w:jc w:val="both"/>
        <w:rPr/>
      </w:pPr>
      <w:r>
        <w:rPr/>
        <w:t>“</w:t>
      </w:r>
      <w:r>
        <w:rPr>
          <w:rFonts w:ascii="Times New Roman" w:hAnsi="Times New Roman"/>
          <w:sz w:val="24"/>
          <w:u w:val="single"/>
        </w:rPr>
        <w:t>SPC</w:t>
      </w:r>
      <w:r>
        <w:rPr>
          <w:rFonts w:ascii="Times New Roman" w:hAnsi="Times New Roman"/>
          <w:sz w:val="24"/>
        </w:rPr>
        <w:t xml:space="preserve">” shall have the meaning ascribed thereto in Section 12.4(f) hereof. </w:t>
      </w:r>
    </w:p>
    <w:p>
      <w:pPr>
        <w:pStyle w:val="TextBody"/>
        <w:bidi w:val="0"/>
        <w:spacing w:before="240" w:after="0"/>
        <w:jc w:val="both"/>
        <w:rPr/>
      </w:pPr>
      <w:r>
        <w:rPr/>
        <w:t>“</w:t>
      </w:r>
      <w:r>
        <w:rPr>
          <w:rFonts w:ascii="Times New Roman" w:hAnsi="Times New Roman"/>
          <w:sz w:val="24"/>
          <w:u w:val="single"/>
        </w:rPr>
        <w:t>Special Notice Currency</w:t>
      </w:r>
      <w:r>
        <w:rPr>
          <w:rFonts w:ascii="Times New Roman" w:hAnsi="Times New Roman"/>
          <w:sz w:val="24"/>
        </w:rPr>
        <w:t xml:space="preserve">” shall mean at any time an Alternative Currency, other than the currency of a country that is a member of the Organization for Economic Cooperation and Development at such time located in North America or Europe. </w:t>
      </w:r>
    </w:p>
    <w:p>
      <w:pPr>
        <w:pStyle w:val="TextBody"/>
        <w:bidi w:val="0"/>
        <w:spacing w:before="240" w:after="0"/>
        <w:jc w:val="both"/>
        <w:rPr/>
      </w:pPr>
      <w:r>
        <w:rPr/>
        <w:t>“</w:t>
      </w:r>
      <w:r>
        <w:rPr>
          <w:rFonts w:ascii="Times New Roman" w:hAnsi="Times New Roman"/>
          <w:sz w:val="24"/>
          <w:u w:val="single"/>
        </w:rPr>
        <w:t>Specified Merger</w:t>
      </w:r>
      <w:r>
        <w:rPr>
          <w:rFonts w:ascii="Times New Roman" w:hAnsi="Times New Roman"/>
          <w:sz w:val="24"/>
        </w:rPr>
        <w:t xml:space="preserve">” shall mean the acquisitions by the Buyer as contemplated by the Specified Merger Agreement without giving effect to amendments, supplements, waivers or other modifications to or consents under the Specified Merger Agreement that are adverse in any material respect to the Lenders in their capacities as such and that have not been approved by the Joint Lead Arrangers, such approval not to be unreasonably withheld or delayed. </w:t>
      </w:r>
    </w:p>
    <w:p>
      <w:pPr>
        <w:pStyle w:val="TextBody"/>
        <w:bidi w:val="0"/>
        <w:spacing w:before="240" w:after="0"/>
        <w:jc w:val="both"/>
        <w:rPr/>
      </w:pPr>
      <w:r>
        <w:rPr/>
        <w:t>“</w:t>
      </w:r>
      <w:r>
        <w:rPr>
          <w:rFonts w:ascii="Times New Roman" w:hAnsi="Times New Roman"/>
          <w:sz w:val="24"/>
          <w:u w:val="single"/>
        </w:rPr>
        <w:t>Specified Merger Agreement</w:t>
      </w:r>
      <w:r>
        <w:rPr>
          <w:rFonts w:ascii="Times New Roman" w:hAnsi="Times New Roman"/>
          <w:sz w:val="24"/>
        </w:rPr>
        <w:t xml:space="preserve">” shall mean the Agreement and Plan of Merger by and among American Tower Investments LLC, Appleseed Holdco LLC, Appleseed Merger Sub LLC, Appleseed OP Merger Sub LLC, CoreSite Realty Corporation, CoreSite, L.P. and the Borrower, dated as of November 14, 2021 (as amended, restated, amended and restated or otherwise modified from time to time in accordance with this Agreement). </w:t>
      </w:r>
    </w:p>
    <w:p>
      <w:pPr>
        <w:pStyle w:val="TextBody"/>
        <w:bidi w:val="0"/>
        <w:spacing w:before="240" w:after="0"/>
        <w:jc w:val="both"/>
        <w:rPr/>
      </w:pPr>
      <w:r>
        <w:rPr/>
        <w:t>“</w:t>
      </w:r>
      <w:r>
        <w:rPr>
          <w:rFonts w:ascii="Times New Roman" w:hAnsi="Times New Roman"/>
          <w:sz w:val="24"/>
          <w:u w:val="single"/>
        </w:rPr>
        <w:t>Spot Rate</w:t>
      </w:r>
      <w:r>
        <w:rPr>
          <w:rFonts w:ascii="Times New Roman" w:hAnsi="Times New Roman"/>
          <w:sz w:val="24"/>
        </w:rPr>
        <w:t xml:space="preserve">” for a currency shall mean the rate determined by the Administrative Agent or the relevant Issuing Bank,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hAnsi="Times New Roman"/>
          <w:sz w:val="24"/>
          <w:u w:val="single"/>
        </w:rPr>
        <w:t>provided</w:t>
      </w:r>
      <w:r>
        <w:rPr>
          <w:rFonts w:ascii="Times New Roman" w:hAnsi="Times New Roman"/>
          <w:sz w:val="24"/>
        </w:rPr>
        <w:t xml:space="preserve"> that the Administrative Agent or the relevant Issuing Bank may obtain such spot rate from another financial institution designated by the Administrative Agent or the Issuing Bank if the Person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acting in such capacity does not have as of the date of determination a spot buying rate for any such currency;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the relevant Issuing Bank may use such spot rate quoted on the date as of which the foreign exchange computation is made in the case of any Letter of Credit denominated in an Alternative Currency. </w:t>
      </w:r>
    </w:p>
    <w:p>
      <w:pPr>
        <w:pStyle w:val="TextBody"/>
        <w:bidi w:val="0"/>
        <w:spacing w:before="240" w:after="0"/>
        <w:jc w:val="both"/>
        <w:rPr/>
      </w:pPr>
      <w:r>
        <w:rPr/>
        <w:t>“</w:t>
      </w:r>
      <w:r>
        <w:rPr>
          <w:rFonts w:ascii="Times New Roman" w:hAnsi="Times New Roman"/>
          <w:sz w:val="24"/>
          <w:u w:val="single"/>
        </w:rPr>
        <w:t>Standby Letter of Credit</w:t>
      </w:r>
      <w:r>
        <w:rPr>
          <w:rFonts w:ascii="Times New Roman" w:hAnsi="Times New Roman"/>
          <w:sz w:val="24"/>
        </w:rPr>
        <w:t xml:space="preserve">” shall mean a letter of credit issued by an Issuing Bank in accordance with the terms hereof to support obligations of the Company or any of its Subsidiaries incurred in the ordinary course of business, and which is not a Commercial Letter of Credit. </w:t>
      </w:r>
    </w:p>
    <w:p>
      <w:pPr>
        <w:pStyle w:val="TextBody"/>
        <w:bidi w:val="0"/>
        <w:spacing w:before="240" w:after="0"/>
        <w:jc w:val="both"/>
        <w:rPr/>
      </w:pPr>
      <w:r>
        <w:rPr/>
        <w:t>“</w:t>
      </w:r>
      <w:r>
        <w:rPr>
          <w:rFonts w:ascii="Times New Roman" w:hAnsi="Times New Roman"/>
          <w:sz w:val="24"/>
          <w:u w:val="single"/>
        </w:rPr>
        <w:t>Sterling</w:t>
      </w:r>
      <w:r>
        <w:rPr>
          <w:rFonts w:ascii="Times New Roman" w:hAnsi="Times New Roman"/>
          <w:sz w:val="24"/>
        </w:rPr>
        <w:t>”, “</w:t>
      </w:r>
      <w:r>
        <w:rPr>
          <w:rFonts w:ascii="Times New Roman" w:hAnsi="Times New Roman"/>
          <w:sz w:val="24"/>
          <w:u w:val="single"/>
        </w:rPr>
        <w:t>GBP</w:t>
      </w:r>
      <w:r>
        <w:rPr>
          <w:rFonts w:ascii="Times New Roman" w:hAnsi="Times New Roman"/>
          <w:sz w:val="24"/>
        </w:rPr>
        <w:t>” and “</w:t>
      </w:r>
      <w:r>
        <w:rPr>
          <w:rFonts w:ascii="Times New Roman" w:hAnsi="Times New Roman"/>
          <w:sz w:val="24"/>
          <w:u w:val="single"/>
        </w:rPr>
        <w:t>£</w:t>
      </w:r>
      <w:r>
        <w:rPr>
          <w:rFonts w:ascii="Times New Roman" w:hAnsi="Times New Roman"/>
          <w:sz w:val="24"/>
        </w:rPr>
        <w:t xml:space="preserve">” shall mean the lawful currency of the United Kingdom. </w:t>
      </w:r>
    </w:p>
    <w:p>
      <w:pPr>
        <w:pStyle w:val="TextBody"/>
        <w:bidi w:val="0"/>
        <w:spacing w:before="240" w:after="0"/>
        <w:jc w:val="both"/>
        <w:rPr/>
      </w:pPr>
      <w:r>
        <w:rPr/>
        <w:t>“</w:t>
      </w:r>
      <w:r>
        <w:rPr>
          <w:rFonts w:ascii="Times New Roman" w:hAnsi="Times New Roman"/>
          <w:sz w:val="24"/>
          <w:u w:val="single"/>
        </w:rPr>
        <w:t>Subsidiary</w:t>
      </w:r>
      <w:r>
        <w:rPr>
          <w:rFonts w:ascii="Times New Roman" w:hAnsi="Times New Roman"/>
          <w:sz w:val="24"/>
        </w:rPr>
        <w:t xml:space="preserve">” shall mean, as applied to any Person, (a) any corporation, partnership or other entity of which no less than a majority of the Ownership Interests having ordinary voting power to elect a majority of its board of directors or other persons performing similar functions or such corporation, partnership or other entity, whether or not at the time any Ownership Interests of any other class or classes of such corporation, partnership or other entity shall or might have voting power by reason of the happening of any contingency, is at the time owned directly or indirectly by such Person, or by one or more Subsidiaries of such Person, or by such Person and one or more Subsidiaries of such Person;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such Person and/or such Person’s Subsidiaries directly or indirectly own less than a majority of such Subsidiary’s Ownership Interests, then such Subsidiary’s operating or governing documents must require (i) such Subsidiary’s net cash after the establishment of reserves be distributed to its equity holders no less frequently than quarterly and (ii) the consent of such Person and/or such Person’s Subsidiaries to amend or otherwise modify the provisions of such operating or governing documents requiring such distributions, or (b) any other entity which is directly or indirectly controlled or capable of being controlled by such Person, or by one or more Subsidiaries of such Person, or by such Person and one or more Subsidiaries of such Person. Notwithstanding the foregoing, no Unrestricted Subsidiary shall be deemed to be a Subsidiary of the Company or any of its Subsidiaries for the purposes of this Agreement or any other Loan Document. </w:t>
      </w:r>
    </w:p>
    <w:p>
      <w:pPr>
        <w:pStyle w:val="TextBody"/>
        <w:bidi w:val="0"/>
        <w:spacing w:before="240" w:after="0"/>
        <w:jc w:val="both"/>
        <w:rPr/>
      </w:pPr>
      <w:r>
        <w:rPr/>
        <w:t>“</w:t>
      </w:r>
      <w:r>
        <w:rPr>
          <w:rFonts w:ascii="Times New Roman" w:hAnsi="Times New Roman"/>
          <w:sz w:val="24"/>
          <w:u w:val="single"/>
        </w:rPr>
        <w:t>Swingline Advance</w:t>
      </w:r>
      <w:r>
        <w:rPr>
          <w:rFonts w:ascii="Times New Roman" w:hAnsi="Times New Roman"/>
          <w:sz w:val="24"/>
        </w:rPr>
        <w:t xml:space="preserve">” shall mean an Advance of a Swingline Loan pursuant to </w:t>
      </w:r>
      <w:r>
        <w:rPr>
          <w:rFonts w:ascii="Times New Roman" w:hAnsi="Times New Roman"/>
          <w:sz w:val="24"/>
          <w:u w:val="single"/>
        </w:rPr>
        <w:t>Section 2.17</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Swingline Lender</w:t>
      </w:r>
      <w:r>
        <w:rPr>
          <w:rFonts w:ascii="Times New Roman" w:hAnsi="Times New Roman"/>
          <w:sz w:val="24"/>
        </w:rPr>
        <w:t xml:space="preserve">” shall mean The Toronto-Dominion Bank, New York Branch in its capacity as provider of Swingline Loans, or any successor swingline lender hereunder. </w:t>
      </w:r>
    </w:p>
    <w:p>
      <w:pPr>
        <w:pStyle w:val="TextBody"/>
        <w:bidi w:val="0"/>
        <w:spacing w:before="240" w:after="0"/>
        <w:jc w:val="both"/>
        <w:rPr/>
      </w:pPr>
      <w:r>
        <w:rPr/>
        <w:t>“</w:t>
      </w:r>
      <w:r>
        <w:rPr>
          <w:rFonts w:ascii="Times New Roman" w:hAnsi="Times New Roman"/>
          <w:sz w:val="24"/>
          <w:u w:val="single"/>
        </w:rPr>
        <w:t>Swingline Loan</w:t>
      </w:r>
      <w:r>
        <w:rPr>
          <w:rFonts w:ascii="Times New Roman" w:hAnsi="Times New Roman"/>
          <w:sz w:val="24"/>
        </w:rPr>
        <w:t xml:space="preserve">” shall have the meaning specified in </w:t>
      </w:r>
      <w:r>
        <w:rPr>
          <w:rFonts w:ascii="Times New Roman" w:hAnsi="Times New Roman"/>
          <w:sz w:val="24"/>
          <w:u w:val="single"/>
        </w:rPr>
        <w:t>Section 2.17(a)</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Swingline Loan Notice</w:t>
      </w:r>
      <w:r>
        <w:rPr>
          <w:rFonts w:ascii="Times New Roman" w:hAnsi="Times New Roman"/>
          <w:sz w:val="24"/>
        </w:rPr>
        <w:t xml:space="preserve">” shall mean a notice of a Swingline Advance pursuant to </w:t>
      </w:r>
      <w:r>
        <w:rPr>
          <w:rFonts w:ascii="Times New Roman" w:hAnsi="Times New Roman"/>
          <w:sz w:val="24"/>
          <w:u w:val="single"/>
        </w:rPr>
        <w:t>Section 2.17(b)</w:t>
      </w:r>
      <w:r>
        <w:rPr>
          <w:rFonts w:ascii="Times New Roman" w:hAnsi="Times New Roman"/>
          <w:sz w:val="24"/>
        </w:rPr>
        <w:t xml:space="preserve">, which, if in writing, shall be substantially in the form of </w:t>
      </w:r>
      <w:r>
        <w:rPr>
          <w:rFonts w:ascii="Times New Roman" w:hAnsi="Times New Roman"/>
          <w:sz w:val="24"/>
          <w:u w:val="single"/>
        </w:rPr>
        <w:t>Exhibit G</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Swingline Sublimit</w:t>
      </w:r>
      <w:r>
        <w:rPr>
          <w:rFonts w:ascii="Times New Roman" w:hAnsi="Times New Roman"/>
          <w:sz w:val="24"/>
        </w:rPr>
        <w:t>” shall mean an amount equal to the lesser of (a) $</w:t>
      </w:r>
      <w:r>
        <w:rPr>
          <w:rFonts w:ascii="Times New Roman" w:hAnsi="Times New Roman"/>
          <w:strike/>
          <w:color w:val="FF0000"/>
          <w:sz w:val="24"/>
        </w:rPr>
        <w:t>50,000,000</w:t>
      </w:r>
      <w:r>
        <w:rPr>
          <w:rFonts w:ascii="Times New Roman" w:hAnsi="Times New Roman"/>
          <w:color w:val="0000FF"/>
          <w:sz w:val="24"/>
          <w:u w:val="single"/>
          <w:bdr w:val="double" w:sz="2" w:space="1" w:color="000000"/>
        </w:rPr>
        <w:t>100,000,000</w:t>
      </w:r>
      <w:r>
        <w:rPr>
          <w:rFonts w:ascii="Times New Roman" w:hAnsi="Times New Roman"/>
          <w:sz w:val="24"/>
        </w:rPr>
        <w:t xml:space="preserve"> and (b) the Available Amount. The Swingline Sublimit is part of, and not in addition to, the Revolving Loan Commitments. </w:t>
      </w:r>
    </w:p>
    <w:p>
      <w:pPr>
        <w:pStyle w:val="TextBody"/>
        <w:bidi w:val="0"/>
        <w:spacing w:before="240" w:after="0"/>
        <w:jc w:val="both"/>
        <w:rPr/>
      </w:pPr>
      <w:r>
        <w:rPr/>
        <w:t>“</w:t>
      </w:r>
      <w:r>
        <w:rPr>
          <w:rFonts w:ascii="Times New Roman" w:hAnsi="Times New Roman"/>
          <w:sz w:val="24"/>
          <w:u w:val="single"/>
        </w:rPr>
        <w:t>Syndication Agent</w:t>
      </w:r>
      <w:r>
        <w:rPr>
          <w:rFonts w:ascii="Times New Roman" w:hAnsi="Times New Roman"/>
          <w:sz w:val="24"/>
        </w:rPr>
        <w:t xml:space="preserve">” shall mean Mizuho Bank, Ltd.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TARGET Day</w:t>
      </w:r>
      <w:r>
        <w:rPr>
          <w:rFonts w:ascii="Times New Roman" w:hAnsi="Times New Roman"/>
          <w:sz w:val="24"/>
        </w:rPr>
        <w:t xml:space="preserve">” shall mean any day on which T2 is open for the settlement of payments in Euro. </w:t>
      </w:r>
    </w:p>
    <w:p>
      <w:pPr>
        <w:pStyle w:val="TextBody"/>
        <w:bidi w:val="0"/>
        <w:spacing w:before="240" w:after="0"/>
        <w:jc w:val="both"/>
        <w:rPr/>
      </w:pPr>
      <w:r>
        <w:rPr/>
        <w:t>“</w:t>
      </w:r>
      <w:r>
        <w:rPr>
          <w:rFonts w:ascii="Times New Roman" w:hAnsi="Times New Roman"/>
          <w:sz w:val="24"/>
          <w:u w:val="single"/>
        </w:rPr>
        <w:t>T2</w:t>
      </w:r>
      <w:r>
        <w:rPr>
          <w:rFonts w:ascii="Times New Roman" w:hAnsi="Times New Roman"/>
          <w:sz w:val="24"/>
        </w:rPr>
        <w:t xml:space="preserve">” shall mean the real time gross settlement system operated by the Eurosystem, or any successor system. </w:t>
      </w:r>
    </w:p>
    <w:p>
      <w:pPr>
        <w:pStyle w:val="TextBody"/>
        <w:bidi w:val="0"/>
        <w:spacing w:before="240" w:after="0"/>
        <w:jc w:val="both"/>
        <w:rPr/>
      </w:pPr>
      <w:r>
        <w:rPr/>
        <w:t>“</w:t>
      </w:r>
      <w:r>
        <w:rPr>
          <w:rFonts w:ascii="Times New Roman" w:hAnsi="Times New Roman"/>
          <w:sz w:val="24"/>
          <w:u w:val="single"/>
        </w:rPr>
        <w:t>Taxes</w:t>
      </w:r>
      <w:r>
        <w:rPr>
          <w:rFonts w:ascii="Times New Roman" w:hAnsi="Times New Roman"/>
          <w:sz w:val="24"/>
        </w:rPr>
        <w:t xml:space="preserve">” shall have the meaning assigned thereto in Section 10.3(b). </w:t>
      </w:r>
    </w:p>
    <w:p>
      <w:pPr>
        <w:pStyle w:val="TextBody"/>
        <w:bidi w:val="0"/>
        <w:spacing w:before="240" w:after="0"/>
        <w:jc w:val="both"/>
        <w:rPr/>
      </w:pPr>
      <w:r>
        <w:rPr/>
        <w:t>“</w:t>
      </w:r>
      <w:r>
        <w:rPr>
          <w:rFonts w:ascii="Times New Roman" w:hAnsi="Times New Roman"/>
          <w:sz w:val="24"/>
          <w:u w:val="single"/>
        </w:rPr>
        <w:t>Term Rate</w:t>
      </w:r>
      <w:r>
        <w:rPr>
          <w:rFonts w:ascii="Times New Roman" w:hAnsi="Times New Roman"/>
          <w:sz w:val="24"/>
        </w:rPr>
        <w:t xml:space="preserve">” shall mean, for any Interest Period with respect to a Term Rate Advance, the rate per annum equal to </w:t>
      </w:r>
    </w:p>
    <w:p>
      <w:pPr>
        <w:pStyle w:val="TextBody"/>
        <w:bidi w:val="0"/>
        <w:spacing w:before="240" w:after="0"/>
        <w:jc w:val="both"/>
        <w:rPr>
          <w:rFonts w:ascii="Times New Roman" w:hAnsi="Times New Roman"/>
          <w:sz w:val="24"/>
        </w:rPr>
      </w:pPr>
      <w:r>
        <w:rPr>
          <w:rFonts w:ascii="Times New Roman" w:hAnsi="Times New Roman"/>
          <w:sz w:val="24"/>
        </w:rPr>
        <w:t xml:space="preserve">(i) with respect to any Advance denominated in Dollars, </w:t>
      </w:r>
      <w:r>
        <w:rPr>
          <w:rFonts w:ascii="Times New Roman" w:hAnsi="Times New Roman"/>
          <w:strike/>
          <w:color w:val="FF0000"/>
          <w:sz w:val="24"/>
        </w:rPr>
        <w:t>Adjusted</w:t>
      </w:r>
      <w:r>
        <w:rPr>
          <w:rFonts w:ascii="Times New Roman" w:hAnsi="Times New Roman"/>
          <w:sz w:val="24"/>
        </w:rPr>
        <w:t xml:space="preserve"> Term SOFR; </w:t>
      </w:r>
    </w:p>
    <w:p>
      <w:pPr>
        <w:pStyle w:val="TextBody"/>
        <w:bidi w:val="0"/>
        <w:spacing w:before="240" w:after="0"/>
        <w:jc w:val="both"/>
        <w:rPr>
          <w:rFonts w:ascii="Times New Roman" w:hAnsi="Times New Roman"/>
          <w:sz w:val="24"/>
        </w:rPr>
      </w:pPr>
      <w:r>
        <w:rPr>
          <w:rFonts w:ascii="Times New Roman" w:hAnsi="Times New Roman"/>
          <w:sz w:val="24"/>
        </w:rPr>
        <w:t xml:space="preserve">(ii) with respect to any Advance denominated in Euro, the EURIBOR Rate; and </w:t>
      </w:r>
    </w:p>
    <w:p>
      <w:pPr>
        <w:pStyle w:val="TextBody"/>
        <w:bidi w:val="0"/>
        <w:spacing w:before="240" w:after="0"/>
        <w:jc w:val="both"/>
        <w:rPr>
          <w:rFonts w:ascii="Times New Roman" w:hAnsi="Times New Roman"/>
          <w:sz w:val="24"/>
        </w:rPr>
      </w:pPr>
      <w:r>
        <w:rPr>
          <w:rFonts w:ascii="Times New Roman" w:hAnsi="Times New Roman"/>
          <w:sz w:val="24"/>
        </w:rPr>
        <w:t xml:space="preserve">(iii) with respect to any Advance denominated in Yen, the TIBOR Rate. </w:t>
      </w:r>
    </w:p>
    <w:p>
      <w:pPr>
        <w:pStyle w:val="TextBody"/>
        <w:bidi w:val="0"/>
        <w:spacing w:before="240" w:after="0"/>
        <w:jc w:val="both"/>
        <w:rPr>
          <w:rFonts w:ascii="Times New Roman" w:hAnsi="Times New Roman"/>
          <w:sz w:val="24"/>
        </w:rPr>
      </w:pPr>
      <w:r>
        <w:rPr>
          <w:rFonts w:ascii="Times New Roman" w:hAnsi="Times New Roman"/>
          <w:sz w:val="24"/>
          <w:u w:val="single"/>
        </w:rPr>
        <w:t>provided</w:t>
      </w:r>
      <w:r>
        <w:rPr>
          <w:rFonts w:ascii="Times New Roman" w:hAnsi="Times New Roman"/>
          <w:sz w:val="24"/>
        </w:rPr>
        <w:t xml:space="preserve"> that if the Term Rate shall be less than zero, such rate shall be deemed to be zero for the purposes of this Agreement. </w:t>
      </w:r>
    </w:p>
    <w:p>
      <w:pPr>
        <w:pStyle w:val="TextBody"/>
        <w:bidi w:val="0"/>
        <w:spacing w:before="240" w:after="0"/>
        <w:jc w:val="both"/>
        <w:rPr/>
      </w:pPr>
      <w:r>
        <w:rPr/>
        <w:t>“</w:t>
      </w:r>
      <w:r>
        <w:rPr>
          <w:rFonts w:ascii="Times New Roman" w:hAnsi="Times New Roman"/>
          <w:sz w:val="24"/>
          <w:u w:val="single"/>
        </w:rPr>
        <w:t>Term Rate Advance</w:t>
      </w:r>
      <w:r>
        <w:rPr>
          <w:rFonts w:ascii="Times New Roman" w:hAnsi="Times New Roman"/>
          <w:sz w:val="24"/>
        </w:rPr>
        <w:t xml:space="preserve">” shall mean an Advance which the Company requests to be made as, Converted to or Continued as a Term Rate Advance in accordance with the provisions of Section 2.2 hereof, and which shall be in a principal amount of at least the Dollar Equivalent of $5,000,000.00 and in an integral multiple of the Dollar Equivalent of $1,000,000.00. Revolving Loans made as a Term Rate Advances may be denominated in Dollars or an Alternative Currency. All Loans denominated in an Alternative Currency must be made as Term Rate Advances. </w:t>
      </w:r>
    </w:p>
    <w:p>
      <w:pPr>
        <w:pStyle w:val="TextBody"/>
        <w:bidi w:val="0"/>
        <w:spacing w:before="240" w:after="0"/>
        <w:jc w:val="both"/>
        <w:rPr/>
      </w:pPr>
      <w:r>
        <w:rPr/>
        <w:t>“</w:t>
      </w:r>
      <w:r>
        <w:rPr>
          <w:rFonts w:ascii="Times New Roman" w:hAnsi="Times New Roman"/>
          <w:sz w:val="24"/>
          <w:u w:val="single"/>
        </w:rPr>
        <w:t>Term Rate Basis</w:t>
      </w:r>
      <w:r>
        <w:rPr>
          <w:rFonts w:ascii="Times New Roman" w:hAnsi="Times New Roman"/>
          <w:sz w:val="24"/>
        </w:rPr>
        <w:t xml:space="preserve">” shall mean a simple per annum interest rate (rounded upward (other than with respect to </w:t>
      </w:r>
      <w:r>
        <w:rPr>
          <w:rFonts w:ascii="Times New Roman" w:hAnsi="Times New Roman"/>
          <w:strike/>
          <w:color w:val="FF0000"/>
          <w:sz w:val="24"/>
        </w:rPr>
        <w:t>Adjusted</w:t>
      </w:r>
      <w:r>
        <w:rPr>
          <w:rFonts w:ascii="Times New Roman" w:hAnsi="Times New Roman"/>
          <w:sz w:val="24"/>
        </w:rPr>
        <w:t xml:space="preserve"> Term SOFR), if necessary, to the nearest one-hundredth (1/100th) of one percent (1%)) equal to the sum of (a) the Term Rate </w:t>
      </w:r>
      <w:r>
        <w:rPr>
          <w:rFonts w:ascii="Times New Roman" w:hAnsi="Times New Roman"/>
          <w:sz w:val="24"/>
          <w:u w:val="single"/>
        </w:rPr>
        <w:t>plus</w:t>
      </w:r>
      <w:r>
        <w:rPr>
          <w:rFonts w:ascii="Times New Roman" w:hAnsi="Times New Roman"/>
          <w:sz w:val="24"/>
        </w:rPr>
        <w:t xml:space="preserve"> (b) the Applicable Margin. The Term Rate Basis shall apply to Interest Periods of one (1), three (3), or six (6) months, and, once determined, shall remain unchanged during the applicable, if any, Interest Period, except for changes to reflect adjustments in the Applicable Margin as adjusted pursuant to Section 2.3(f) hereof. </w:t>
      </w:r>
    </w:p>
    <w:p>
      <w:pPr>
        <w:pStyle w:val="TextBody"/>
        <w:bidi w:val="0"/>
        <w:spacing w:before="240" w:after="0"/>
        <w:jc w:val="both"/>
        <w:rPr/>
      </w:pPr>
      <w:r>
        <w:rPr/>
        <w:t>“</w:t>
      </w:r>
      <w:r>
        <w:rPr>
          <w:rFonts w:ascii="Times New Roman" w:hAnsi="Times New Roman"/>
          <w:sz w:val="24"/>
          <w:u w:val="single"/>
        </w:rPr>
        <w:t>Term Rate Loan</w:t>
      </w:r>
      <w:r>
        <w:rPr>
          <w:rFonts w:ascii="Times New Roman" w:hAnsi="Times New Roman"/>
          <w:sz w:val="24"/>
        </w:rPr>
        <w:t xml:space="preserve">” shall mean a Loan that bears interest at a rate based on a Term Rate, other than pursuant to clause (c) of the definition of “Base Rate”. </w:t>
      </w:r>
    </w:p>
    <w:p>
      <w:pPr>
        <w:pStyle w:val="TextBody"/>
        <w:bidi w:val="0"/>
        <w:spacing w:before="240" w:after="0"/>
        <w:jc w:val="both"/>
        <w:rPr/>
      </w:pPr>
      <w:r>
        <w:rPr/>
        <w:t>“</w:t>
      </w:r>
      <w:r>
        <w:rPr>
          <w:rFonts w:ascii="Times New Roman" w:hAnsi="Times New Roman"/>
          <w:sz w:val="24"/>
          <w:u w:val="single"/>
        </w:rPr>
        <w:t>Term SOFR</w:t>
      </w:r>
      <w:r>
        <w:rPr>
          <w:rFonts w:ascii="Times New Roman" w:hAnsi="Times New Roman"/>
          <w:sz w:val="24"/>
        </w:rPr>
        <w:t xml:space="preserve">” shall mean, </w:t>
      </w:r>
    </w:p>
    <w:p>
      <w:pPr>
        <w:pStyle w:val="TextBody"/>
        <w:bidi w:val="0"/>
        <w:spacing w:before="240" w:after="0"/>
        <w:jc w:val="both"/>
        <w:rPr>
          <w:rFonts w:ascii="Times New Roman" w:hAnsi="Times New Roman"/>
          <w:sz w:val="24"/>
        </w:rPr>
      </w:pPr>
      <w:r>
        <w:rPr>
          <w:rFonts w:ascii="Times New Roman" w:hAnsi="Times New Roman"/>
          <w:sz w:val="24"/>
        </w:rPr>
        <w:t>(i) for any calculation with respect to a SOFR Loan, the Term SOFR Reference Rate for a tenor comparable to the applicable Interest Period on the day (such day, the “</w:t>
      </w:r>
      <w:r>
        <w:rPr>
          <w:rFonts w:ascii="Times New Roman" w:hAnsi="Times New Roman"/>
          <w:sz w:val="24"/>
          <w:u w:val="single"/>
        </w:rPr>
        <w:t>Periodic Term</w:t>
      </w:r>
      <w:r>
        <w:rPr>
          <w:rFonts w:ascii="Times New Roman" w:hAnsi="Times New Roman"/>
          <w:sz w:val="24"/>
        </w:rPr>
        <w:t xml:space="preserve"> </w:t>
      </w:r>
      <w:r>
        <w:rPr>
          <w:rFonts w:ascii="Times New Roman" w:hAnsi="Times New Roman"/>
          <w:sz w:val="24"/>
          <w:u w:val="single"/>
        </w:rPr>
        <w:t>SOFR Determination Day</w:t>
      </w:r>
      <w:r>
        <w:rPr>
          <w:rFonts w:ascii="Times New Roman" w:hAnsi="Times New Roman"/>
          <w:sz w:val="24"/>
        </w:rPr>
        <w:t xml:space="preserve">”)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r>
        <w:rPr>
          <w:rFonts w:ascii="Times New Roman" w:hAnsi="Times New Roman"/>
          <w:color w:val="0000FF"/>
          <w:sz w:val="24"/>
          <w:u w:val="single"/>
          <w:bdr w:val="double" w:sz="2" w:space="1" w:color="000000"/>
        </w:rPr>
        <w:t>; provided, further, that if</w:t>
      </w:r>
      <w:r>
        <w:rPr>
          <w:rFonts w:ascii="Times New Roman" w:hAnsi="Times New Roman"/>
          <w:sz w:val="24"/>
        </w:rPr>
        <w:t xml:space="preserve"> </w:t>
      </w:r>
      <w:r>
        <w:rPr>
          <w:rFonts w:ascii="Times New Roman" w:hAnsi="Times New Roman"/>
          <w:color w:val="00C000"/>
          <w:sz w:val="24"/>
          <w:u w:val="single"/>
        </w:rPr>
        <w:t>Term SOFR as so determined</w:t>
      </w:r>
      <w:r>
        <w:rPr>
          <w:rFonts w:ascii="Times New Roman" w:hAnsi="Times New Roman"/>
          <w:sz w:val="24"/>
        </w:rPr>
        <w:t xml:space="preserve"> </w:t>
      </w:r>
      <w:r>
        <w:rPr>
          <w:rFonts w:ascii="Times New Roman" w:hAnsi="Times New Roman"/>
          <w:color w:val="0000FF"/>
          <w:sz w:val="24"/>
          <w:u w:val="single"/>
          <w:bdr w:val="double" w:sz="2" w:space="1" w:color="000000"/>
        </w:rPr>
        <w:t>is less than the Floor, Term</w:t>
      </w:r>
      <w:r>
        <w:rPr>
          <w:rFonts w:ascii="Times New Roman" w:hAnsi="Times New Roman"/>
          <w:sz w:val="24"/>
        </w:rPr>
        <w:t xml:space="preserve"> </w:t>
      </w:r>
      <w:r>
        <w:rPr>
          <w:rFonts w:ascii="Times New Roman" w:hAnsi="Times New Roman"/>
          <w:color w:val="00C000"/>
          <w:sz w:val="24"/>
          <w:u w:val="single"/>
        </w:rPr>
        <w:t>SOFR shall be deemed to be the Floor</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(ii) for any calculation with respect to a Base Rate Loan on any day, the Term SOFR Reference Rate for a tenor of one month on the day (such day, the “</w:t>
      </w:r>
      <w:r>
        <w:rPr>
          <w:rFonts w:ascii="Times New Roman" w:hAnsi="Times New Roman"/>
          <w:sz w:val="24"/>
          <w:u w:val="single"/>
        </w:rPr>
        <w:t>Base Rate Term SOFR</w:t>
      </w:r>
      <w:r>
        <w:rPr>
          <w:rFonts w:ascii="Times New Roman" w:hAnsi="Times New Roman"/>
          <w:sz w:val="24"/>
        </w:rPr>
        <w:t xml:space="preserve"> </w:t>
      </w:r>
      <w:r>
        <w:rPr>
          <w:rFonts w:ascii="Times New Roman" w:hAnsi="Times New Roman"/>
          <w:sz w:val="24"/>
          <w:u w:val="single"/>
        </w:rPr>
        <w:t>Determination Day</w:t>
      </w:r>
      <w:r>
        <w:rPr>
          <w:rFonts w:ascii="Times New Roman" w:hAnsi="Times New Roman"/>
          <w:sz w:val="24"/>
        </w:rPr>
        <w:t xml:space="preserve">”)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p>
    <w:p>
      <w:pPr>
        <w:pStyle w:val="TextBody"/>
        <w:bidi w:val="0"/>
        <w:spacing w:before="240" w:after="0"/>
        <w:jc w:val="both"/>
        <w:rPr/>
      </w:pPr>
      <w:r>
        <w:rPr>
          <w:strike/>
          <w:color w:val="FF0000"/>
        </w:rPr>
        <w:t>“</w:t>
      </w:r>
      <w:r>
        <w:rPr>
          <w:rFonts w:ascii="Times New Roman" w:hAnsi="Times New Roman"/>
          <w:strike/>
          <w:color w:val="FF0000"/>
          <w:sz w:val="24"/>
          <w:u w:val="single"/>
        </w:rPr>
        <w:t>Term SOFR Adjustment</w:t>
      </w:r>
      <w:r>
        <w:rPr>
          <w:rFonts w:ascii="Times New Roman" w:hAnsi="Times New Roman"/>
          <w:strike/>
          <w:color w:val="FF0000"/>
          <w:sz w:val="24"/>
        </w:rPr>
        <w:t>” shall mean a percentage equal to 0.10% per annum.</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Term SOFR Administrator</w:t>
      </w:r>
      <w:r>
        <w:rPr>
          <w:rFonts w:ascii="Times New Roman" w:hAnsi="Times New Roman"/>
          <w:sz w:val="24"/>
        </w:rPr>
        <w:t xml:space="preserve">” shall mean CME Group Benchmark Administration Limited (CBA) (or a successor administrator of the Term SOFR Reference Rate selected by the Administrative Agent in its reasonable discretion). </w:t>
      </w:r>
    </w:p>
    <w:p>
      <w:pPr>
        <w:pStyle w:val="TextBody"/>
        <w:bidi w:val="0"/>
        <w:spacing w:before="240" w:after="0"/>
        <w:jc w:val="both"/>
        <w:rPr/>
      </w:pPr>
      <w:r>
        <w:rPr/>
        <w:t>“</w:t>
      </w:r>
      <w:r>
        <w:rPr>
          <w:rFonts w:ascii="Times New Roman" w:hAnsi="Times New Roman"/>
          <w:sz w:val="24"/>
          <w:u w:val="single"/>
        </w:rPr>
        <w:t>Term SOFR Reference Rate</w:t>
      </w:r>
      <w:r>
        <w:rPr>
          <w:rFonts w:ascii="Times New Roman" w:hAnsi="Times New Roman"/>
          <w:sz w:val="24"/>
        </w:rPr>
        <w:t xml:space="preserve">” shall mean the forward-looking term rate based on SOFR. </w:t>
      </w:r>
    </w:p>
    <w:p>
      <w:pPr>
        <w:pStyle w:val="TextBody"/>
        <w:bidi w:val="0"/>
        <w:spacing w:before="240" w:after="0"/>
        <w:jc w:val="both"/>
        <w:rPr/>
      </w:pPr>
      <w:r>
        <w:rPr/>
        <w:t>“</w:t>
      </w:r>
      <w:r>
        <w:rPr>
          <w:rFonts w:ascii="Times New Roman" w:hAnsi="Times New Roman"/>
          <w:sz w:val="24"/>
          <w:u w:val="single"/>
        </w:rPr>
        <w:t>TIBOR Rate</w:t>
      </w:r>
      <w:r>
        <w:rPr>
          <w:rFonts w:ascii="Times New Roman" w:hAnsi="Times New Roman"/>
          <w:sz w:val="24"/>
        </w:rPr>
        <w:t xml:space="preserve">” shall mean, for any Interest Period for each Advance denominated in Yen, the TIBOR Screen Rate two Business Days prior to the commencement of such Interest Period. </w:t>
      </w:r>
    </w:p>
    <w:p>
      <w:pPr>
        <w:pStyle w:val="TextBody"/>
        <w:bidi w:val="0"/>
        <w:spacing w:before="240" w:after="0"/>
        <w:jc w:val="both"/>
        <w:rPr/>
      </w:pPr>
      <w:r>
        <w:rPr/>
        <w:t>“</w:t>
      </w:r>
      <w:r>
        <w:rPr>
          <w:rFonts w:ascii="Times New Roman" w:hAnsi="Times New Roman"/>
          <w:sz w:val="24"/>
          <w:u w:val="single"/>
        </w:rPr>
        <w:t>TIBOR Screen Rate</w:t>
      </w:r>
      <w:r>
        <w:rPr>
          <w:rFonts w:ascii="Times New Roman" w:hAnsi="Times New Roman"/>
          <w:sz w:val="24"/>
        </w:rPr>
        <w:t xml:space="preserve">” shall mean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 </w:t>
      </w:r>
    </w:p>
    <w:p>
      <w:pPr>
        <w:pStyle w:val="TextBody"/>
        <w:bidi w:val="0"/>
        <w:spacing w:before="240" w:after="0"/>
        <w:jc w:val="both"/>
        <w:rPr/>
      </w:pPr>
      <w:r>
        <w:rPr/>
        <w:t>“</w:t>
      </w:r>
      <w:r>
        <w:rPr>
          <w:rFonts w:ascii="Times New Roman" w:hAnsi="Times New Roman"/>
          <w:sz w:val="24"/>
          <w:u w:val="single"/>
        </w:rPr>
        <w:t>Toronto Dominion</w:t>
      </w:r>
      <w:r>
        <w:rPr>
          <w:rFonts w:ascii="Times New Roman" w:hAnsi="Times New Roman"/>
          <w:sz w:val="24"/>
        </w:rPr>
        <w:t xml:space="preserve">” shall mean Toronto Dominion (Texas) LLC or any of its affiliates that is a bank. </w:t>
      </w:r>
    </w:p>
    <w:p>
      <w:pPr>
        <w:pStyle w:val="TextBody"/>
        <w:bidi w:val="0"/>
        <w:spacing w:before="240" w:after="0"/>
        <w:jc w:val="both"/>
        <w:rPr/>
      </w:pPr>
      <w:r>
        <w:rPr/>
        <w:t>“</w:t>
      </w:r>
      <w:r>
        <w:rPr>
          <w:rFonts w:ascii="Times New Roman" w:hAnsi="Times New Roman"/>
          <w:sz w:val="24"/>
          <w:u w:val="single"/>
        </w:rPr>
        <w:t>Total Debt</w:t>
      </w:r>
      <w:r>
        <w:rPr>
          <w:rFonts w:ascii="Times New Roman" w:hAnsi="Times New Roman"/>
          <w:sz w:val="24"/>
        </w:rPr>
        <w:t xml:space="preserve">” shall mean, for the Company and its Subsidiaries on a consolidated basis as of any date, (a) the sum (without duplication) of (i) the outstanding principal amount of the Loans as of such date, (ii) the aggregate amount of Indebtedness plus Attributable Debt of such Persons as of such date, (iii) the aggregate amount of all Guaranties by such Persons of Indebtedness as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such date, and (iv) to the extent payable by the Company, an amount equal to the aggregate exposure of the Company under any Hedge Agreements permitted pursuant to </w:t>
      </w:r>
      <w:r>
        <w:rPr>
          <w:rFonts w:ascii="Times New Roman" w:hAnsi="Times New Roman"/>
          <w:sz w:val="24"/>
          <w:u w:val="single"/>
        </w:rPr>
        <w:t>Section 7.1</w:t>
      </w:r>
      <w:r>
        <w:rPr>
          <w:rFonts w:ascii="Times New Roman" w:hAnsi="Times New Roman"/>
          <w:sz w:val="24"/>
        </w:rPr>
        <w:t xml:space="preserve"> hereof, as calculated on a marked to market basis as of the last day of the fiscal quarter being tested or the last day of the most recently completed fiscal quarter, as applicable less (b) the sum of all unrestricted domestic cash and Cash Equivalents of the Company and its Subsidiaries as of such date. </w:t>
      </w:r>
    </w:p>
    <w:p>
      <w:pPr>
        <w:pStyle w:val="TextBody"/>
        <w:bidi w:val="0"/>
        <w:spacing w:before="240" w:after="0"/>
        <w:jc w:val="both"/>
        <w:rPr/>
      </w:pPr>
      <w:r>
        <w:rPr/>
        <w:t>“</w:t>
      </w:r>
      <w:r>
        <w:rPr>
          <w:rFonts w:ascii="Times New Roman" w:hAnsi="Times New Roman"/>
          <w:sz w:val="24"/>
          <w:u w:val="single"/>
        </w:rPr>
        <w:t>UCP</w:t>
      </w:r>
      <w:r>
        <w:rPr>
          <w:rFonts w:ascii="Times New Roman" w:hAnsi="Times New Roman"/>
          <w:sz w:val="24"/>
        </w:rPr>
        <w:t xml:space="preserve">” shall mean, with respect to any Letter of Credit, the Uniform Customs and Practice for Documentary Credits, International Chamber of Commerce Publication No. 600 (or such later version thereof as may be in effect at the time of issuance of such Letter of Credit). </w:t>
      </w:r>
    </w:p>
    <w:p>
      <w:pPr>
        <w:pStyle w:val="TextBody"/>
        <w:bidi w:val="0"/>
        <w:spacing w:before="240" w:after="0"/>
        <w:jc w:val="both"/>
        <w:rPr/>
      </w:pPr>
      <w:r>
        <w:rPr/>
        <w:t>“</w:t>
      </w:r>
      <w:r>
        <w:rPr>
          <w:rFonts w:ascii="Times New Roman" w:hAnsi="Times New Roman"/>
          <w:sz w:val="24"/>
          <w:u w:val="single"/>
        </w:rPr>
        <w:t>UK Financial Institution</w:t>
      </w:r>
      <w:r>
        <w:rPr>
          <w:rFonts w:ascii="Times New Roman" w:hAnsi="Times New Roman"/>
          <w:sz w:val="24"/>
        </w:rPr>
        <w:t xml:space="preserve">” shall mean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both"/>
        <w:rPr/>
      </w:pPr>
      <w:r>
        <w:rPr/>
        <w:t>“</w:t>
      </w:r>
      <w:r>
        <w:rPr>
          <w:rFonts w:ascii="Times New Roman" w:hAnsi="Times New Roman"/>
          <w:sz w:val="24"/>
          <w:u w:val="single"/>
        </w:rPr>
        <w:t>UK Resolution Authority</w:t>
      </w:r>
      <w:r>
        <w:rPr>
          <w:rFonts w:ascii="Times New Roman" w:hAnsi="Times New Roman"/>
          <w:sz w:val="24"/>
        </w:rPr>
        <w:t xml:space="preserve">” shall mean the Bank of England or any other public administrative authority having responsibility for the resolution of any UK Financial Institution. </w:t>
      </w:r>
    </w:p>
    <w:p>
      <w:pPr>
        <w:pStyle w:val="TextBody"/>
        <w:bidi w:val="0"/>
        <w:spacing w:before="240" w:after="0"/>
        <w:jc w:val="both"/>
        <w:rPr/>
      </w:pPr>
      <w:r>
        <w:rPr/>
        <w:t>“</w:t>
      </w:r>
      <w:r>
        <w:rPr>
          <w:rFonts w:ascii="Times New Roman" w:hAnsi="Times New Roman"/>
          <w:sz w:val="24"/>
          <w:u w:val="single"/>
        </w:rPr>
        <w:t>U.S. Government Securities Business Day</w:t>
      </w:r>
      <w:r>
        <w:rPr>
          <w:rFonts w:ascii="Times New Roman" w:hAnsi="Times New Roman"/>
          <w:sz w:val="24"/>
        </w:rPr>
        <w:t xml:space="preserve">”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both"/>
        <w:rPr/>
      </w:pPr>
      <w:r>
        <w:rPr/>
        <w:t>“</w:t>
      </w:r>
      <w:r>
        <w:rPr>
          <w:rFonts w:ascii="Times New Roman" w:hAnsi="Times New Roman"/>
          <w:sz w:val="24"/>
          <w:u w:val="single"/>
        </w:rPr>
        <w:t>U.S. Person</w:t>
      </w:r>
      <w:r>
        <w:rPr>
          <w:rFonts w:ascii="Times New Roman" w:hAnsi="Times New Roman"/>
          <w:sz w:val="24"/>
        </w:rPr>
        <w:t xml:space="preserve">” shall mean a citizen or resident of the United States of America, a corporation, partnership or other entity created or organized in or under any laws of the United States of America, or any estate or trust that is subject to Federal income taxation regardless of the source of its income. </w:t>
      </w:r>
    </w:p>
    <w:p>
      <w:pPr>
        <w:pStyle w:val="TextBody"/>
        <w:bidi w:val="0"/>
        <w:spacing w:before="240" w:after="0"/>
        <w:jc w:val="both"/>
        <w:rPr/>
      </w:pPr>
      <w:r>
        <w:rPr/>
        <w:t>“</w:t>
      </w:r>
      <w:r>
        <w:rPr>
          <w:rFonts w:ascii="Times New Roman" w:hAnsi="Times New Roman"/>
          <w:sz w:val="24"/>
          <w:u w:val="single"/>
        </w:rPr>
        <w:t>Unadjusted Benchmark Replacement</w:t>
      </w:r>
      <w:r>
        <w:rPr>
          <w:rFonts w:ascii="Times New Roman" w:hAnsi="Times New Roman"/>
          <w:sz w:val="24"/>
        </w:rPr>
        <w:t xml:space="preserve">” shall mean the applicable Benchmark Replacement excluding the related Benchmark Replacement Adjustment. </w:t>
      </w:r>
    </w:p>
    <w:p>
      <w:pPr>
        <w:pStyle w:val="TextBody"/>
        <w:bidi w:val="0"/>
        <w:spacing w:before="240" w:after="0"/>
        <w:jc w:val="both"/>
        <w:rPr/>
      </w:pPr>
      <w:r>
        <w:rPr/>
        <w:t>“</w:t>
      </w:r>
      <w:r>
        <w:rPr>
          <w:rFonts w:ascii="Times New Roman" w:hAnsi="Times New Roman"/>
          <w:sz w:val="24"/>
          <w:u w:val="single"/>
        </w:rPr>
        <w:t>Undisclosed Administration</w:t>
      </w:r>
      <w:r>
        <w:rPr>
          <w:rFonts w:ascii="Times New Roman" w:hAnsi="Times New Roman"/>
          <w:sz w:val="24"/>
        </w:rPr>
        <w:t xml:space="preserve">” shall mean, in relation to a Lender or its direct or indirect parent company that is a solvent person,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240" w:after="0"/>
        <w:jc w:val="both"/>
        <w:rPr/>
      </w:pPr>
      <w:r>
        <w:rPr/>
        <w:t>“</w:t>
      </w:r>
      <w:r>
        <w:rPr>
          <w:rFonts w:ascii="Times New Roman" w:hAnsi="Times New Roman"/>
          <w:sz w:val="24"/>
          <w:u w:val="single"/>
        </w:rPr>
        <w:t>Unreimbursed Amount</w:t>
      </w:r>
      <w:r>
        <w:rPr>
          <w:rFonts w:ascii="Times New Roman" w:hAnsi="Times New Roman"/>
          <w:sz w:val="24"/>
        </w:rPr>
        <w:t xml:space="preserve">” shall have the meaning specified in </w:t>
      </w:r>
      <w:r>
        <w:rPr>
          <w:rFonts w:ascii="Times New Roman" w:hAnsi="Times New Roman"/>
          <w:sz w:val="24"/>
          <w:u w:val="single"/>
        </w:rPr>
        <w:t>Section 2.13(c)(i)</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Unrestricted Subsidiary</w:t>
      </w:r>
      <w:r>
        <w:rPr>
          <w:rFonts w:ascii="Times New Roman" w:hAnsi="Times New Roman"/>
          <w:sz w:val="24"/>
        </w:rPr>
        <w:t xml:space="preserve">” shall mean any Subsidiary of the Company that is hereafter designated by the Company as an Unrestricted Subsidiary by notice to the Administrative Agent and the Lenders; </w:t>
      </w:r>
      <w:r>
        <w:rPr>
          <w:rFonts w:ascii="Times New Roman" w:hAnsi="Times New Roman"/>
          <w:sz w:val="24"/>
          <w:u w:val="single"/>
        </w:rPr>
        <w:t>provided</w:t>
      </w:r>
      <w:r>
        <w:rPr>
          <w:rFonts w:ascii="Times New Roman" w:hAnsi="Times New Roman"/>
          <w:sz w:val="24"/>
        </w:rPr>
        <w:t xml:space="preserve"> that (a) no Material Subsidiary shall be designated as an Unrestricted Subsidiary without the prior written consent of the Majority Lenders, (b) the aggregate Adjusted EBITDA of the Unrestricted Subsidiaries (without duplication) shall not exceed 20%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consolidated Adjusted EBITDA of the Company and its subsidiaries, and (c) no Subsidiary of the Company may be designated as an Unrestricted Subsidiary after the occurrence and during the continuance of a Default or an Event of Default; </w:t>
      </w:r>
      <w:r>
        <w:rPr>
          <w:rFonts w:ascii="Times New Roman" w:hAnsi="Times New Roman"/>
          <w:sz w:val="24"/>
          <w:u w:val="single"/>
        </w:rPr>
        <w:t>provided,</w:t>
      </w:r>
      <w:r>
        <w:rPr>
          <w:rFonts w:ascii="Times New Roman" w:hAnsi="Times New Roman"/>
          <w:sz w:val="24"/>
        </w:rPr>
        <w:t xml:space="preserve"> further, that the designation by the Company of a Subsidiary as an Unrestricted Subsidiary may be revoked by the Company at any time by notice to the Administrative Agent and the Lenders so long as no Default would be caused thereby, from and after which time such Subsidiary will no longer be an Unrestricted Subsidiary. </w:t>
      </w:r>
    </w:p>
    <w:p>
      <w:pPr>
        <w:pStyle w:val="TextBody"/>
        <w:bidi w:val="0"/>
        <w:spacing w:before="240" w:after="0"/>
        <w:jc w:val="both"/>
        <w:rPr/>
      </w:pPr>
      <w:r>
        <w:rPr/>
        <w:t>“</w:t>
      </w:r>
      <w:r>
        <w:rPr>
          <w:rFonts w:ascii="Times New Roman" w:hAnsi="Times New Roman"/>
          <w:sz w:val="24"/>
          <w:u w:val="single"/>
        </w:rPr>
        <w:t>Write-Down and Conversion Powers</w:t>
      </w:r>
      <w:r>
        <w:rPr>
          <w:rFonts w:ascii="Times New Roman" w:hAnsi="Times New Roman"/>
          <w:sz w:val="24"/>
        </w:rPr>
        <w:t xml:space="preserve">”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both"/>
        <w:rPr/>
      </w:pPr>
      <w:r>
        <w:rPr/>
        <w:t>“</w:t>
      </w:r>
      <w:r>
        <w:rPr>
          <w:rFonts w:ascii="Times New Roman" w:hAnsi="Times New Roman"/>
          <w:sz w:val="24"/>
          <w:u w:val="single"/>
        </w:rPr>
        <w:t>Yen</w:t>
      </w:r>
      <w:r>
        <w:rPr>
          <w:rFonts w:ascii="Times New Roman" w:hAnsi="Times New Roman"/>
          <w:sz w:val="24"/>
        </w:rPr>
        <w:t>” and “</w:t>
      </w:r>
      <w:r>
        <w:rPr>
          <w:rFonts w:ascii="Times New Roman" w:hAnsi="Times New Roman"/>
          <w:sz w:val="24"/>
          <w:u w:val="single"/>
        </w:rPr>
        <w:t>¥</w:t>
      </w:r>
      <w:r>
        <w:rPr>
          <w:rFonts w:ascii="Times New Roman" w:hAnsi="Times New Roman"/>
          <w:sz w:val="24"/>
        </w:rPr>
        <w:t xml:space="preserve">” shall mean the lawful currency of Japan. </w:t>
      </w:r>
    </w:p>
    <w:p>
      <w:pPr>
        <w:pStyle w:val="TextBody"/>
        <w:bidi w:val="0"/>
        <w:spacing w:before="240" w:after="0"/>
        <w:jc w:val="both"/>
        <w:rPr>
          <w:rFonts w:ascii="Times New Roman" w:hAnsi="Times New Roman"/>
          <w:sz w:val="24"/>
        </w:rPr>
      </w:pPr>
      <w:r>
        <w:rPr>
          <w:rFonts w:ascii="Times New Roman" w:hAnsi="Times New Roman"/>
          <w:sz w:val="24"/>
        </w:rPr>
        <w:t>Section 1.2 </w:t>
      </w:r>
      <w:r>
        <w:rPr>
          <w:rFonts w:ascii="Times New Roman" w:hAnsi="Times New Roman"/>
          <w:sz w:val="24"/>
          <w:u w:val="single"/>
        </w:rPr>
        <w:t>Interpretation</w:t>
      </w:r>
      <w:r>
        <w:rPr>
          <w:rFonts w:ascii="Times New Roman" w:hAnsi="Times New Roman"/>
          <w:sz w:val="24"/>
        </w:rPr>
        <w:t xml:space="preserve">. Except where otherwise specifically restricted, reference to a party to this Agreement or any other Loan Document includes that party and its successors and assigns. All capitalized terms used herein which are defined in Article 9 of the Uniform Commercial Code in effect in the State of New York or other applicable jurisdiction on the date hereof and which are not otherwise defined herein shall have the same meanings herein as set forth therein. Whenever any agreement, promissory note or other instrument or document is defined in this Agreement, such definition shall be deemed to mean and include, from and after the date of any amendment, restatement, supplement, confirmation or modification thereof, such agreement, promissory note or other instrument or document as so amended, restated, supplemented, confirmed or modified, unless stated to be as in effect on a particular date. All terms defined in this Agreement in the singular shall have comparable meanings when used in the plural and vice versa. The words “hereof,” “herein” and “hereunder” and words of similar import when used in this Agreement shall refer to this Agreement as a whole and not to any particular provision of this Agreement. </w:t>
      </w:r>
    </w:p>
    <w:p>
      <w:pPr>
        <w:pStyle w:val="TextBody"/>
        <w:bidi w:val="0"/>
        <w:spacing w:before="240" w:after="0"/>
        <w:jc w:val="both"/>
        <w:rPr>
          <w:rFonts w:ascii="Times New Roman" w:hAnsi="Times New Roman"/>
          <w:sz w:val="24"/>
        </w:rPr>
      </w:pPr>
      <w:r>
        <w:rPr>
          <w:rFonts w:ascii="Times New Roman" w:hAnsi="Times New Roman"/>
          <w:sz w:val="24"/>
        </w:rPr>
        <w:t>Section 1.3 </w:t>
      </w:r>
      <w:r>
        <w:rPr>
          <w:rFonts w:ascii="Times New Roman" w:hAnsi="Times New Roman"/>
          <w:sz w:val="24"/>
          <w:u w:val="single"/>
        </w:rPr>
        <w:t>Cross References</w:t>
      </w:r>
      <w:r>
        <w:rPr>
          <w:rFonts w:ascii="Times New Roman" w:hAnsi="Times New Roman"/>
          <w:sz w:val="24"/>
        </w:rPr>
        <w:t xml:space="preserve">. Unless otherwise specified, references in this Agreement and in each other Loan Document to any Article or Section are references to such Article or Section of this Agreement or such other Loan Document, as the case may be, and, unless otherwise specified, references in any Article, Section or definition to any clause are references to such clause in such Article, Section or definition. </w:t>
      </w:r>
    </w:p>
    <w:p>
      <w:pPr>
        <w:pStyle w:val="TextBody"/>
        <w:bidi w:val="0"/>
        <w:spacing w:before="240" w:after="0"/>
        <w:jc w:val="both"/>
        <w:rPr>
          <w:rFonts w:ascii="Times New Roman" w:hAnsi="Times New Roman"/>
          <w:sz w:val="24"/>
        </w:rPr>
      </w:pPr>
      <w:r>
        <w:rPr>
          <w:rFonts w:ascii="Times New Roman" w:hAnsi="Times New Roman"/>
          <w:sz w:val="24"/>
        </w:rPr>
        <w:t>Section 1.4 </w:t>
      </w:r>
      <w:r>
        <w:rPr>
          <w:rFonts w:ascii="Times New Roman" w:hAnsi="Times New Roman"/>
          <w:sz w:val="24"/>
          <w:u w:val="single"/>
        </w:rPr>
        <w:t>Accounting Provisions</w:t>
      </w:r>
      <w:r>
        <w:rPr>
          <w:rFonts w:ascii="Times New Roman" w:hAnsi="Times New Roman"/>
          <w:sz w:val="24"/>
        </w:rPr>
        <w:t xml:space="preserve">. Unless otherwise expressly provided herein, all references in this Agreement to GAAP shall mean GAAP as in effect on the date of this Agreement as published by the Financial Accounting Standards Board. All accounting terms used in this Agreement and not defined expressly, completely or specifically herein shall have the respective meanings given to them, and shall be construed, in accordance with GAAP. All financial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data (including financial ratios and other financial calculations) required to be submitted pursuant to this Agreement shall be prepared in accordance with GAAP applied in a manner consistent with that used to prepare the most recent audited consolidated financial statements of the Company and its Subsidiaries. All financial or accounting calculations or determinations required pursuant to this Agreement shall be made, and all references to the financial statements of the Company, Adjusted EBITDA, Senior Secured Debt, Total Debt, Interest Expense, Consolidated Total Assets and other such financial terms shall be deemed to refer to such items, unless otherwise expressly provided herein, on a consolidated basis for the Company and its Subsidiaries. Notwithstanding the foregoing,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 </w:t>
      </w:r>
    </w:p>
    <w:p>
      <w:pPr>
        <w:pStyle w:val="TextBody"/>
        <w:bidi w:val="0"/>
        <w:spacing w:before="240" w:after="0"/>
        <w:jc w:val="both"/>
        <w:rPr>
          <w:rFonts w:ascii="Times New Roman" w:hAnsi="Times New Roman"/>
          <w:sz w:val="24"/>
        </w:rPr>
      </w:pPr>
      <w:r>
        <w:rPr>
          <w:rFonts w:ascii="Times New Roman" w:hAnsi="Times New Roman"/>
          <w:sz w:val="24"/>
        </w:rPr>
        <w:t>Section 1.5 </w:t>
      </w:r>
      <w:r>
        <w:rPr>
          <w:rFonts w:ascii="Times New Roman" w:hAnsi="Times New Roman"/>
          <w:sz w:val="24"/>
          <w:u w:val="single"/>
        </w:rPr>
        <w:t>Letter of Credit Amounts</w:t>
      </w:r>
      <w:r>
        <w:rPr>
          <w:rFonts w:ascii="Times New Roman" w:hAnsi="Times New Roman"/>
          <w:sz w:val="24"/>
        </w:rPr>
        <w:t xml:space="preserve">. Unless otherwise specified herein, the amount of a Letter of Credit at any time shall be deemed to be the Dollar Equivalent of the stated amount of such Letter of Credit in effect at such time;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p>
    <w:p>
      <w:pPr>
        <w:pStyle w:val="TextBody"/>
        <w:bidi w:val="0"/>
        <w:spacing w:before="240" w:after="0"/>
        <w:jc w:val="both"/>
        <w:rPr>
          <w:rFonts w:ascii="Times New Roman" w:hAnsi="Times New Roman"/>
          <w:sz w:val="24"/>
        </w:rPr>
      </w:pPr>
      <w:r>
        <w:rPr>
          <w:rFonts w:ascii="Times New Roman" w:hAnsi="Times New Roman"/>
          <w:sz w:val="24"/>
        </w:rPr>
        <w:t>Section 1.6 </w:t>
      </w:r>
      <w:r>
        <w:rPr>
          <w:rFonts w:ascii="Times New Roman" w:hAnsi="Times New Roman"/>
          <w:sz w:val="24"/>
          <w:u w:val="single"/>
        </w:rPr>
        <w:t>Exchange Rates; Currency Equivalents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(i) The Administrative Agent or the relevant Issuing Bank, as applicable, shall determine the Spot Rates as of each Revaluation Date to be used for calculating Dollar Equivalent amounts of Credit Extensions and Outstanding Amounts denominated in Alternative Currencies and shall promptly provide notice thereof to the Company. Such Spot Rates shall become effective as of such Revaluation Date and shall be the Spot Rates employed in converting any amounts between the applicable currencies until the next Revaluation Date to occur. Except for purposes of financial statements delivered by the Company hereunder or calculating financial covenants hereunder or except as otherwise provided herein, the applicable amount of any currency (other than Dollars) for purposes of the Loan Documents shall be such Dollar Equivalent amount as so determined by the Administrative Agent or the relevant Issuing Bank, as applicable. </w:t>
      </w:r>
    </w:p>
    <w:p>
      <w:pPr>
        <w:pStyle w:val="TextBody"/>
        <w:bidi w:val="0"/>
        <w:spacing w:before="240" w:after="0"/>
        <w:jc w:val="both"/>
        <w:rPr>
          <w:rFonts w:ascii="Times New Roman" w:hAnsi="Times New Roman"/>
          <w:sz w:val="24"/>
        </w:rPr>
      </w:pPr>
      <w:r>
        <w:rPr>
          <w:rFonts w:ascii="Times New Roman" w:hAnsi="Times New Roman"/>
          <w:sz w:val="24"/>
        </w:rPr>
        <w:t xml:space="preserve">(ii) Wherever in this Agreement in connection with a Term Rate Advance or SONIA Rate Advance, conversion, continuation or prepayment of Revolving Loan made as a Term Rate Advance or SONIA Rate Advance or the issuance, amendment or extension of a Letter of Credit, an amount, such as a required minimum or multiple amount, is expressed in Dollars, but such Revolving Loan made as a Term Rate Advance, SONIA Rate Advance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relevant Issuing Bank,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1.7 </w:t>
      </w:r>
      <w:r>
        <w:rPr>
          <w:rFonts w:ascii="Times New Roman" w:hAnsi="Times New Roman"/>
          <w:sz w:val="24"/>
          <w:u w:val="single"/>
        </w:rPr>
        <w:t>Additional Alternative Currencies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(i) The Company may from time to time request that Term Rate Advances of Revolving Loans be made and/or Letters of Credit be issued in a currency other than those specifically listed in the definition of “Alternative Currency”; </w:t>
      </w:r>
      <w:r>
        <w:rPr>
          <w:rFonts w:ascii="Times New Roman" w:hAnsi="Times New Roman"/>
          <w:sz w:val="24"/>
          <w:u w:val="single"/>
        </w:rPr>
        <w:t>provided</w:t>
      </w:r>
      <w:r>
        <w:rPr>
          <w:rFonts w:ascii="Times New Roman" w:hAnsi="Times New Roman"/>
          <w:sz w:val="24"/>
        </w:rPr>
        <w:t xml:space="preserve"> that such requested currency is a lawful currency (other than Dollars) that is readily available and freely transferable and convertible into Dollars. In the case of any such request with respect to the making of Term Rate Advances, such request shall be subject to the approval of the Administrative Agent and each of the Lenders; and in the case of any such request with respect to the issuance of Letters of Credit, such request shall be subject to the approval of the Administrative Agent and the relevant Issuing Bank. </w:t>
      </w:r>
    </w:p>
    <w:p>
      <w:pPr>
        <w:pStyle w:val="TextBody"/>
        <w:bidi w:val="0"/>
        <w:spacing w:before="240" w:after="0"/>
        <w:jc w:val="both"/>
        <w:rPr>
          <w:rFonts w:ascii="Times New Roman" w:hAnsi="Times New Roman"/>
          <w:sz w:val="24"/>
        </w:rPr>
      </w:pPr>
      <w:r>
        <w:rPr>
          <w:rFonts w:ascii="Times New Roman" w:hAnsi="Times New Roman"/>
          <w:sz w:val="24"/>
        </w:rPr>
        <w:t xml:space="preserve">(ii) Any such request shall be made to the Administrative Agent not later than 11:00 a.m., ten (10) Business Days prior to the date of the desired Credit Extension (or such other time or date as may be agreed by the Administrative Agent and, in the case of any such request pertaining to Letters of Credit, the relevant Issuing Bank, in its or their sole discretion). In the case of any such request pertaining to Term Rate Advances of Revolving Loans, the Administrative Agent shall promptly notify each Lender thereof; and in the case of any such request pertaining to Letters of Credit, the Administrative Agent shall promptly notify the relevant Issuing Bank thereof. Each Lender (in the case of any such request pertaining to Term Rate Advances of Revolving Loans) or the relevant Issuing Bank (in the case of a request pertaining to Letters of Credit) shall notify the Administrative Agent, not later than 11:00 a.m., five (5) Business Days after receipt of such request whether it consents, in its sole discretion, to the making of Term Rate Advances of Revolving Loans or the issuance of Letters of Credit, as the case may be, in such requested currency. </w:t>
      </w:r>
    </w:p>
    <w:p>
      <w:pPr>
        <w:pStyle w:val="TextBody"/>
        <w:bidi w:val="0"/>
        <w:spacing w:before="240" w:after="0"/>
        <w:jc w:val="both"/>
        <w:rPr>
          <w:rFonts w:ascii="Times New Roman" w:hAnsi="Times New Roman"/>
          <w:sz w:val="24"/>
        </w:rPr>
      </w:pPr>
      <w:r>
        <w:rPr>
          <w:rFonts w:ascii="Times New Roman" w:hAnsi="Times New Roman"/>
          <w:sz w:val="24"/>
        </w:rPr>
        <w:t xml:space="preserve">(iii) Any failure by a Lender or any Issuing Bank, as the case may be, to respond to such request within the time period specified in the preceding sentence shall be deemed to be a refusal by such Lender or such Issuing Bank, as the case may be, to permit Term Rate Advances of Revolving Loans to be made or Letters of Credit to be issued in such requested currency. If the Administrative Agent and all the Lenders consent to making Term Rate Advances of Revolving Loans in such requested currency, the Administrative Agent shall so notify the Borrower and such currency shall thereupon be deemed for all purposes to be an Alternative Currency hereunder for purposes of any Term Rate Advances of Revolving Loans; and if the Administrative Agent and the relevant Issuing Bank consent to the issuance of Letters of Credit in such requested currency, the Administrative Agent shall so notify the Company and such currency shall thereupon be deemed for all purposes to be an Alternative Currency hereunder for purposes of any Letter of Credit issuances by such Issuing Bank. If the Administrative Agent shall fail to obtain consent to any request for an additional currency under this Section 1.7, the Administrative Agent shall promptly so notify the Borrower. </w:t>
      </w:r>
    </w:p>
    <w:p>
      <w:pPr>
        <w:pStyle w:val="TextBody"/>
        <w:bidi w:val="0"/>
        <w:spacing w:before="240" w:after="0"/>
        <w:jc w:val="both"/>
        <w:rPr>
          <w:rFonts w:ascii="Times New Roman" w:hAnsi="Times New Roman"/>
          <w:sz w:val="24"/>
        </w:rPr>
      </w:pPr>
      <w:r>
        <w:rPr>
          <w:rFonts w:ascii="Times New Roman" w:hAnsi="Times New Roman"/>
          <w:sz w:val="24"/>
        </w:rPr>
        <w:t>Section 1.8 </w:t>
      </w:r>
      <w:r>
        <w:rPr>
          <w:rFonts w:ascii="Times New Roman" w:hAnsi="Times New Roman"/>
          <w:sz w:val="24"/>
          <w:u w:val="single"/>
        </w:rPr>
        <w:t>Divisions</w:t>
      </w:r>
      <w:r>
        <w:rPr>
          <w:rFonts w:ascii="Times New Roman" w:hAnsi="Times New Roman"/>
          <w:sz w:val="24"/>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comes into existence, such new Person shall be deemed to have been organized and acquired on the first date of its existence by the holders of its equity interests at such time. </w:t>
      </w:r>
    </w:p>
    <w:p>
      <w:pPr>
        <w:pStyle w:val="TextBody"/>
        <w:bidi w:val="0"/>
        <w:spacing w:before="240" w:after="0"/>
        <w:jc w:val="both"/>
        <w:rPr>
          <w:rFonts w:ascii="Times New Roman" w:hAnsi="Times New Roman"/>
          <w:sz w:val="24"/>
        </w:rPr>
      </w:pPr>
      <w:r>
        <w:rPr>
          <w:rFonts w:ascii="Times New Roman" w:hAnsi="Times New Roman"/>
          <w:sz w:val="24"/>
        </w:rPr>
        <w:t>Section 1.9 </w:t>
      </w:r>
      <w:r>
        <w:rPr>
          <w:rFonts w:ascii="Times New Roman" w:hAnsi="Times New Roman"/>
          <w:sz w:val="24"/>
          <w:u w:val="single"/>
        </w:rPr>
        <w:t>Rates</w:t>
      </w:r>
      <w:r>
        <w:rPr>
          <w:rFonts w:ascii="Times New Roman" w:hAnsi="Times New Roman"/>
          <w:sz w:val="24"/>
        </w:rPr>
        <w:t xml:space="preserve">. The Administrative Agent does not warrant or accept any responsibility for, and shall not have any liability with respect to, (a) the continuation of, administration of, submission of, calculation of or any other matter related to the Base Rate, the Term SOFR Reference Rate, </w:t>
      </w:r>
      <w:r>
        <w:rPr>
          <w:rFonts w:ascii="Times New Roman" w:hAnsi="Times New Roman"/>
          <w:strike/>
          <w:color w:val="FF0000"/>
          <w:sz w:val="24"/>
        </w:rPr>
        <w:t xml:space="preserve">Adjusted </w:t>
      </w:r>
      <w:r>
        <w:rPr>
          <w:rFonts w:ascii="Times New Roman" w:hAnsi="Times New Roman"/>
          <w:sz w:val="24"/>
        </w:rPr>
        <w:t xml:space="preserve">Term </w:t>
      </w:r>
      <w:r>
        <w:rPr>
          <w:rFonts w:ascii="Times New Roman" w:hAnsi="Times New Roman"/>
          <w:strike/>
          <w:color w:val="FF0000"/>
          <w:sz w:val="24"/>
        </w:rPr>
        <w:t>SOFR, Term</w:t>
      </w:r>
      <w:r>
        <w:rPr>
          <w:rFonts w:ascii="Times New Roman" w:hAnsi="Times New Roman"/>
          <w:sz w:val="24"/>
        </w:rPr>
        <w:t xml:space="preserve"> SOFR, any other Term Rate, the SONIA Rate or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w:t>
      </w:r>
      <w:r>
        <w:rPr>
          <w:rFonts w:ascii="Times New Roman" w:hAnsi="Times New Roman"/>
          <w:strike/>
          <w:color w:val="FF0000"/>
          <w:sz w:val="24"/>
        </w:rPr>
        <w:t>Adjusted Term SOFR,</w:t>
      </w:r>
      <w:r>
        <w:rPr>
          <w:rFonts w:ascii="Times New Roman" w:hAnsi="Times New Roman"/>
          <w:sz w:val="24"/>
        </w:rPr>
        <w:t xml:space="preserve"> Term SOFR, any other Term Rate, the SONIA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SONIA Rate or a Benchmark, any alternative, successor or replacement rate (including any Benchmark Replacement) or any relevant adjustments thereto, in each case, in a manner adverse to the relevant Borrower. The Administrative Agent may select information sources or services in its reasonable discretion to ascertain the Base Rate, the SONIA Rate, any Benchmark, any component definition thereof or rates referred to in the definition thereof, in each case pursuant to the terms of this Agreement, and shall have no liability to the Company or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center"/>
        <w:rPr>
          <w:rFonts w:ascii="Times New Roman" w:hAnsi="Times New Roman"/>
          <w:sz w:val="24"/>
        </w:rPr>
      </w:pPr>
      <w:r>
        <w:rPr>
          <w:rFonts w:ascii="Times New Roman" w:hAnsi="Times New Roman"/>
          <w:sz w:val="24"/>
        </w:rPr>
        <w:t xml:space="preserve">ARTICLE 2 - LOANS </w:t>
      </w:r>
    </w:p>
    <w:p>
      <w:pPr>
        <w:pStyle w:val="TextBody"/>
        <w:bidi w:val="0"/>
        <w:spacing w:before="240" w:after="0"/>
        <w:jc w:val="both"/>
        <w:rPr>
          <w:rFonts w:ascii="Times New Roman" w:hAnsi="Times New Roman"/>
          <w:sz w:val="24"/>
        </w:rPr>
      </w:pPr>
      <w:r>
        <w:rPr>
          <w:rFonts w:ascii="Times New Roman" w:hAnsi="Times New Roman"/>
          <w:sz w:val="24"/>
        </w:rPr>
        <w:t>Section 2.1 </w:t>
      </w:r>
      <w:r>
        <w:rPr>
          <w:rFonts w:ascii="Times New Roman" w:hAnsi="Times New Roman"/>
          <w:sz w:val="24"/>
          <w:u w:val="single"/>
        </w:rPr>
        <w:t>The Revolving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Lenders agree severally, and not jointly, upon the terms and subject to the conditions of this Agreement, to make Loans (each such Loan, a “</w:t>
      </w:r>
      <w:r>
        <w:rPr>
          <w:rFonts w:ascii="Times New Roman" w:hAnsi="Times New Roman"/>
          <w:sz w:val="24"/>
          <w:u w:val="single"/>
        </w:rPr>
        <w:t>Revolving Loan</w:t>
      </w:r>
      <w:r>
        <w:rPr>
          <w:rFonts w:ascii="Times New Roman" w:hAnsi="Times New Roman"/>
          <w:sz w:val="24"/>
        </w:rPr>
        <w:t>” and, collectively, the “</w:t>
      </w:r>
      <w:r>
        <w:rPr>
          <w:rFonts w:ascii="Times New Roman" w:hAnsi="Times New Roman"/>
          <w:sz w:val="24"/>
          <w:u w:val="single"/>
        </w:rPr>
        <w:t>Revolving Loans</w:t>
      </w:r>
      <w:r>
        <w:rPr>
          <w:rFonts w:ascii="Times New Roman" w:hAnsi="Times New Roman"/>
          <w:sz w:val="24"/>
        </w:rPr>
        <w:t xml:space="preserve">”) to the Company in Dollars or in one or more Alternative Currencies from time to time prior to the Maturity Date in an aggregate Dollar Equivalent amount not to exceed, (i) in the aggregate at any one time outstanding, the Revolving Loan Commitments of all Lenders and (ii) individually, such Lender’s Revolving Loan Commitment as in effect from time to time minus such Lender’s Commitment Ratio of the Swingline Loans and the Dollar Equivalent of the L/C Obligations then outstanding; </w:t>
      </w:r>
    </w:p>
    <w:p>
      <w:pPr>
        <w:pStyle w:val="TextBody"/>
        <w:bidi w:val="0"/>
        <w:spacing w:before="240" w:after="0"/>
        <w:jc w:val="both"/>
        <w:rPr>
          <w:rFonts w:ascii="Times New Roman" w:hAnsi="Times New Roman"/>
          <w:sz w:val="24"/>
        </w:rPr>
      </w:pP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Company may not request (and the Lenders shall have no obligation to make) (x) an Advance under this Section 2.1 in excess of the Available Revolving Loan Commitment on such date or (y) an Advance denominated in any Alternative Currency to the extent that, after giving effect thereto, the Dollar Equivalent of the aggregate outstanding principal amount of Advances and the outstanding amount of Letters of Credit, in each case denominated in any Alternative Currency, exceeds the Alternative Currency Sublimit.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2.2 </w:t>
      </w:r>
      <w:r>
        <w:rPr>
          <w:rFonts w:ascii="Times New Roman" w:hAnsi="Times New Roman"/>
          <w:sz w:val="24"/>
          <w:u w:val="single"/>
        </w:rPr>
        <w:t>Manner of Advance and Disbursement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Choice of Interest Rate, Etc</w:t>
      </w:r>
      <w:r>
        <w:rPr>
          <w:rFonts w:ascii="Times New Roman" w:hAnsi="Times New Roman"/>
          <w:sz w:val="24"/>
        </w:rPr>
        <w:t xml:space="preserve">. (x) Any Advance hereunder denominated in Dollars shall, at the option of the Borrower, be made as a Base Rate Advance or a Term Rate Advance, (y) any Advance hereunder denominated in Sterling shall be made as SONIA Rate Advance and (z) any Advance hereunder denominated in any other Alternative Currency shall be made as a Term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each case, at such time as there shall have occurred and be continuing an Event of Default hereunder and upon request by the Majority Lenders, the Borrower shall not have the right to (i) in the case of Advances of Revolving Loans denominated in Dollars, receive or Continue a Term Rate Advance or to Convert a Base Rate Advance to a Term Rate Advance denominated in Dollars or (ii) in the case of Advances of Revolving Loans denominated in Alternative Currencies, receive or Continue a Term Rate Advance, and the Majority Lenders may demand that any or all of the then outstanding Term Rate Advances of Revolving Loans denominated in an Alternative Currency be, at the option of the Borrower, (A) prepaid or (B) redenominated into Dollars in the Dollar Equivalent thereof, on the last day of the then current Interest Period with respect thereto (provided that if no election is made by the Borrower by the earlier of (x) the date that is three Business Days after receipt by the Borrower of such notice and (y) the last day of the current Interest Period for the applicable Revolving Loan, the Borrower shall be deemed to have elected clause (B) above). Any notice given to the Administrative Agent in connection with a requested Term Rate Advance hereunder shall be given to the Administrative Agent prior to 11:00 a.m. New York City time in order for such Business Day to count toward the minimum number of Business Days required. Notwithstanding anything to the contrary herein, (i) a Swingline Loan may not be converted to a Term Rate Advance and (ii) the borrowing procedures with respect to Swingline Loans shall be governed by Section 2.17.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Base Rate Advances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Advances</w:t>
      </w:r>
      <w:r>
        <w:rPr>
          <w:rFonts w:ascii="Times New Roman" w:hAnsi="Times New Roman"/>
          <w:sz w:val="24"/>
        </w:rPr>
        <w:t xml:space="preserve">. The Borrower shall give the Administrative Agent in the case of Base Rate Advances irrevocable prior telephonic notice followed immediately by a Request for Advance by 9:00 A.M. New York City time on the date of such proposed Base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Borrower’s failure to confirm any telephonic notice with a Request for Advance shall not invalidate any notice so given if acted upon by the Administrative Agent. Upon receipt of such notice from the Borrower, the Administrative Agent shall promptly notify each Lender by telephone, followed promptly by email or telecopy of the contents thereof.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Conversions</w:t>
      </w:r>
      <w:r>
        <w:rPr>
          <w:rFonts w:ascii="Times New Roman" w:hAnsi="Times New Roman"/>
          <w:sz w:val="24"/>
        </w:rPr>
        <w:t xml:space="preserve">. The Borrower may, without regard to the applicable Payment Date and upon at least three (3) Business Days’ irrevocable prior telephonic notice followed by a Request for Advance, Convert all or a portion of the principal of a Base Rate Advance to a Term Rate Advance. On the date indicated by the Borrower, such Base Rate Advance shall be so Converted. The failure to give timely notice hereunder with respect to the Payment Date of any Base Rate Advance shall be considered a request to Continue such a Base Rate Advance as a Base Rate Advance for a subsequent Interest Period.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Term Rate and SONIA Advances</w:t>
      </w:r>
      <w:r>
        <w:rPr>
          <w:rFonts w:ascii="Times New Roman" w:hAnsi="Times New Roman"/>
          <w:sz w:val="24"/>
        </w:rPr>
        <w:t xml:space="preserve">. Upon request, the Administrative Agent, whose determination in absence of manifest error shall be conclusive, shall determine the available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Term Rate Basis or the SONIA Rate Basis and shall notify the Borrower of such Interest Rate Basis.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Term Rate Advances</w:t>
      </w:r>
      <w:r>
        <w:rPr>
          <w:rFonts w:ascii="Times New Roman" w:hAnsi="Times New Roman"/>
          <w:sz w:val="24"/>
        </w:rPr>
        <w:t xml:space="preserve">. The Borrower shall give the Administrative Agent (A) in the case of Term Rate Advances of Revolving Loans denominated in Dollars at least three (3) Business Days’ irrevocable prior telephonic notice followed immediately by a Request for Advance or (B) in the case of Term Rate Advances of Revolving Loans denominated in an Alternative Currency at least four (4) Business Days (or five (5) Business Days in the case of a Special Notice Currency) irrevocable prior telephonic notice followed immediately by a Request for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each case, the Borrower’s failure to confirm any telephonic notice with a Request for Advance shall not invalidate any notice so given if acted upon by the Administrative Agent. Upon receipt of such notice from the Borrower, the Administrative Agent shall promptly notify each Lender by telephone, email or telecopy of the contents thereof.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Conversions and Continuations of Term Rate Advances</w:t>
      </w:r>
      <w:r>
        <w:rPr>
          <w:rFonts w:ascii="Times New Roman" w:hAnsi="Times New Roman"/>
          <w:sz w:val="24"/>
        </w:rPr>
        <w:t xml:space="preserve">. At least three (3) Business Days prior to the Payment Date for each Term Rate Advance of Revolving Loans denominated in Dollars and at least four (4) Business Days prior to the Payment Date for each Term Rate Advance of Revolving Loans denominated in an Alternative Currency, the Borrower shall give the Administrative Agent telephonic notice followed by written notice specifying whether all or a portion of such Term Rate Advance (A) is to be Continued in whole or in part as one or more Term Rate Advances, (B) is to be Converted in whole or in part to a Base Rate Advance, or (C) is to be repaid. If the Borrower fails to give such notice, such Advance shall automatically be Continued on its Payment Date as a Term Rate Advance with an Interest Period of one month. Upon such Payment Date such Term Rate Advance will, subject to the provisions hereof, be so Continued, Converted or repaid, as applicable. No Term Rate Advance of Revolving Loans may be Continued as or Converted into a Term Rate Advance of Revolving Loans denominated in a different currency, but instead must be prepaid or repaid in the original currency of such Term Rate Advance of Revolving Loans and may thereafter be reborrowed in the other currency.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SONIA Rate Advances</w:t>
      </w:r>
      <w:r>
        <w:rPr>
          <w:rFonts w:ascii="Times New Roman" w:hAnsi="Times New Roman"/>
          <w:sz w:val="24"/>
        </w:rPr>
        <w:t xml:space="preserve">. The relevant Borrower shall give the Administrative Agent in the case of SONIA Rate Advances at least three (3) Business Days’ irrevocable prior telephonic notice followed immediately by a Request for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relevant Borrower’s failure to confirm any telephonic notice with a Request for Advance shall not invalidate any notice so given if acted upon by the Administrative Agent. Upon receipt of such notice from the relevant Borrower, the Administrative Agent shall promptly notify each Lender by telephone, followed promptly by email or telecopy of the contents thereof.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Notification of Lenders</w:t>
      </w:r>
      <w:r>
        <w:rPr>
          <w:rFonts w:ascii="Times New Roman" w:hAnsi="Times New Roman"/>
          <w:sz w:val="24"/>
        </w:rPr>
        <w:t xml:space="preserve">. Upon receipt of irrevocable prior telephonic notice in accordance with Section 2.2(b) or (c) hereof or a Request for Advance, or a notice of Conversion or Continuation from the Borrower with respect to any outstanding Advance prior to the Payment Date for such Advance, the Administrative Agent shall promptly notify each Lender having the applicable Commitment by telephone, followed promptly by written notice or telecopy, of the contents thereof and the amount (and currency) of such Lender’s portion of the Advance. Each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Lender having the applicable Commitment shall, not later than 12:00 p.m. New York City time on the date of borrowing specified in such notice, make available to the Administrative Agent at the Administrative Agent’s Office, or at such account as the Administrative Agent shall designate, the amount of its portion of any Advance that represents an additional borrowing hereunder in immediately available funds in the applicable currency. Each Lender at its option may make any Advance by causing any domestic or foreign branch or Affiliate of such Lender to make such Advance; </w:t>
      </w:r>
      <w:r>
        <w:rPr>
          <w:rFonts w:ascii="Times New Roman" w:hAnsi="Times New Roman"/>
          <w:i/>
          <w:sz w:val="24"/>
        </w:rPr>
        <w:t xml:space="preserve">provided </w:t>
      </w:r>
      <w:r>
        <w:rPr>
          <w:rFonts w:ascii="Times New Roman" w:hAnsi="Times New Roman"/>
          <w:sz w:val="24"/>
        </w:rPr>
        <w:t xml:space="preserve">that any exercise of such option shall not affect the obligation of the Borrower to repay such Advance in accordance with the terms of this Agreement.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Disbursement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(a) Prior to 2:00 p.m. New York City time on the date of an Advance hereunder, the Administrative Agent shall, subject to the satisfaction of the conditions set forth in Article 3 hereof, disburse the amounts made available to the Administrative Agent by the Lenders in like funds by (A) transferring the amounts so made available by wire transfer pursuant to the Borrower’s instructions, or (B) in the absence of such instructions, crediting the amounts so made available to the account of the Borrower maintained with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(b) Unless the Administrative Agent shall have received notice from a Lender having an applicable Commitment prior to 12:00 p.m. New York City time on the date of any Advance that such Lender will not make available to the Administrative Agent such Lender’s ratable portion of such Advance, the Administrative Agent may assume that such Lender has made or will make such portion available to the Administrative Agent on the date of such Advance and the Administrative Agent may in its sole discretion and in reliance upon such assumption, make available to the Borrower on such date a corresponding amount. If and to the extent an applicable Lender does not make such ratable portion available to the Administrative Agent, such Lender agrees to repay to the Administrative Agent on demand such corresponding amount together with interest thereon, for each day from the date such amount is made available to the Borrower until the date such amount is repaid to the Administrative Agent, at the greater of the Federal Funds Rate and a rate reasonably determined by the Administrative Agent in accordance with banking industry rules on interbank compensation, plus any administrative, processing or similar fees customarily charged by the Administrative Agent in connection with the foregoing. </w:t>
      </w:r>
    </w:p>
    <w:p>
      <w:pPr>
        <w:pStyle w:val="TextBody"/>
        <w:bidi w:val="0"/>
        <w:spacing w:before="240" w:after="0"/>
        <w:jc w:val="both"/>
        <w:rPr>
          <w:rFonts w:ascii="Times New Roman" w:hAnsi="Times New Roman"/>
          <w:sz w:val="24"/>
        </w:rPr>
      </w:pPr>
      <w:r>
        <w:rPr>
          <w:rFonts w:ascii="Times New Roman" w:hAnsi="Times New Roman"/>
          <w:sz w:val="24"/>
        </w:rPr>
        <w:t xml:space="preserve">(c) If such Lender shall repay to the Administrative Agent such corresponding amount, such amount so repaid shall constitute such Lender’s portion of the applicable Advance for purposes of this Agreement. If such Lender does not repay such corresponding amount immediately upon the Administrative Agent’s demand therefor and the Administrative Agent has made such corresponding amount available to the Borrower, the Administrative Agent shall notify the Borrower, and the Borrower shall immediately pay such corresponding amount to the Administrative Agent, with interest at (A) the Federal Funds Rate in the case of Advances denominated in Dollars or (B) the cost of funds incurred by the Administrative Agent in respect of such amount in the case of Advances denominated in Alternative Currencies, in each case from the date the Administrative Agent made such amount available to the Borrower. The Borrower shall not be obligated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to pay, and such amount shall not accrue, any interest or fees on such amount other than as provided in the immediately preceding sentence. The failure of any Lender to fund its portion of any Advance shall not relieve any other Lender of its obligation, if any, hereunder to fund its respective portion of the Advance on the date of such borrowing, but no Lender shall be responsible for any such failure of any other Lender. </w:t>
      </w:r>
    </w:p>
    <w:p>
      <w:pPr>
        <w:pStyle w:val="TextBody"/>
        <w:bidi w:val="0"/>
        <w:spacing w:before="240" w:after="0"/>
        <w:jc w:val="both"/>
        <w:rPr>
          <w:rFonts w:ascii="Times New Roman" w:hAnsi="Times New Roman"/>
          <w:sz w:val="24"/>
        </w:rPr>
      </w:pPr>
      <w:r>
        <w:rPr>
          <w:rFonts w:ascii="Times New Roman" w:hAnsi="Times New Roman"/>
          <w:sz w:val="24"/>
        </w:rPr>
        <w:t>Section 2.3 </w:t>
      </w:r>
      <w:r>
        <w:rPr>
          <w:rFonts w:ascii="Times New Roman" w:hAnsi="Times New Roman"/>
          <w:sz w:val="24"/>
          <w:u w:val="single"/>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On Base Rate Advances</w:t>
      </w:r>
      <w:r>
        <w:rPr>
          <w:rFonts w:ascii="Times New Roman" w:hAnsi="Times New Roman"/>
          <w:sz w:val="24"/>
        </w:rPr>
        <w:t xml:space="preserve">. Interest on each Base Rate Advance, including Swingline Loans, computed pursuant to clause (b) of the definition of Base Rate, shall be computed on the basis of a year of 365/366 days and interest on each Base Rate Advance, including Swingline Loans, computed pursuant to clause (a) of the definition of Base Rate shall be computed on the basis of a 360-day year, in each case for the actual number of days elapsed and shall be payable at the Base Rate Basis for such Advance, in arrears on the applicable Payment Date. Interest on Base Rate Advances then outstanding shall also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On Term Rate Advances</w:t>
      </w:r>
      <w:r>
        <w:rPr>
          <w:rFonts w:ascii="Times New Roman" w:hAnsi="Times New Roman"/>
          <w:sz w:val="24"/>
        </w:rPr>
        <w:t xml:space="preserve">. Interest on each Term Rate Advance shall be computed on the basis of a 360-day year (or, in each case of Term Rate Advances denominated in Alternative Currencies where market practice differs, in accordance with market practice) for the actual number of days elapsed and shall be payable at the Term Rate Basis for such Advance, in arrears on the applicable Payment Date, and, in addition, if the Interest Period for a Term Rate Advance exceeds three (3) months, interest on such Term Rate Advance shall also be due and payable in arrears on every three (3) month anniversary of the beginning of such Interest Period. Interest on Term Rate Advances then outstanding shall also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On SONIA Rate Advances</w:t>
      </w:r>
      <w:r>
        <w:rPr>
          <w:rFonts w:ascii="Times New Roman" w:hAnsi="Times New Roman"/>
          <w:sz w:val="24"/>
        </w:rPr>
        <w:t xml:space="preserve">. Interest on each SONIA Rate Advance shall be computed on the basis of a year of 365 days, in each case for the actual number of days elapsed and shall be payable at the SONIA Rate Basis for such Advance, in arrears on the applicable Payment Date. Interest on SONIA Rate Advances then outstanding shall also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Interest Upon Event of Default</w:t>
      </w:r>
      <w:r>
        <w:rPr>
          <w:rFonts w:ascii="Times New Roman" w:hAnsi="Times New Roman"/>
          <w:sz w:val="24"/>
        </w:rPr>
        <w:t xml:space="preserve">. Immediately upon the occurrence of an Event of Default under </w:t>
      </w:r>
      <w:r>
        <w:rPr>
          <w:rFonts w:ascii="Times New Roman" w:hAnsi="Times New Roman"/>
          <w:sz w:val="24"/>
          <w:u w:val="single"/>
        </w:rPr>
        <w:t>Section 8.1(b)</w:t>
      </w:r>
      <w:r>
        <w:rPr>
          <w:rFonts w:ascii="Times New Roman" w:hAnsi="Times New Roman"/>
          <w:sz w:val="24"/>
        </w:rPr>
        <w:t xml:space="preserve">, </w:t>
      </w:r>
      <w:r>
        <w:rPr>
          <w:rFonts w:ascii="Times New Roman" w:hAnsi="Times New Roman"/>
          <w:sz w:val="24"/>
          <w:u w:val="single"/>
        </w:rPr>
        <w:t>(f)</w:t>
      </w:r>
      <w:r>
        <w:rPr>
          <w:rFonts w:ascii="Times New Roman" w:hAnsi="Times New Roman"/>
          <w:sz w:val="24"/>
        </w:rPr>
        <w:t xml:space="preserve"> or </w:t>
      </w:r>
      <w:r>
        <w:rPr>
          <w:rFonts w:ascii="Times New Roman" w:hAnsi="Times New Roman"/>
          <w:sz w:val="24"/>
          <w:u w:val="single"/>
        </w:rPr>
        <w:t>(g)</w:t>
      </w:r>
      <w:r>
        <w:rPr>
          <w:rFonts w:ascii="Times New Roman" w:hAnsi="Times New Roman"/>
          <w:sz w:val="24"/>
        </w:rPr>
        <w:t xml:space="preserve"> hereunder and following a request from the Majority Lenders upon the occurrence of any other Event of Default hereunder, the outstanding principal balance of the Loans shall bear interest at the Default Rate. Such interest shall be payable on demand by the Majority Lenders and shall accrue until the earlier of (i) waiver or cure of the applicable Event of Default, (ii) agreement by the Majority Lenders (or, if applicable to the underlying Event of Default, the Lenders) to rescind the charging of interest at the Default Rate or (iii) payment in full of the Obligations.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Term Rate Contracts</w:t>
      </w:r>
      <w:r>
        <w:rPr>
          <w:rFonts w:ascii="Times New Roman" w:hAnsi="Times New Roman"/>
          <w:sz w:val="24"/>
        </w:rPr>
        <w:t xml:space="preserve">. At no time may the number of outstanding Tenn Rate Advances hereunder exceed ten (10). </w:t>
      </w:r>
    </w:p>
    <w:p>
      <w:pPr>
        <w:pStyle w:val="TextBody"/>
        <w:bidi w:val="0"/>
        <w:spacing w:before="240" w:after="0"/>
        <w:jc w:val="both"/>
        <w:rPr>
          <w:rFonts w:ascii="Times New Roman" w:hAnsi="Times New Roman"/>
          <w:sz w:val="24"/>
        </w:rPr>
      </w:pPr>
      <w:r>
        <w:rPr>
          <w:rFonts w:ascii="Times New Roman" w:hAnsi="Times New Roman"/>
          <w:sz w:val="24"/>
        </w:rPr>
        <w:t>(vi) </w:t>
      </w:r>
      <w:r>
        <w:rPr>
          <w:rFonts w:ascii="Times New Roman" w:hAnsi="Times New Roman"/>
          <w:sz w:val="24"/>
          <w:u w:val="single"/>
        </w:rPr>
        <w:t>Applicable Margin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(a) With respect to any Loans, the Applicable Margin shall be a percentage per annum determined by reference to the Applicable Debt Rating (as such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Applicable Debt Rating is determined pursuant to </w:t>
      </w:r>
      <w:r>
        <w:rPr>
          <w:rFonts w:ascii="Times New Roman" w:hAnsi="Times New Roman"/>
          <w:sz w:val="24"/>
          <w:u w:val="single"/>
        </w:rPr>
        <w:t>Section 2.3(f)(ii))</w:t>
      </w:r>
      <w:r>
        <w:rPr>
          <w:rFonts w:ascii="Times New Roman" w:hAnsi="Times New Roman"/>
          <w:sz w:val="24"/>
        </w:rPr>
        <w:t xml:space="preserve"> in effect on such date as set forth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6"/>
        <w:gridCol w:w="349"/>
        <w:gridCol w:w="2989"/>
        <w:gridCol w:w="349"/>
        <w:gridCol w:w="194"/>
        <w:gridCol w:w="1869"/>
        <w:gridCol w:w="60"/>
        <w:gridCol w:w="349"/>
        <w:gridCol w:w="102"/>
        <w:gridCol w:w="1004"/>
        <w:gridCol w:w="64"/>
      </w:tblGrid>
      <w:tr>
        <w:trPr/>
        <w:tc>
          <w:tcPr>
            <w:tcW w:w="426"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6" w:type="dxa"/>
            <w:tcBorders/>
          </w:tcPr>
          <w:p>
            <w:pPr>
              <w:pStyle w:val="TableContents"/>
              <w:pBdr>
                <w:bottom w:val="single" w:sz="8" w:space="1" w:color="000000"/>
              </w:pBdr>
              <w:bidi w:val="0"/>
              <w:spacing w:before="0" w:after="0"/>
              <w:jc w:val="left"/>
              <w:rPr/>
            </w:pPr>
            <w:r>
              <w:rPr/>
              <w:t> </w:t>
            </w:r>
          </w:p>
        </w:tc>
        <w:tc>
          <w:tcPr>
            <w:tcW w:w="349" w:type="dxa"/>
            <w:tcBorders/>
            <w:vAlign w:val="bottom"/>
          </w:tcPr>
          <w:p>
            <w:pPr>
              <w:pStyle w:val="TableContents"/>
              <w:bidi w:val="0"/>
              <w:spacing w:before="0" w:after="283"/>
              <w:jc w:val="left"/>
              <w:rPr/>
            </w:pPr>
            <w:r>
              <w:rPr/>
              <w:t>  </w:t>
            </w:r>
          </w:p>
        </w:tc>
        <w:tc>
          <w:tcPr>
            <w:tcW w:w="2989" w:type="dxa"/>
            <w:tcBorders/>
          </w:tcPr>
          <w:p>
            <w:pPr>
              <w:pStyle w:val="TableContents"/>
              <w:pBdr>
                <w:bottom w:val="single" w:sz="8" w:space="1" w:color="000000"/>
              </w:pBdr>
              <w:bidi w:val="0"/>
              <w:spacing w:before="0" w:after="0"/>
              <w:jc w:val="center"/>
              <w:rPr>
                <w:rFonts w:ascii="Times New Roman" w:hAnsi="Times New Roman"/>
                <w:sz w:val="24"/>
              </w:rPr>
            </w:pPr>
            <w:r>
              <w:rPr>
                <w:rFonts w:ascii="Times New Roman" w:hAnsi="Times New Roman"/>
                <w:sz w:val="24"/>
              </w:rPr>
              <w:t>Applicable Debt</w:t>
              <w:br/>
              <w:t>Rating</w:t>
            </w:r>
          </w:p>
        </w:tc>
        <w:tc>
          <w:tcPr>
            <w:tcW w:w="349" w:type="dxa"/>
            <w:tcBorders/>
            <w:vAlign w:val="bottom"/>
          </w:tcPr>
          <w:p>
            <w:pPr>
              <w:pStyle w:val="TableContents"/>
              <w:bidi w:val="0"/>
              <w:spacing w:before="0" w:after="283"/>
              <w:jc w:val="left"/>
              <w:rPr/>
            </w:pPr>
            <w:r>
              <w:rPr/>
              <w:t>  </w:t>
            </w:r>
          </w:p>
        </w:tc>
        <w:tc>
          <w:tcPr>
            <w:tcW w:w="2063" w:type="dxa"/>
            <w:gridSpan w:val="2"/>
            <w:tcBorders/>
          </w:tcPr>
          <w:p>
            <w:pPr>
              <w:pStyle w:val="TableContents"/>
              <w:pBdr>
                <w:bottom w:val="single" w:sz="8" w:space="1" w:color="000000"/>
              </w:pBdr>
              <w:bidi w:val="0"/>
              <w:spacing w:before="0" w:after="0"/>
              <w:jc w:val="center"/>
              <w:rPr>
                <w:rFonts w:ascii="Times New Roman" w:hAnsi="Times New Roman"/>
                <w:sz w:val="24"/>
              </w:rPr>
            </w:pPr>
            <w:r>
              <w:rPr>
                <w:rFonts w:ascii="Times New Roman" w:hAnsi="Times New Roman"/>
                <w:sz w:val="24"/>
              </w:rPr>
              <w:t>Term Rate Advance</w:t>
              <w:br/>
              <w:t>and SONIA Rate</w:t>
              <w:br/>
              <w:t>Advance Applicable</w:t>
              <w:br/>
              <w:t>Margin</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06" w:type="dxa"/>
            <w:gridSpan w:val="2"/>
            <w:tcBorders/>
          </w:tcPr>
          <w:p>
            <w:pPr>
              <w:pStyle w:val="TableContents"/>
              <w:pBdr>
                <w:bottom w:val="single" w:sz="8" w:space="1" w:color="000000"/>
              </w:pBdr>
              <w:bidi w:val="0"/>
              <w:spacing w:before="0" w:after="0"/>
              <w:jc w:val="center"/>
              <w:rPr>
                <w:rFonts w:ascii="Times New Roman" w:hAnsi="Times New Roman"/>
                <w:sz w:val="24"/>
              </w:rPr>
            </w:pPr>
            <w:r>
              <w:rPr>
                <w:rFonts w:ascii="Times New Roman" w:hAnsi="Times New Roman"/>
                <w:sz w:val="24"/>
              </w:rPr>
              <w:t>Base Rate</w:t>
              <w:br/>
              <w:t>Advance</w:t>
              <w:br/>
              <w:t>Applicable</w:t>
              <w:br/>
              <w:t>Margin</w:t>
            </w:r>
          </w:p>
        </w:tc>
        <w:tc>
          <w:tcPr>
            <w:tcW w:w="64" w:type="dxa"/>
            <w:tcBorders/>
            <w:vAlign w:val="bottom"/>
          </w:tcPr>
          <w:p>
            <w:pPr>
              <w:pStyle w:val="TableContents"/>
              <w:bidi w:val="0"/>
              <w:spacing w:before="0" w:after="283"/>
              <w:jc w:val="left"/>
              <w:rPr/>
            </w:pPr>
            <w:r>
              <w:rPr/>
              <w:t> </w:t>
            </w:r>
          </w:p>
        </w:tc>
      </w:tr>
      <w:tr>
        <w:trPr/>
        <w:tc>
          <w:tcPr>
            <w:tcW w:w="42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349"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0"/>
              <w:jc w:val="left"/>
              <w:rPr>
                <w:rFonts w:ascii="Times New Roman" w:hAnsi="Times New Roman"/>
                <w:color w:val="0000FF"/>
                <w:sz w:val="24"/>
                <w:u w:val="single"/>
                <w:bdr w:val="double" w:sz="2" w:space="1" w:color="000000"/>
              </w:rPr>
            </w:pPr>
            <w:r>
              <w:rPr>
                <w:rFonts w:ascii="Times New Roman" w:hAnsi="Times New Roman"/>
                <w:color w:val="0000FF"/>
                <w:sz w:val="24"/>
                <w:u w:val="single"/>
                <w:bdr w:val="double" w:sz="2" w:space="1" w:color="000000"/>
              </w:rPr>
              <w:t>&gt;A/A2/A</w:t>
            </w:r>
          </w:p>
        </w:tc>
        <w:tc>
          <w:tcPr>
            <w:tcW w:w="34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0.625%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0.000%</w:t>
            </w:r>
          </w:p>
        </w:tc>
        <w:tc>
          <w:tcPr>
            <w:tcW w:w="64" w:type="dxa"/>
            <w:tcBorders/>
            <w:vAlign w:val="bottom"/>
          </w:tcPr>
          <w:p>
            <w:pPr>
              <w:pStyle w:val="TableContents"/>
              <w:bidi w:val="0"/>
              <w:spacing w:before="0" w:after="283"/>
              <w:jc w:val="left"/>
              <w:rPr/>
            </w:pPr>
            <w:r>
              <w:rPr/>
              <w:t> </w:t>
            </w:r>
          </w:p>
        </w:tc>
      </w:tr>
      <w:tr>
        <w:trPr/>
        <w:tc>
          <w:tcPr>
            <w:tcW w:w="426" w:type="dxa"/>
            <w:tcBorders/>
          </w:tcPr>
          <w:p>
            <w:pPr>
              <w:pStyle w:val="TableContents"/>
              <w:bidi w:val="0"/>
              <w:spacing w:before="0" w:after="283"/>
              <w:jc w:val="left"/>
              <w:rPr/>
            </w:pPr>
            <w:r>
              <w:rPr>
                <w:strike/>
                <w:color w:val="FF0000"/>
              </w:rPr>
              <w:t>A</w:t>
            </w:r>
            <w:r>
              <w:rPr>
                <w:color w:val="0000FF"/>
                <w:u w:val="single"/>
                <w:bdr w:val="double" w:sz="2" w:space="1" w:color="000000"/>
              </w:rPr>
              <w:t>B</w:t>
            </w:r>
            <w:r>
              <w:rPr/>
              <w:t>.</w:t>
            </w:r>
          </w:p>
        </w:tc>
        <w:tc>
          <w:tcPr>
            <w:tcW w:w="349"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0"/>
              <w:jc w:val="left"/>
              <w:rPr>
                <w:rFonts w:ascii="Times New Roman" w:hAnsi="Times New Roman"/>
                <w:sz w:val="24"/>
              </w:rPr>
            </w:pPr>
            <w:r>
              <w:rPr>
                <w:rFonts w:ascii="Times New Roman" w:hAnsi="Times New Roman"/>
                <w:strike/>
                <w:color w:val="FF0000"/>
                <w:sz w:val="24"/>
              </w:rPr>
              <w:t>&gt;</w:t>
            </w:r>
            <w:r>
              <w:rPr>
                <w:rFonts w:ascii="Times New Roman" w:hAnsi="Times New Roman"/>
                <w:sz w:val="24"/>
              </w:rPr>
              <w:t>A-/A3/A-</w:t>
            </w:r>
          </w:p>
        </w:tc>
        <w:tc>
          <w:tcPr>
            <w:tcW w:w="34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0.750%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0.000%</w:t>
            </w:r>
          </w:p>
        </w:tc>
        <w:tc>
          <w:tcPr>
            <w:tcW w:w="64" w:type="dxa"/>
            <w:tcBorders/>
            <w:vAlign w:val="bottom"/>
          </w:tcPr>
          <w:p>
            <w:pPr>
              <w:pStyle w:val="TableContents"/>
              <w:bidi w:val="0"/>
              <w:spacing w:before="0" w:after="283"/>
              <w:jc w:val="left"/>
              <w:rPr/>
            </w:pPr>
            <w:r>
              <w:rPr/>
              <w:t> </w:t>
            </w:r>
          </w:p>
        </w:tc>
      </w:tr>
      <w:tr>
        <w:trPr/>
        <w:tc>
          <w:tcPr>
            <w:tcW w:w="426" w:type="dxa"/>
            <w:tcBorders/>
          </w:tcPr>
          <w:p>
            <w:pPr>
              <w:pStyle w:val="TableContents"/>
              <w:bidi w:val="0"/>
              <w:spacing w:before="0" w:after="283"/>
              <w:jc w:val="left"/>
              <w:rPr/>
            </w:pPr>
            <w:r>
              <w:rPr>
                <w:strike/>
                <w:color w:val="FF0000"/>
              </w:rPr>
              <w:t>B</w:t>
            </w:r>
            <w:r>
              <w:rPr>
                <w:color w:val="0000FF"/>
                <w:u w:val="single"/>
                <w:bdr w:val="double" w:sz="2" w:space="1" w:color="000000"/>
              </w:rPr>
              <w:t>C</w:t>
            </w:r>
            <w:r>
              <w:rPr/>
              <w:t>.</w:t>
            </w:r>
          </w:p>
        </w:tc>
        <w:tc>
          <w:tcPr>
            <w:tcW w:w="349"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0"/>
              <w:jc w:val="left"/>
              <w:rPr>
                <w:rFonts w:ascii="Times New Roman" w:hAnsi="Times New Roman"/>
                <w:sz w:val="24"/>
              </w:rPr>
            </w:pPr>
            <w:r>
              <w:rPr>
                <w:rFonts w:ascii="Times New Roman" w:hAnsi="Times New Roman"/>
                <w:sz w:val="24"/>
              </w:rPr>
              <w:t>BBB+/Baal/BBB+</w:t>
            </w:r>
          </w:p>
        </w:tc>
        <w:tc>
          <w:tcPr>
            <w:tcW w:w="34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0.875%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0.000%</w:t>
            </w:r>
          </w:p>
        </w:tc>
        <w:tc>
          <w:tcPr>
            <w:tcW w:w="64" w:type="dxa"/>
            <w:tcBorders/>
            <w:vAlign w:val="bottom"/>
          </w:tcPr>
          <w:p>
            <w:pPr>
              <w:pStyle w:val="TableContents"/>
              <w:bidi w:val="0"/>
              <w:spacing w:before="0" w:after="283"/>
              <w:jc w:val="left"/>
              <w:rPr/>
            </w:pPr>
            <w:r>
              <w:rPr/>
              <w:t> </w:t>
            </w:r>
          </w:p>
        </w:tc>
      </w:tr>
      <w:tr>
        <w:trPr/>
        <w:tc>
          <w:tcPr>
            <w:tcW w:w="426" w:type="dxa"/>
            <w:tcBorders/>
          </w:tcPr>
          <w:p>
            <w:pPr>
              <w:pStyle w:val="TableContents"/>
              <w:bidi w:val="0"/>
              <w:spacing w:before="0" w:after="283"/>
              <w:jc w:val="left"/>
              <w:rPr/>
            </w:pPr>
            <w:r>
              <w:rPr>
                <w:strike/>
                <w:color w:val="FF0000"/>
              </w:rPr>
              <w:t>C</w:t>
            </w:r>
            <w:r>
              <w:rPr>
                <w:color w:val="0000FF"/>
                <w:u w:val="single"/>
                <w:bdr w:val="double" w:sz="2" w:space="1" w:color="000000"/>
              </w:rPr>
              <w:t>D</w:t>
            </w:r>
            <w:r>
              <w:rPr/>
              <w:t>.</w:t>
            </w:r>
          </w:p>
        </w:tc>
        <w:tc>
          <w:tcPr>
            <w:tcW w:w="349"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0"/>
              <w:jc w:val="left"/>
              <w:rPr>
                <w:rFonts w:ascii="Times New Roman" w:hAnsi="Times New Roman"/>
                <w:sz w:val="24"/>
              </w:rPr>
            </w:pPr>
            <w:r>
              <w:rPr>
                <w:rFonts w:ascii="Times New Roman" w:hAnsi="Times New Roman"/>
                <w:sz w:val="24"/>
              </w:rPr>
              <w:t>BBB/Baa2/BBB</w:t>
            </w:r>
          </w:p>
        </w:tc>
        <w:tc>
          <w:tcPr>
            <w:tcW w:w="34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0.000%</w:t>
            </w:r>
          </w:p>
        </w:tc>
        <w:tc>
          <w:tcPr>
            <w:tcW w:w="64" w:type="dxa"/>
            <w:tcBorders/>
            <w:vAlign w:val="bottom"/>
          </w:tcPr>
          <w:p>
            <w:pPr>
              <w:pStyle w:val="TableContents"/>
              <w:bidi w:val="0"/>
              <w:spacing w:before="0" w:after="283"/>
              <w:jc w:val="left"/>
              <w:rPr/>
            </w:pPr>
            <w:r>
              <w:rPr/>
              <w:t> </w:t>
            </w:r>
          </w:p>
        </w:tc>
      </w:tr>
      <w:tr>
        <w:trPr/>
        <w:tc>
          <w:tcPr>
            <w:tcW w:w="426" w:type="dxa"/>
            <w:tcBorders/>
          </w:tcPr>
          <w:p>
            <w:pPr>
              <w:pStyle w:val="TableContents"/>
              <w:bidi w:val="0"/>
              <w:spacing w:before="0" w:after="283"/>
              <w:jc w:val="left"/>
              <w:rPr/>
            </w:pPr>
            <w:r>
              <w:rPr>
                <w:strike/>
                <w:color w:val="FF0000"/>
              </w:rPr>
              <w:t>D</w:t>
            </w:r>
            <w:r>
              <w:rPr>
                <w:color w:val="0000FF"/>
                <w:u w:val="single"/>
                <w:bdr w:val="double" w:sz="2" w:space="1" w:color="000000"/>
              </w:rPr>
              <w:t>E</w:t>
            </w:r>
            <w:r>
              <w:rPr/>
              <w:t>.</w:t>
            </w:r>
          </w:p>
        </w:tc>
        <w:tc>
          <w:tcPr>
            <w:tcW w:w="349"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0"/>
              <w:jc w:val="left"/>
              <w:rPr>
                <w:rFonts w:ascii="Times New Roman" w:hAnsi="Times New Roman"/>
                <w:sz w:val="24"/>
              </w:rPr>
            </w:pPr>
            <w:r>
              <w:rPr>
                <w:rFonts w:ascii="Times New Roman" w:hAnsi="Times New Roman"/>
                <w:color w:val="0000FF"/>
                <w:sz w:val="24"/>
                <w:u w:val="single"/>
                <w:bdr w:val="double" w:sz="2" w:space="1" w:color="000000"/>
              </w:rPr>
              <w:t>&lt;</w:t>
            </w:r>
            <w:r>
              <w:rPr>
                <w:rFonts w:ascii="Times New Roman" w:hAnsi="Times New Roman"/>
                <w:sz w:val="24"/>
              </w:rPr>
              <w:t>BBB-/Baa3/BBB-</w:t>
            </w:r>
          </w:p>
        </w:tc>
        <w:tc>
          <w:tcPr>
            <w:tcW w:w="34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1.125%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0.125%</w:t>
            </w:r>
          </w:p>
        </w:tc>
        <w:tc>
          <w:tcPr>
            <w:tcW w:w="64" w:type="dxa"/>
            <w:tcBorders/>
            <w:vAlign w:val="bottom"/>
          </w:tcPr>
          <w:p>
            <w:pPr>
              <w:pStyle w:val="TableContents"/>
              <w:bidi w:val="0"/>
              <w:spacing w:before="0" w:after="283"/>
              <w:jc w:val="left"/>
              <w:rPr/>
            </w:pPr>
            <w:r>
              <w:rPr/>
              <w:t> </w:t>
            </w:r>
          </w:p>
        </w:tc>
      </w:tr>
      <w:tr>
        <w:trPr/>
        <w:tc>
          <w:tcPr>
            <w:tcW w:w="426" w:type="dxa"/>
            <w:tcBorders/>
          </w:tcPr>
          <w:p>
            <w:pPr>
              <w:pStyle w:val="TableContents"/>
              <w:bidi w:val="0"/>
              <w:spacing w:before="0" w:after="283"/>
              <w:jc w:val="left"/>
              <w:rPr>
                <w:strike/>
                <w:color w:val="FF0000"/>
              </w:rPr>
            </w:pPr>
            <w:r>
              <w:rPr>
                <w:strike/>
                <w:color w:val="FF0000"/>
              </w:rPr>
              <w:t>E.</w:t>
            </w:r>
          </w:p>
        </w:tc>
        <w:tc>
          <w:tcPr>
            <w:tcW w:w="349" w:type="dxa"/>
            <w:tcBorders/>
            <w:vAlign w:val="bottom"/>
          </w:tcPr>
          <w:p>
            <w:pPr>
              <w:pStyle w:val="TableContents"/>
              <w:bidi w:val="0"/>
              <w:spacing w:before="0" w:after="283"/>
              <w:jc w:val="left"/>
              <w:rPr/>
            </w:pPr>
            <w:r>
              <w:rPr/>
              <w:t>  </w:t>
            </w:r>
          </w:p>
        </w:tc>
        <w:tc>
          <w:tcPr>
            <w:tcW w:w="2989" w:type="dxa"/>
            <w:tcBorders/>
          </w:tcPr>
          <w:p>
            <w:pPr>
              <w:pStyle w:val="TableContents"/>
              <w:bidi w:val="0"/>
              <w:spacing w:before="0" w:after="0"/>
              <w:jc w:val="left"/>
              <w:rPr>
                <w:rFonts w:ascii="Times New Roman" w:hAnsi="Times New Roman"/>
                <w:strike/>
                <w:color w:val="FF0000"/>
                <w:sz w:val="24"/>
              </w:rPr>
            </w:pPr>
            <w:r>
              <w:rPr>
                <w:rFonts w:ascii="Times New Roman" w:hAnsi="Times New Roman"/>
                <w:strike/>
                <w:color w:val="FF0000"/>
                <w:sz w:val="24"/>
              </w:rPr>
              <w:t>&lt;BB+/Ba1/BB+</w:t>
            </w:r>
          </w:p>
        </w:tc>
        <w:tc>
          <w:tcPr>
            <w:tcW w:w="34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strike/>
                <w:color w:val="FF0000"/>
              </w:rPr>
            </w:pPr>
            <w:r>
              <w:rPr>
                <w:strike/>
                <w:color w:val="FF0000"/>
              </w:rPr>
              <w:t>1.375%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strike/>
                <w:color w:val="FF0000"/>
              </w:rPr>
            </w:pPr>
            <w:r>
              <w:rPr>
                <w:strike/>
                <w:color w:val="FF0000"/>
              </w:rPr>
              <w:t>0.375%</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Changes in Applicable Margin: Determination of Debt Rating</w:t>
      </w:r>
      <w:r>
        <w:rPr>
          <w:rFonts w:ascii="Times New Roman" w:hAnsi="Times New Roman"/>
          <w:sz w:val="24"/>
        </w:rPr>
        <w:t xml:space="preserve">. Changes to the Applicable Margin shall be effective as of the next Business Day after the day on which the Debt Rating changes. Any change to any Debt Rating established by S&amp;P, Moody’s or Fitch shall be effective as of the date on which such change is first announced publicly by the applicable rating agency making such change and on and after that day the changed Debt Rating shall be the Debt Rating of such rating agency for purposes of this Agreement. If none of S&amp;P, Moody’s or Fitch shall have in effect a Debt Rating, the Applicable Margin shall be set in accordance with part E of the table set forth in </w:t>
      </w:r>
      <w:r>
        <w:rPr>
          <w:rFonts w:ascii="Times New Roman" w:hAnsi="Times New Roman"/>
          <w:sz w:val="24"/>
          <w:u w:val="single"/>
        </w:rPr>
        <w:t>Section 2.3(f)(i).</w:t>
      </w:r>
      <w:r>
        <w:rPr>
          <w:rFonts w:ascii="Times New Roman" w:hAnsi="Times New Roman"/>
          <w:sz w:val="24"/>
        </w:rPr>
        <w:t xml:space="preserve"> If S&amp;P, Moody’s or Fitch shall change the basis on which ratings are established, each reference to the Debt Rating announced by S&amp;P, Moody’s or Fitch, as the case may be, shall refer to the then equivalent rating by S&amp;P, Moody’s or Fitch, as the case may be. </w:t>
      </w:r>
    </w:p>
    <w:p>
      <w:pPr>
        <w:pStyle w:val="TextBody"/>
        <w:bidi w:val="0"/>
        <w:spacing w:before="240" w:after="0"/>
        <w:jc w:val="both"/>
        <w:rPr>
          <w:rFonts w:ascii="Times New Roman" w:hAnsi="Times New Roman"/>
          <w:sz w:val="24"/>
        </w:rPr>
      </w:pPr>
      <w:r>
        <w:rPr>
          <w:rFonts w:ascii="Times New Roman" w:hAnsi="Times New Roman"/>
          <w:sz w:val="24"/>
        </w:rPr>
        <w:t>(vii) </w:t>
      </w:r>
      <w:r>
        <w:rPr>
          <w:rFonts w:ascii="Times New Roman" w:hAnsi="Times New Roman"/>
          <w:sz w:val="24"/>
          <w:u w:val="single"/>
        </w:rPr>
        <w:t>Initial Benchmark Conforming Changes</w:t>
      </w:r>
      <w:r>
        <w:rPr>
          <w:rFonts w:ascii="Times New Roman" w:hAnsi="Times New Roman"/>
          <w:sz w:val="24"/>
        </w:rPr>
        <w:t xml:space="preserve">.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Company and the Lenders of the effectiveness of any Conforming Changes in connection with the use or administration of any Benchmark. </w:t>
      </w:r>
    </w:p>
    <w:p>
      <w:pPr>
        <w:pStyle w:val="TextBody"/>
        <w:bidi w:val="0"/>
        <w:spacing w:before="240" w:after="0"/>
        <w:jc w:val="both"/>
        <w:rPr>
          <w:rFonts w:ascii="Times New Roman" w:hAnsi="Times New Roman"/>
          <w:sz w:val="24"/>
        </w:rPr>
      </w:pPr>
      <w:r>
        <w:rPr>
          <w:rFonts w:ascii="Times New Roman" w:hAnsi="Times New Roman"/>
          <w:sz w:val="24"/>
        </w:rPr>
        <w:t>Section 2.4 </w:t>
      </w:r>
      <w:r>
        <w:rPr>
          <w:rFonts w:ascii="Times New Roman" w:hAnsi="Times New Roman"/>
          <w:sz w:val="24"/>
          <w:u w:val="single"/>
        </w:rPr>
        <w:t>Commitment and Letter of Credit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Commitment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(a) Subject to Section 2.16(a)(iii), the Company agrees to pay to the Administrative Agent for the account of each of the Lenders having a Revolving Loan Commitment in accordance with such Lender’s applicable Commitment Ratio, a commitment fee, in Dollars, on the unused portion of the Available Amount of the Revolving Loan Commitment (and any portion of the Revolving Loan Commitment of a Lender corresponding to the Dollar Equivalent amount of an outstanding Letter of Credit (whether drawn or not) shall be deemed used) for each day from the Effective Date through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and including the Maturity Date at the applicable rate set forth below, based upon the Applicable Debt Rating (as such Applicable Debt Rating is determined pursuant to Section 2.4(a)(ii)) in effect on such date as set forth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6"/>
        <w:gridCol w:w="241"/>
        <w:gridCol w:w="4297"/>
        <w:gridCol w:w="241"/>
        <w:gridCol w:w="1734"/>
      </w:tblGrid>
      <w:tr>
        <w:trPr/>
        <w:tc>
          <w:tcPr>
            <w:tcW w:w="42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4297"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4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4297" w:type="dxa"/>
            <w:tcBorders/>
            <w:vAlign w:val="bottom"/>
          </w:tcPr>
          <w:p>
            <w:pPr>
              <w:pStyle w:val="TableContents"/>
              <w:pBdr>
                <w:bottom w:val="single" w:sz="8" w:space="1" w:color="000000"/>
              </w:pBdr>
              <w:bidi w:val="0"/>
              <w:spacing w:before="0" w:after="0"/>
              <w:jc w:val="center"/>
              <w:rPr>
                <w:rFonts w:ascii="Times New Roman" w:hAnsi="Times New Roman"/>
                <w:sz w:val="24"/>
              </w:rPr>
            </w:pPr>
            <w:r>
              <w:rPr>
                <w:rFonts w:ascii="Times New Roman" w:hAnsi="Times New Roman"/>
                <w:sz w:val="24"/>
              </w:rPr>
              <w:t>Applicable Debt Rating</w:t>
            </w:r>
          </w:p>
        </w:tc>
        <w:tc>
          <w:tcPr>
            <w:tcW w:w="241" w:type="dxa"/>
            <w:tcBorders/>
            <w:vAlign w:val="bottom"/>
          </w:tcPr>
          <w:p>
            <w:pPr>
              <w:pStyle w:val="TableContents"/>
              <w:bidi w:val="0"/>
              <w:spacing w:before="0" w:after="283"/>
              <w:jc w:val="left"/>
              <w:rPr/>
            </w:pPr>
            <w:r>
              <w:rPr/>
              <w:t>  </w:t>
            </w:r>
          </w:p>
        </w:tc>
        <w:tc>
          <w:tcPr>
            <w:tcW w:w="1734" w:type="dxa"/>
            <w:tcBorders/>
            <w:vAlign w:val="bottom"/>
          </w:tcPr>
          <w:p>
            <w:pPr>
              <w:pStyle w:val="TableContents"/>
              <w:pBdr>
                <w:bottom w:val="single" w:sz="8" w:space="1" w:color="000000"/>
              </w:pBdr>
              <w:bidi w:val="0"/>
              <w:spacing w:before="0" w:after="0"/>
              <w:jc w:val="center"/>
              <w:rPr>
                <w:rFonts w:ascii="Times New Roman" w:hAnsi="Times New Roman"/>
                <w:sz w:val="24"/>
              </w:rPr>
            </w:pPr>
            <w:r>
              <w:rPr>
                <w:rFonts w:ascii="Times New Roman" w:hAnsi="Times New Roman"/>
                <w:sz w:val="24"/>
              </w:rPr>
              <w:t>Rate per Annum</w:t>
            </w:r>
          </w:p>
        </w:tc>
      </w:tr>
      <w:tr>
        <w:trPr/>
        <w:tc>
          <w:tcPr>
            <w:tcW w:w="42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241" w:type="dxa"/>
            <w:tcBorders/>
            <w:vAlign w:val="bottom"/>
          </w:tcPr>
          <w:p>
            <w:pPr>
              <w:pStyle w:val="TableContents"/>
              <w:bidi w:val="0"/>
              <w:spacing w:before="0" w:after="283"/>
              <w:jc w:val="left"/>
              <w:rPr/>
            </w:pPr>
            <w:r>
              <w:rPr/>
              <w:t>  </w:t>
            </w:r>
          </w:p>
        </w:tc>
        <w:tc>
          <w:tcPr>
            <w:tcW w:w="4297" w:type="dxa"/>
            <w:tcBorders/>
          </w:tcPr>
          <w:p>
            <w:pPr>
              <w:pStyle w:val="TableContents"/>
              <w:bidi w:val="0"/>
              <w:spacing w:before="0" w:after="0"/>
              <w:jc w:val="left"/>
              <w:rPr>
                <w:rFonts w:ascii="Times New Roman" w:hAnsi="Times New Roman"/>
                <w:color w:val="0000FF"/>
                <w:sz w:val="24"/>
                <w:u w:val="single"/>
                <w:bdr w:val="double" w:sz="2" w:space="1" w:color="000000"/>
              </w:rPr>
            </w:pPr>
            <w:r>
              <w:rPr>
                <w:rFonts w:ascii="Times New Roman" w:hAnsi="Times New Roman"/>
                <w:color w:val="0000FF"/>
                <w:sz w:val="24"/>
                <w:u w:val="single"/>
                <w:bdr w:val="double" w:sz="2" w:space="1" w:color="000000"/>
              </w:rPr>
              <w:t>&gt;A/A2/A</w:t>
            </w:r>
          </w:p>
        </w:tc>
        <w:tc>
          <w:tcPr>
            <w:tcW w:w="24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center"/>
              <w:rPr>
                <w:color w:val="0000FF"/>
                <w:u w:val="single"/>
                <w:bdr w:val="double" w:sz="2" w:space="1" w:color="000000"/>
              </w:rPr>
            </w:pPr>
            <w:r>
              <w:rPr>
                <w:color w:val="0000FF"/>
                <w:u w:val="single"/>
                <w:bdr w:val="double" w:sz="2" w:space="1" w:color="000000"/>
              </w:rPr>
              <w:t>0.060%</w:t>
            </w:r>
          </w:p>
        </w:tc>
      </w:tr>
      <w:tr>
        <w:trPr/>
        <w:tc>
          <w:tcPr>
            <w:tcW w:w="426" w:type="dxa"/>
            <w:tcBorders/>
          </w:tcPr>
          <w:p>
            <w:pPr>
              <w:pStyle w:val="TableContents"/>
              <w:bidi w:val="0"/>
              <w:spacing w:before="0" w:after="283"/>
              <w:jc w:val="left"/>
              <w:rPr/>
            </w:pPr>
            <w:r>
              <w:rPr>
                <w:strike/>
                <w:color w:val="FF0000"/>
              </w:rPr>
              <w:t>A</w:t>
            </w:r>
            <w:r>
              <w:rPr>
                <w:color w:val="0000FF"/>
                <w:u w:val="single"/>
                <w:bdr w:val="double" w:sz="2" w:space="1" w:color="000000"/>
              </w:rPr>
              <w:t>B</w:t>
            </w:r>
            <w:r>
              <w:rPr/>
              <w:t>.</w:t>
            </w:r>
          </w:p>
        </w:tc>
        <w:tc>
          <w:tcPr>
            <w:tcW w:w="241" w:type="dxa"/>
            <w:tcBorders/>
            <w:vAlign w:val="bottom"/>
          </w:tcPr>
          <w:p>
            <w:pPr>
              <w:pStyle w:val="TableContents"/>
              <w:bidi w:val="0"/>
              <w:spacing w:before="0" w:after="283"/>
              <w:jc w:val="left"/>
              <w:rPr/>
            </w:pPr>
            <w:r>
              <w:rPr/>
              <w:t>  </w:t>
            </w:r>
          </w:p>
        </w:tc>
        <w:tc>
          <w:tcPr>
            <w:tcW w:w="4297" w:type="dxa"/>
            <w:tcBorders/>
          </w:tcPr>
          <w:p>
            <w:pPr>
              <w:pStyle w:val="TableContents"/>
              <w:bidi w:val="0"/>
              <w:spacing w:before="0" w:after="0"/>
              <w:jc w:val="left"/>
              <w:rPr>
                <w:rFonts w:ascii="Times New Roman" w:hAnsi="Times New Roman"/>
                <w:sz w:val="24"/>
              </w:rPr>
            </w:pPr>
            <w:r>
              <w:rPr>
                <w:rFonts w:ascii="Times New Roman" w:hAnsi="Times New Roman"/>
                <w:sz w:val="24"/>
                <w:u w:val="single"/>
              </w:rPr>
              <w:t>&gt;</w:t>
            </w:r>
            <w:r>
              <w:rPr>
                <w:rFonts w:ascii="Times New Roman" w:hAnsi="Times New Roman"/>
                <w:sz w:val="24"/>
              </w:rPr>
              <w:t>A-/A3/A-</w:t>
            </w:r>
          </w:p>
        </w:tc>
        <w:tc>
          <w:tcPr>
            <w:tcW w:w="24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center"/>
              <w:rPr/>
            </w:pPr>
            <w:r>
              <w:rPr>
                <w:strike/>
                <w:color w:val="FF0000"/>
              </w:rPr>
              <w:t>0.0800</w:t>
            </w:r>
            <w:r>
              <w:rPr>
                <w:color w:val="0000FF"/>
                <w:u w:val="single"/>
                <w:bdr w:val="double" w:sz="2" w:space="1" w:color="000000"/>
              </w:rPr>
              <w:t>0.080</w:t>
            </w:r>
            <w:r>
              <w:rPr/>
              <w:t>%</w:t>
            </w:r>
          </w:p>
        </w:tc>
      </w:tr>
      <w:tr>
        <w:trPr/>
        <w:tc>
          <w:tcPr>
            <w:tcW w:w="426" w:type="dxa"/>
            <w:tcBorders/>
          </w:tcPr>
          <w:p>
            <w:pPr>
              <w:pStyle w:val="TableContents"/>
              <w:bidi w:val="0"/>
              <w:spacing w:before="0" w:after="283"/>
              <w:jc w:val="left"/>
              <w:rPr/>
            </w:pPr>
            <w:r>
              <w:rPr/>
              <w:t>BC.</w:t>
            </w:r>
          </w:p>
        </w:tc>
        <w:tc>
          <w:tcPr>
            <w:tcW w:w="241" w:type="dxa"/>
            <w:tcBorders/>
            <w:vAlign w:val="bottom"/>
          </w:tcPr>
          <w:p>
            <w:pPr>
              <w:pStyle w:val="TableContents"/>
              <w:bidi w:val="0"/>
              <w:spacing w:before="0" w:after="283"/>
              <w:jc w:val="left"/>
              <w:rPr/>
            </w:pPr>
            <w:r>
              <w:rPr/>
              <w:t>  </w:t>
            </w:r>
          </w:p>
        </w:tc>
        <w:tc>
          <w:tcPr>
            <w:tcW w:w="4297" w:type="dxa"/>
            <w:tcBorders/>
          </w:tcPr>
          <w:p>
            <w:pPr>
              <w:pStyle w:val="TableContents"/>
              <w:bidi w:val="0"/>
              <w:spacing w:before="0" w:after="0"/>
              <w:jc w:val="left"/>
              <w:rPr>
                <w:rFonts w:ascii="Times New Roman" w:hAnsi="Times New Roman"/>
                <w:sz w:val="24"/>
              </w:rPr>
            </w:pPr>
            <w:r>
              <w:rPr>
                <w:rFonts w:ascii="Times New Roman" w:hAnsi="Times New Roman"/>
                <w:sz w:val="24"/>
              </w:rPr>
              <w:t>BBB+/Baa1/BBB+</w:t>
            </w:r>
          </w:p>
        </w:tc>
        <w:tc>
          <w:tcPr>
            <w:tcW w:w="24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center"/>
              <w:rPr/>
            </w:pPr>
            <w:r>
              <w:rPr>
                <w:strike/>
                <w:color w:val="FF0000"/>
              </w:rPr>
              <w:t>0.1000</w:t>
            </w:r>
            <w:r>
              <w:rPr>
                <w:color w:val="0000FF"/>
                <w:u w:val="single"/>
                <w:bdr w:val="double" w:sz="2" w:space="1" w:color="000000"/>
              </w:rPr>
              <w:t>0.100</w:t>
            </w:r>
            <w:r>
              <w:rPr/>
              <w:t>%</w:t>
            </w:r>
          </w:p>
        </w:tc>
      </w:tr>
      <w:tr>
        <w:trPr/>
        <w:tc>
          <w:tcPr>
            <w:tcW w:w="426" w:type="dxa"/>
            <w:tcBorders/>
          </w:tcPr>
          <w:p>
            <w:pPr>
              <w:pStyle w:val="TableContents"/>
              <w:bidi w:val="0"/>
              <w:spacing w:before="0" w:after="283"/>
              <w:jc w:val="left"/>
              <w:rPr/>
            </w:pPr>
            <w:r>
              <w:rPr/>
              <w:t>CD.</w:t>
            </w:r>
          </w:p>
        </w:tc>
        <w:tc>
          <w:tcPr>
            <w:tcW w:w="241" w:type="dxa"/>
            <w:tcBorders/>
            <w:vAlign w:val="bottom"/>
          </w:tcPr>
          <w:p>
            <w:pPr>
              <w:pStyle w:val="TableContents"/>
              <w:bidi w:val="0"/>
              <w:spacing w:before="0" w:after="283"/>
              <w:jc w:val="left"/>
              <w:rPr/>
            </w:pPr>
            <w:r>
              <w:rPr/>
              <w:t>  </w:t>
            </w:r>
          </w:p>
        </w:tc>
        <w:tc>
          <w:tcPr>
            <w:tcW w:w="4297" w:type="dxa"/>
            <w:tcBorders/>
          </w:tcPr>
          <w:p>
            <w:pPr>
              <w:pStyle w:val="TableContents"/>
              <w:bidi w:val="0"/>
              <w:spacing w:before="0" w:after="0"/>
              <w:jc w:val="left"/>
              <w:rPr>
                <w:rFonts w:ascii="Times New Roman" w:hAnsi="Times New Roman"/>
                <w:sz w:val="24"/>
              </w:rPr>
            </w:pPr>
            <w:r>
              <w:rPr>
                <w:rFonts w:ascii="Times New Roman" w:hAnsi="Times New Roman"/>
                <w:sz w:val="24"/>
              </w:rPr>
              <w:t>BBB/Baa2/BBB</w:t>
            </w:r>
          </w:p>
        </w:tc>
        <w:tc>
          <w:tcPr>
            <w:tcW w:w="24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center"/>
              <w:rPr/>
            </w:pPr>
            <w:r>
              <w:rPr>
                <w:strike/>
                <w:color w:val="FF0000"/>
              </w:rPr>
              <w:t>0.1100</w:t>
            </w:r>
            <w:r>
              <w:rPr>
                <w:color w:val="0000FF"/>
                <w:u w:val="single"/>
                <w:bdr w:val="double" w:sz="2" w:space="1" w:color="000000"/>
              </w:rPr>
              <w:t>0.110</w:t>
            </w:r>
            <w:r>
              <w:rPr/>
              <w:t>%</w:t>
            </w:r>
          </w:p>
        </w:tc>
      </w:tr>
      <w:tr>
        <w:trPr/>
        <w:tc>
          <w:tcPr>
            <w:tcW w:w="426" w:type="dxa"/>
            <w:tcBorders/>
          </w:tcPr>
          <w:p>
            <w:pPr>
              <w:pStyle w:val="TableContents"/>
              <w:bidi w:val="0"/>
              <w:spacing w:before="0" w:after="283"/>
              <w:jc w:val="left"/>
              <w:rPr/>
            </w:pPr>
            <w:r>
              <w:rPr/>
              <w:t>DE.</w:t>
            </w:r>
          </w:p>
        </w:tc>
        <w:tc>
          <w:tcPr>
            <w:tcW w:w="241" w:type="dxa"/>
            <w:tcBorders/>
            <w:vAlign w:val="bottom"/>
          </w:tcPr>
          <w:p>
            <w:pPr>
              <w:pStyle w:val="TableContents"/>
              <w:bidi w:val="0"/>
              <w:spacing w:before="0" w:after="283"/>
              <w:jc w:val="left"/>
              <w:rPr/>
            </w:pPr>
            <w:r>
              <w:rPr/>
              <w:t>  </w:t>
            </w:r>
          </w:p>
        </w:tc>
        <w:tc>
          <w:tcPr>
            <w:tcW w:w="4297" w:type="dxa"/>
            <w:tcBorders/>
          </w:tcPr>
          <w:p>
            <w:pPr>
              <w:pStyle w:val="TableContents"/>
              <w:bidi w:val="0"/>
              <w:spacing w:before="0" w:after="0"/>
              <w:jc w:val="left"/>
              <w:rPr>
                <w:rFonts w:ascii="Times New Roman" w:hAnsi="Times New Roman"/>
                <w:sz w:val="24"/>
              </w:rPr>
            </w:pPr>
            <w:r>
              <w:rPr>
                <w:rFonts w:ascii="Times New Roman" w:hAnsi="Times New Roman"/>
                <w:color w:val="0000FF"/>
                <w:sz w:val="24"/>
                <w:u w:val="single"/>
                <w:bdr w:val="double" w:sz="2" w:space="1" w:color="000000"/>
              </w:rPr>
              <w:t>&lt;</w:t>
            </w:r>
            <w:r>
              <w:rPr>
                <w:rFonts w:ascii="Times New Roman" w:hAnsi="Times New Roman"/>
                <w:sz w:val="24"/>
              </w:rPr>
              <w:t>BBB-/Baa3/BBB-</w:t>
            </w:r>
          </w:p>
        </w:tc>
        <w:tc>
          <w:tcPr>
            <w:tcW w:w="24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center"/>
              <w:rPr/>
            </w:pPr>
            <w:r>
              <w:rPr>
                <w:strike/>
                <w:color w:val="FF0000"/>
              </w:rPr>
              <w:t>0.1500</w:t>
            </w:r>
            <w:r>
              <w:rPr>
                <w:color w:val="0000FF"/>
                <w:u w:val="single"/>
                <w:bdr w:val="double" w:sz="2" w:space="1" w:color="000000"/>
              </w:rPr>
              <w:t>0.150</w:t>
            </w:r>
            <w:r>
              <w:rPr/>
              <w:t>%</w:t>
            </w:r>
          </w:p>
        </w:tc>
      </w:tr>
      <w:tr>
        <w:trPr/>
        <w:tc>
          <w:tcPr>
            <w:tcW w:w="426" w:type="dxa"/>
            <w:tcBorders/>
          </w:tcPr>
          <w:p>
            <w:pPr>
              <w:pStyle w:val="TableContents"/>
              <w:bidi w:val="0"/>
              <w:spacing w:before="0" w:after="283"/>
              <w:jc w:val="left"/>
              <w:rPr>
                <w:strike/>
                <w:color w:val="FF0000"/>
              </w:rPr>
            </w:pPr>
            <w:r>
              <w:rPr>
                <w:strike/>
                <w:color w:val="FF0000"/>
              </w:rPr>
              <w:t>E.</w:t>
            </w:r>
          </w:p>
        </w:tc>
        <w:tc>
          <w:tcPr>
            <w:tcW w:w="241" w:type="dxa"/>
            <w:tcBorders/>
            <w:vAlign w:val="bottom"/>
          </w:tcPr>
          <w:p>
            <w:pPr>
              <w:pStyle w:val="TableContents"/>
              <w:bidi w:val="0"/>
              <w:spacing w:before="0" w:after="283"/>
              <w:jc w:val="left"/>
              <w:rPr/>
            </w:pPr>
            <w:r>
              <w:rPr/>
              <w:t>  </w:t>
            </w:r>
          </w:p>
        </w:tc>
        <w:tc>
          <w:tcPr>
            <w:tcW w:w="4297" w:type="dxa"/>
            <w:tcBorders/>
          </w:tcPr>
          <w:p>
            <w:pPr>
              <w:pStyle w:val="TableContents"/>
              <w:bidi w:val="0"/>
              <w:spacing w:before="0" w:after="0"/>
              <w:jc w:val="left"/>
              <w:rPr>
                <w:rFonts w:ascii="Times New Roman" w:hAnsi="Times New Roman"/>
                <w:strike/>
                <w:color w:val="FF0000"/>
                <w:sz w:val="24"/>
              </w:rPr>
            </w:pPr>
            <w:r>
              <w:rPr>
                <w:rFonts w:ascii="Times New Roman" w:hAnsi="Times New Roman"/>
                <w:strike/>
                <w:color w:val="FF0000"/>
                <w:sz w:val="24"/>
              </w:rPr>
              <w:t>&lt;BB+/Ba1/BB+</w:t>
            </w:r>
          </w:p>
        </w:tc>
        <w:tc>
          <w:tcPr>
            <w:tcW w:w="241"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center"/>
              <w:rPr>
                <w:strike/>
                <w:color w:val="FF0000"/>
              </w:rPr>
            </w:pPr>
            <w:r>
              <w:rPr>
                <w:strike/>
                <w:color w:val="FF0000"/>
              </w:rPr>
              <w:t>0.2000%</w:t>
            </w:r>
          </w:p>
        </w:tc>
      </w:tr>
    </w:tbl>
    <w:p>
      <w:pPr>
        <w:pStyle w:val="TextBody"/>
        <w:bidi w:val="0"/>
        <w:spacing w:before="240" w:after="0"/>
        <w:jc w:val="both"/>
        <w:rPr>
          <w:rFonts w:ascii="Times New Roman" w:hAnsi="Times New Roman"/>
          <w:sz w:val="24"/>
        </w:rPr>
      </w:pPr>
      <w:r>
        <w:rPr>
          <w:rFonts w:ascii="Times New Roman" w:hAnsi="Times New Roman"/>
          <w:sz w:val="24"/>
        </w:rPr>
        <w:t xml:space="preserve">Such commitment fee shall be computed on the basis of a year of 365/366 days for the actual number of days elapsed, shall be payable quarterly in arrears on the third Business Day after the end of each fiscal quarter commencing December 31, 2021, and shall be fully earned when due and non-refundable when paid. A final payment of any commitment fee then payable with respect to the Revolving Loan Commitment shall be due and payable on the Maturity Date. For the avoidance of doubt, the Outstanding Amount of Swingline Loans shall not be counted towards or considered usage of the Revolving Loan Commitment for purposes of calculating the commitment fee.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Changes in Commitment Fee; Determination of Debt Rating</w:t>
      </w:r>
      <w:r>
        <w:rPr>
          <w:rFonts w:ascii="Times New Roman" w:hAnsi="Times New Roman"/>
          <w:sz w:val="24"/>
        </w:rPr>
        <w:t xml:space="preserve">. Changes to the commitment fee shall be effective as of the next Business Day after the day on which the Debt Rating changes. Any change to any Debt Rating established by S&amp;P, Moody’s or Fitch shall be effective as of the date on which such change is first announced publicly by the applicable rating agency making such change and on and after that day the changed Debt Rating for such rating agency shall be the Debt Rating of such rating agency for purposes of this Agreement. If none of S&amp;P, Moody’s or Fitch shall have in effect a Debt Rating, the commitment fee shall be set in accordance with part E of the table set forth in Section 2.4(a)(i). If S&amp;P, Moody’s or Fitch shall change the basis on which ratings are established, each reference to the Debt Rating announced by S&amp;P, Moody’s or Fitch, as the case may be, shall refer to the then equivalent rating by S&amp;P, Moody’s or Fitch, as the case may be.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Letter of Credit 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(a) The Company agrees to pay directly to the applicable Issuing Bank for its own account a fronting fee, in Dollars, with respect to each Letter of Credit issued by such Issuing Bank from the date of issuance through and including the expiration date of each such Letter of Credit at a rate agreed in writing between the Company and such Issuing Bank, which fee shall be computed on the daily amount available to be drawn under such Letter of Credit on the basis of a year of 365/366 days for the actual number of days elapsed, shall be payable quarterly in arrears on the third Business Day after the end of each fiscal quarter commencing December 31, 2021, on the Letter of Credit Expiration Date and thereafter on demand (</w:t>
      </w:r>
      <w:r>
        <w:rPr>
          <w:rFonts w:ascii="Times New Roman" w:hAnsi="Times New Roman"/>
          <w:sz w:val="24"/>
          <w:u w:val="single"/>
        </w:rPr>
        <w:t>provided</w:t>
      </w:r>
      <w:r>
        <w:rPr>
          <w:rFonts w:ascii="Times New Roman" w:hAnsi="Times New Roman"/>
          <w:sz w:val="24"/>
        </w:rPr>
        <w:t xml:space="preserve">, that if such day is not a Business Day, such Letter of Credit fee shall be payable on the next Business Day), and shall be fully earned when due and non-refundable when paid. For purposes of computing the daily amount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available to be drawn under any Letter of Credit, the amount of such Letter of Credit shall be determined in accordance with </w:t>
      </w:r>
      <w:r>
        <w:rPr>
          <w:rFonts w:ascii="Times New Roman" w:hAnsi="Times New Roman"/>
          <w:sz w:val="24"/>
          <w:u w:val="single"/>
        </w:rPr>
        <w:t>Section 1.5</w:t>
      </w:r>
      <w:r>
        <w:rPr>
          <w:rFonts w:ascii="Times New Roman" w:hAnsi="Times New Roman"/>
          <w:sz w:val="24"/>
        </w:rPr>
        <w:t xml:space="preserve">. In addition, the Company shall pay directly to the applicable Issuing Bank for its own account the customary issuance, presentation, amendment and other processing fees, and other standard costs and charges, of such Issuing Bank relating to letters of credit as from time to time in effect. Such customary fees and standard costs and charges are due and payable on demand and are nonrefundable. </w:t>
      </w:r>
    </w:p>
    <w:p>
      <w:pPr>
        <w:pStyle w:val="TextBody"/>
        <w:bidi w:val="0"/>
        <w:spacing w:before="240" w:after="0"/>
        <w:jc w:val="both"/>
        <w:rPr>
          <w:rFonts w:ascii="Times New Roman" w:hAnsi="Times New Roman"/>
          <w:sz w:val="24"/>
        </w:rPr>
      </w:pPr>
      <w:r>
        <w:rPr>
          <w:rFonts w:ascii="Times New Roman" w:hAnsi="Times New Roman"/>
          <w:sz w:val="24"/>
        </w:rPr>
        <w:t>(b) The Company agrees to pay to the Administrative Agent on behalf of the Lenders having a Revolving Loan Commitment in accordance with their respective Commitment Ratios for the Revolving Loans (and the Administrative Agent shall promptly pay to the Lenders having a Revolving Loan Commitment), a fee (the “</w:t>
      </w:r>
      <w:r>
        <w:rPr>
          <w:rFonts w:ascii="Times New Roman" w:hAnsi="Times New Roman"/>
          <w:sz w:val="24"/>
          <w:u w:val="single"/>
        </w:rPr>
        <w:t>Letter of Credit Fee</w:t>
      </w:r>
      <w:r>
        <w:rPr>
          <w:rFonts w:ascii="Times New Roman" w:hAnsi="Times New Roman"/>
          <w:sz w:val="24"/>
        </w:rPr>
        <w:t xml:space="preserve">”), in Dollars, on the stated amount (reduced by the amount of any draws) of any outstanding Letters of Credit for each day from the date of issuance thereof through the expiration date for each such Letter of Credit at a rate equal to the Applicable Margin for Term Rate Advances under the Revolving Loan Commitments;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(x) any Letter of Credit Fees otherwise payable for the account of a Defaulting Lender with respect to any Letter of Credit as to which such Defaulting Lender or the Company has not provided Cash Collateral reasonably satisfactory to the Issuing Bank pursuant to Section</w:t>
      </w:r>
      <w:r>
        <w:rPr>
          <w:rFonts w:ascii="Times New Roman" w:hAnsi="Times New Roman"/>
          <w:sz w:val="24"/>
          <w:u w:val="single"/>
        </w:rPr>
        <w:t> 2.15(a)</w:t>
      </w:r>
      <w:r>
        <w:rPr>
          <w:rFonts w:ascii="Times New Roman" w:hAnsi="Times New Roman"/>
          <w:sz w:val="24"/>
        </w:rPr>
        <w:t xml:space="preserve"> shall be payable, to the maximum extent permitted by Applicable Law, to the other Lenders in accordance with the upward adjustments in their respective Commitment Ratios allocable to such Letter of Credit pursuant to </w:t>
      </w:r>
      <w:r>
        <w:rPr>
          <w:rFonts w:ascii="Times New Roman" w:hAnsi="Times New Roman"/>
          <w:sz w:val="24"/>
          <w:u w:val="single"/>
        </w:rPr>
        <w:t>Section 2.16(a)(iv)</w:t>
      </w:r>
      <w:r>
        <w:rPr>
          <w:rFonts w:ascii="Times New Roman" w:hAnsi="Times New Roman"/>
          <w:sz w:val="24"/>
        </w:rPr>
        <w:t xml:space="preserve">, with the balance of such fee, if any, payable to the applicable Issuing Bank for its own account and (y) no Letter of Credit Fees shall accrue or be payable under an outstanding Letter of Credit to the extent that the Company has provided Cash Collateral sufficient to eliminate the applicable Fronting Exposure of a Defaulting Lender. For purposes of computing the daily amount available to be drawn under any Letter of Credit, the amount of such Letter of Credit shall be determined in accordance with </w:t>
      </w:r>
      <w:r>
        <w:rPr>
          <w:rFonts w:ascii="Times New Roman" w:hAnsi="Times New Roman"/>
          <w:sz w:val="24"/>
          <w:u w:val="single"/>
        </w:rPr>
        <w:t>Section 1.5</w:t>
      </w:r>
      <w:r>
        <w:rPr>
          <w:rFonts w:ascii="Times New Roman" w:hAnsi="Times New Roman"/>
          <w:sz w:val="24"/>
        </w:rPr>
        <w:t xml:space="preserve">. Such Letter of Credit Fee shall be computed on the basis of a year of 365/366 days for the actual number of days elapsed, shall be payable quarterly in arrears for each quarter on the third Business Day after the end of each fiscal quarter commencing December 31, 2021, on the Letter of Credit Expiration Date and thereafter on demand, and shall be fully earned when due and non-refundable when paid. The Letter of Credit Fee set forth in this Section 2.4(b)(ii) shall be subject to increase and decrease on the dates and in the amounts set forth in Section 2.3(f)(i) hereof in the same manner as the adjustment of the Applicable Margin with respect to Term Rate Advances. Notwithstanding anything to the contrary contained herein, upon the request of the Majority Lenders, while any Event of Default exists, all Letter of Credit Fees shall accrue at the Default Rate. </w:t>
      </w:r>
    </w:p>
    <w:p>
      <w:pPr>
        <w:pStyle w:val="TextBody"/>
        <w:bidi w:val="0"/>
        <w:spacing w:before="240" w:after="0"/>
        <w:jc w:val="both"/>
        <w:rPr>
          <w:rFonts w:ascii="Times New Roman" w:hAnsi="Times New Roman"/>
          <w:sz w:val="24"/>
        </w:rPr>
      </w:pPr>
      <w:r>
        <w:rPr>
          <w:rFonts w:ascii="Times New Roman" w:hAnsi="Times New Roman"/>
          <w:sz w:val="24"/>
        </w:rPr>
        <w:t>Section 2.5 </w:t>
      </w:r>
      <w:r>
        <w:rPr>
          <w:rFonts w:ascii="Times New Roman" w:hAnsi="Times New Roman"/>
          <w:sz w:val="24"/>
          <w:u w:val="single"/>
        </w:rPr>
        <w:t>Voluntary Commitment Reductions</w:t>
      </w:r>
      <w:r>
        <w:rPr>
          <w:rFonts w:ascii="Times New Roman" w:hAnsi="Times New Roman"/>
          <w:sz w:val="24"/>
        </w:rPr>
        <w:t xml:space="preserve">. The Company shall have the right, at any time and from time to time after the Effective Date and prior to the Maturity Date, upon at least three (3) Business Days’ prior written notice to the Administrative Agent, without premium or penalty, to cancel or reduce permanently all or a portion of the Revolving Loan Commitments;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such partial reduction shall be made in an amount not less than $5,000,000.00 and in an integral multiple of $1,000,000.00. As of the date of cancellation or reduction set forth in such notice, the Revolving Loan Commitments shall be permanently reduced to the amount stated in such notice for all purposes herein, and the Company shall pay to the Administrative Agent for the applicable Lenders the amount necessary to reduce the Dollar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Equivalent of the aggregate principal amount of all Revolving Loans, all Swingline Loans and all L/C Obligations then outstanding under the Revolving Loan Commitments to not more than the amount of Revolving Loan Commitments as so reduced, together with accrued interest on the amount so prepaid and any commitment fees accrued through the date of the reduction with respect to the amount reduced. </w:t>
      </w:r>
    </w:p>
    <w:p>
      <w:pPr>
        <w:pStyle w:val="TextBody"/>
        <w:bidi w:val="0"/>
        <w:spacing w:before="240" w:after="0"/>
        <w:jc w:val="both"/>
        <w:rPr>
          <w:rFonts w:ascii="Times New Roman" w:hAnsi="Times New Roman"/>
          <w:sz w:val="24"/>
        </w:rPr>
      </w:pPr>
      <w:r>
        <w:rPr>
          <w:rFonts w:ascii="Times New Roman" w:hAnsi="Times New Roman"/>
          <w:sz w:val="24"/>
        </w:rPr>
        <w:t>Section 2.6 </w:t>
      </w:r>
      <w:r>
        <w:rPr>
          <w:rFonts w:ascii="Times New Roman" w:hAnsi="Times New Roman"/>
          <w:sz w:val="24"/>
          <w:u w:val="single"/>
        </w:rPr>
        <w:t>Prepayments and Repayments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Prepayment</w:t>
      </w:r>
      <w:r>
        <w:rPr>
          <w:rFonts w:ascii="Times New Roman" w:hAnsi="Times New Roman"/>
          <w:sz w:val="24"/>
        </w:rPr>
        <w:t>. (a)</w:t>
      </w:r>
      <w:r>
        <w:rPr>
          <w:rFonts w:ascii="Times New Roman" w:hAnsi="Times New Roman"/>
          <w:sz w:val="24"/>
          <w:u w:val="single"/>
        </w:rPr>
        <w:t> Optional</w:t>
      </w:r>
      <w:r>
        <w:rPr>
          <w:rFonts w:ascii="Times New Roman" w:hAnsi="Times New Roman"/>
          <w:sz w:val="24"/>
        </w:rPr>
        <w:t xml:space="preserve">. The principal amount of any Base Rate Advance, including any Swingline Loan, may be prepaid in full or ratably in part at any time, without premium or penalty and without regard to the Payment Date for such Advance. The principal amount of any Term Rate Advance may be prepaid in full or ratably in part, upon three (3) Business Days’ prior written notice (in the case of any Term Rate Advance denominated in Dollars) or upon four (4) Business Days (or five, in the case of prepayment of Loans denominated in Special Notice Currencies) prior written notice (in the case of any Term Rate Advance denominated in an Alternative Currency), or telephonic notice followed immediately by written notice, to the Administrative Agent, without premium or penalty;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to the extent prepaid prior to the applicable Payment Date for such Term Rate Advance, the Company shall reimburse the applicable Lenders, on the earlier of demand by the applicable Lender or the Maturity Date, for any loss or out-of-pocket expense incurred by any such Lender in connection with such prepayment, as set forth in Section 2.9 hereof; and </w:t>
      </w:r>
      <w:r>
        <w:rPr>
          <w:rFonts w:ascii="Times New Roman" w:hAnsi="Times New Roman"/>
          <w:sz w:val="24"/>
          <w:u w:val="single"/>
        </w:rPr>
        <w:t>provided further</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 the Company’s failure to confirm any telephonic notice with a written notice shall not invalidate any notice so given if acted upon by the Administrative Agent and (ii) any notice of prepayment given hereunder may be revoked by the Borrower at any time. The principal amount of any SONIA Rate Advance may be prepaid in full or ratably in part, upon five (5) Business Days prior written notice to the Administrative Agent, without premium or penalty. Any prepayment hereunder shall be in amounts of not less than $2,000,000.00 and in an integral multiple of $1,000,000.00. Amounts prepaid pursuant to this Section 2.6(a), with respect to the Revolving Loans or Swingline Loans, shall be fully revolving and accordingly may be reborrowed, subject to the terms and conditions hereof. Amounts prepaid shall be paid together with accrued interest on the amount so prepaid.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Mandatory</w:t>
      </w:r>
      <w:r>
        <w:rPr>
          <w:rFonts w:ascii="Times New Roman" w:hAnsi="Times New Roman"/>
          <w:sz w:val="24"/>
        </w:rPr>
        <w:t xml:space="preserve">. (x) If, on any date, the Administrative Agent notifies the Company that, on any interest payment date, the sum of (A) the aggregate principal amount of all Advances denominated in Dollars plus the aggregate amount of all Letters of Credit then outstanding denominated in Dollars plus (B) the Dollar Equivalent (determined on the third Business Day prior to such interest payment date) of the aggregate principal amount of all Advances denominated in Alternative Currencies plus the aggregate amount of all Letters of Credit then outstanding denominated in Alternative Currencies then outstanding exceeds 105% of the Revolving Loan Commitments of the Lenders on such date, the Borrower shall, as soon as practicable and in any event within two Business Days after receipt of such notice, prepay the outstanding principal amount of any Advances owing by the Borrower in an aggregate amount sufficient to reduce such sum to an amount not to exceed 100% of the aggregate Revolving Loan Commitments of the Lenders on such date, together with any accrued interest and fees with respect thereto; provided that if the Borrower has Cash Collateralized Letters of Credit in accordance with Section 2.15(a), the amount of the outstanding Letters of Credit shall be deemed to have been reduced by the amount of such Cash Collateral. (y) If, on any date, the Administrative Agent notifies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Company that, on any interest payment date, the Dollar Equivalent (determined on the third Business Day prior to such interest payment date) of the aggregate principal amount of all Advances denominated in Alternative Currencies plus the aggregate amount of all Letters of Credit then outstanding denominated in Alternative Currencies then outstanding exceeds the Alternative Currency Sublimit, the Borrower shall, as soon as practicable and in any event within two Business Days after receipt of such notice, prepay the outstanding principal amount of any such Advances owing by the Borrower in an aggregate amount sufficient to reduce such sum to an amount not to exceed the Alternative Currency Sublimit, together with any accrued interest and fees with respect thereto; provided that if the Borrower has Cash Collateralized Letters of Credit in accordance with Section 2.15(a), the amount of the outstanding Letters of Credit shall be deemed to have been reduced by the amount of such Cash Collateral. </w:t>
      </w:r>
    </w:p>
    <w:p>
      <w:pPr>
        <w:pStyle w:val="TextBody"/>
        <w:bidi w:val="0"/>
        <w:spacing w:before="240" w:after="0"/>
        <w:jc w:val="both"/>
        <w:rPr>
          <w:rFonts w:ascii="Times New Roman" w:hAnsi="Times New Roman"/>
          <w:sz w:val="24"/>
        </w:rPr>
      </w:pPr>
      <w:r>
        <w:rPr>
          <w:rFonts w:ascii="Times New Roman" w:hAnsi="Times New Roman"/>
          <w:sz w:val="24"/>
        </w:rPr>
        <w:t xml:space="preserve">The Administrative Agent shall give prompt notice of any prepayment required under this Section 2.6(a)(ii) to the Company and the Lenders, and shall provide prompt notice to the Company of any such notice of required prepayment received by it from any Lender.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Repayments</w:t>
      </w:r>
      <w:r>
        <w:rPr>
          <w:rFonts w:ascii="Times New Roman" w:hAnsi="Times New Roman"/>
          <w:sz w:val="24"/>
        </w:rPr>
        <w:t xml:space="preserve">. The Borrower shall repay the Loans as follows: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Swingline Loans</w:t>
      </w:r>
      <w:r>
        <w:rPr>
          <w:rFonts w:ascii="Times New Roman" w:hAnsi="Times New Roman"/>
          <w:sz w:val="24"/>
        </w:rPr>
        <w:t xml:space="preserve">. The Borrower shall repay each Swingline Loan on the earlier to occur of (i) the date ten (10) Business Days after such Swingline Loan is made and (ii) the Maturity Date.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Maturity Date</w:t>
      </w:r>
      <w:r>
        <w:rPr>
          <w:rFonts w:ascii="Times New Roman" w:hAnsi="Times New Roman"/>
          <w:sz w:val="24"/>
        </w:rPr>
        <w:t xml:space="preserve">. In addition to the foregoing, a final payment of all Loans, together with accrued interest and fees with respect thereto, shall be due and payable on the Maturity Date. </w:t>
      </w:r>
    </w:p>
    <w:p>
      <w:pPr>
        <w:pStyle w:val="TextBody"/>
        <w:bidi w:val="0"/>
        <w:spacing w:before="240" w:after="0"/>
        <w:jc w:val="both"/>
        <w:rPr>
          <w:rFonts w:ascii="Times New Roman" w:hAnsi="Times New Roman"/>
          <w:sz w:val="24"/>
        </w:rPr>
      </w:pPr>
      <w:r>
        <w:rPr>
          <w:rFonts w:ascii="Times New Roman" w:hAnsi="Times New Roman"/>
          <w:sz w:val="24"/>
        </w:rPr>
        <w:t>Section 2.7 </w:t>
      </w:r>
      <w:r>
        <w:rPr>
          <w:rFonts w:ascii="Times New Roman" w:hAnsi="Times New Roman"/>
          <w:sz w:val="24"/>
          <w:u w:val="single"/>
        </w:rPr>
        <w:t>Notes; Loan Accounts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(i) The Loans shall be repayable in accordance with the terms and provisions set forth herein. If requested by a Lender, one (1) Revolving Loan Note duly executed and delivered by one or more Authorized Signatories of the Borrower, shall be issued by the Borrower and payable to such Lender in accordance with such Lender’s applicable Commitment Ratio for Revolving Loans. </w:t>
      </w:r>
    </w:p>
    <w:p>
      <w:pPr>
        <w:pStyle w:val="TextBody"/>
        <w:bidi w:val="0"/>
        <w:spacing w:before="240" w:after="0"/>
        <w:jc w:val="both"/>
        <w:rPr>
          <w:rFonts w:ascii="Times New Roman" w:hAnsi="Times New Roman"/>
          <w:sz w:val="24"/>
        </w:rPr>
      </w:pPr>
      <w:r>
        <w:rPr>
          <w:rFonts w:ascii="Times New Roman" w:hAnsi="Times New Roman"/>
          <w:sz w:val="24"/>
        </w:rPr>
        <w:t xml:space="preserve">(ii) Each Lender may open and maintain on its books in the name of the Borrower a loan account with respect to its portion of the Loans and interest thereon. Each Lender which opens such a loan account shall debit such loan account for the principal amount of its portion of each Advance made by it and accrued interest thereon, and shall credit such loan account for each payment on account of principal of or interest on its Loans. The records of a Lender with respect to the loan account maintained by it shall be prima facie evidence of its portion of the Loans and accrued interest thereon absent manifest error, but the failure of any Lender to make any such notations or any error or mistake in such notations shall not affect the Borrower’s repayment obligations with respect to such Loans.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2.8 </w:t>
      </w:r>
      <w:r>
        <w:rPr>
          <w:rFonts w:ascii="Times New Roman" w:hAnsi="Times New Roman"/>
          <w:sz w:val="24"/>
          <w:u w:val="single"/>
        </w:rPr>
        <w:t>Manner of Payment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(i) Each payment (including, without limitation, any prepayment) by the Borrower (except with respect to principal of and interest on, Advances denominated in an Alternative Currency) shall be made not later than 1:00 p.m. New York City time on the date specified for payment under this Agreement to the Administrative Agent at the Administrative Agent’s Office, for the account of the Lenders or the Administrative Agent, as the case may be, in lawful money of the United States of America in immediately available funds. Each payment (including, without limitation, any prepayment) by the Borrower with respect to principal of and interest on, Advances denominated in an Alternative Currency shall be made not later than 1:00 p.m. New York City time on the date specified for payment under this Agreement to the Administrative Agent at the Administrative Agent’s Office, for the account of the Lenders or the Administrative Agent, as the case may be, in such Alternative Currency in same day funds. Any payment received by the Administrative Agent after 1:00 p.m. New York City time shall be deemed received on the next Business Day. Receipt by the Administrative Agent of any payment intended for any Lender or Lenders hereunder prior to 1:00 p.m. New York City time on any Business Day shall be deemed to constitute receipt by such Lender or Lenders on such Business Day. In the case of a payment for the account of a Lender, the Administrative Agent will promptly, but no later than the close of business on the date such payment is deemed received, thereafter distribute the amount so received in like funds to such Lender. If the Administrative Agent shall not have received any payment from the Borrower as and when due, the Administrative Agent will promptly notify the applicable Lenders accordingly. In the event that the Administrative Agent shall fail to make distribution to any Lender as required under this Section 2.8, the Administrative Agent agrees to pay such Lender interest from the date such payment was due until paid at the Federal Funds Rate. </w:t>
      </w:r>
    </w:p>
    <w:p>
      <w:pPr>
        <w:pStyle w:val="TextBody"/>
        <w:bidi w:val="0"/>
        <w:spacing w:before="240" w:after="0"/>
        <w:jc w:val="both"/>
        <w:rPr>
          <w:rFonts w:ascii="Times New Roman" w:hAnsi="Times New Roman"/>
          <w:sz w:val="24"/>
        </w:rPr>
      </w:pPr>
      <w:r>
        <w:rPr>
          <w:rFonts w:ascii="Times New Roman" w:hAnsi="Times New Roman"/>
          <w:sz w:val="24"/>
        </w:rPr>
        <w:t xml:space="preserve">(ii) The Borrower agrees to pay principal, interest, fees and all other amounts due hereunder or under the Notes without set-off or counterclaim or any deduction whatsoever, except as provided in Section 10.3 hereof. </w:t>
      </w:r>
    </w:p>
    <w:p>
      <w:pPr>
        <w:pStyle w:val="TextBody"/>
        <w:bidi w:val="0"/>
        <w:spacing w:before="240" w:after="0"/>
        <w:jc w:val="both"/>
        <w:rPr>
          <w:rFonts w:ascii="Times New Roman" w:hAnsi="Times New Roman"/>
          <w:sz w:val="24"/>
        </w:rPr>
      </w:pPr>
      <w:r>
        <w:rPr>
          <w:rFonts w:ascii="Times New Roman" w:hAnsi="Times New Roman"/>
          <w:sz w:val="24"/>
        </w:rPr>
        <w:t xml:space="preserve">(iii) Prior to the acceleration of the Loans under Section 8.2 hereof, if some but less than all amounts due from the Borrower are received by the Administrative Agent with respect to the Obligations, the Administrative Agent shall distribute such amounts in the following order of priority, all on a pro rata basis to the Lenders: (i) to the payment on a pro rata basis of any fees or expenses then due and payable to the Administrative Agent and the Issuing Banks, or any of them or expenses then due and payable to the Lenders; (ii) to the payment of interest then due and payable on the Loans on a pro rata basis and of fees then due and payable to the Lenders on a pro rata basis; (iii) to the payment of all other amounts not otherwise referred to in this Section 2.8(c) then due and payable to the Administrative Agent, the Issuing Banks and the Lenders, or any of them, hereunder or under the Notes or any other Loan Document; and (iv) to the payment of principal then due and payable on the Loans on a pro rata basis. </w:t>
      </w:r>
    </w:p>
    <w:p>
      <w:pPr>
        <w:pStyle w:val="TextBody"/>
        <w:bidi w:val="0"/>
        <w:spacing w:before="240" w:after="0"/>
        <w:jc w:val="both"/>
        <w:rPr>
          <w:rFonts w:ascii="Times New Roman" w:hAnsi="Times New Roman"/>
          <w:sz w:val="24"/>
        </w:rPr>
      </w:pPr>
      <w:r>
        <w:rPr>
          <w:rFonts w:ascii="Times New Roman" w:hAnsi="Times New Roman"/>
          <w:sz w:val="24"/>
        </w:rPr>
        <w:t xml:space="preserve">(iv) Subject to any contrary provisions in the definition of Interest Period, if any payment under this Agreement or any of the other Loan Documents is specified to be made on a day which is not a Business Day, it shall be made on the next Business Day, and such extension of time shall in such case be included in computing interest and fees, if any, in connection with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2.9 </w:t>
      </w:r>
      <w:r>
        <w:rPr>
          <w:rFonts w:ascii="Times New Roman" w:hAnsi="Times New Roman"/>
          <w:sz w:val="24"/>
          <w:u w:val="single"/>
        </w:rPr>
        <w:t>Reimbursement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(i) Whenever any Lender shall sustain or incur any losses or reasonable out-of-pocket expenses in connection with (i) the failure by the Borrower to borrow, Continue, Convert or prepay any Term Rate Advance after having given notice of its intention to borrow, Continue, Convert or prepay such Advance in accordance with Section 2.2 or 2.6 hereof (whether by reason of the Borrower’s election not to proceed or the non-fulfillment of any of the conditions set forth in Article 3 hereof, but not as a result of a failure of such Lender to make a Loan in accordance with the terms of this Agreement), or (ii) the prepayment other than on the applicable Payment Date (or failure to prepay after giving notice thereof) of any Term Rate Advance in whole or in part for any reason, the Borrower agrees to pay to such Lender, upon such Lender’s demand, an amount sufficient to compensate such Lender for all such losses and out-of-pocket expenses. Such Lender’s good faith determination of the amount of such losses or out-of-pocket expenses, as set forth in writing and accompanied by calculations in reasonable detail demonstrating the basis for its demand, shall be presumptively correct absent manifest error. </w:t>
      </w:r>
    </w:p>
    <w:p>
      <w:pPr>
        <w:pStyle w:val="TextBody"/>
        <w:bidi w:val="0"/>
        <w:spacing w:before="240" w:after="0"/>
        <w:jc w:val="both"/>
        <w:rPr>
          <w:rFonts w:ascii="Times New Roman" w:hAnsi="Times New Roman"/>
          <w:sz w:val="24"/>
        </w:rPr>
      </w:pPr>
      <w:r>
        <w:rPr>
          <w:rFonts w:ascii="Times New Roman" w:hAnsi="Times New Roman"/>
          <w:sz w:val="24"/>
        </w:rPr>
        <w:t xml:space="preserve">(ii) Losses subject to reimbursement hereunder shall include, without limiting the generality of the foregoing, reasonable out-of-pocket expenses incurred by any Lender or any participant of such Lender permitted hereunder in connection with the re-employment of funds prepaid, paid, repaid, not borrowed, or not paid, as the case may be, but not losses resulting from lost Applicable Margin or other margin. Losses subject to reimbursement will be payable whether the Maturity Date is changed by virtue of an amendment hereto (unless such amendment expressly waives such payment) or as a result of acceleration of the Loans. </w:t>
      </w:r>
    </w:p>
    <w:p>
      <w:pPr>
        <w:pStyle w:val="TextBody"/>
        <w:bidi w:val="0"/>
        <w:spacing w:before="240" w:after="0"/>
        <w:jc w:val="both"/>
        <w:rPr>
          <w:rFonts w:ascii="Times New Roman" w:hAnsi="Times New Roman"/>
          <w:sz w:val="24"/>
        </w:rPr>
      </w:pPr>
      <w:r>
        <w:rPr>
          <w:rFonts w:ascii="Times New Roman" w:hAnsi="Times New Roman"/>
          <w:sz w:val="24"/>
        </w:rPr>
        <w:t xml:space="preserve">(iii) Failure or delay on the part of any Lender to demand compensation pursuant to the foregoing provisions of this Section 2.9 shall not constitute a waiver of such Lender’s right to demand such compensation, provided that the Borrower shall not be required to compensate a Lender pursuant to the foregoing provisions of this Section for any losses or expenses incurred more than six (6) months prior to the date that such Lender notifies the Borrower of the circumstances giving rise to such losses or expenses and of such Lender’s intention to claim compensation therefor. </w:t>
      </w:r>
    </w:p>
    <w:p>
      <w:pPr>
        <w:pStyle w:val="TextBody"/>
        <w:bidi w:val="0"/>
        <w:spacing w:before="240" w:after="0"/>
        <w:jc w:val="both"/>
        <w:rPr>
          <w:rFonts w:ascii="Times New Roman" w:hAnsi="Times New Roman"/>
          <w:sz w:val="24"/>
        </w:rPr>
      </w:pPr>
      <w:r>
        <w:rPr>
          <w:rFonts w:ascii="Times New Roman" w:hAnsi="Times New Roman"/>
          <w:sz w:val="24"/>
        </w:rPr>
        <w:t>Section 2.10 </w:t>
      </w:r>
      <w:r>
        <w:rPr>
          <w:rFonts w:ascii="Times New Roman" w:hAnsi="Times New Roman"/>
          <w:sz w:val="24"/>
          <w:u w:val="single"/>
        </w:rPr>
        <w:t>Pro Rata Treatment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Advances</w:t>
      </w:r>
      <w:r>
        <w:rPr>
          <w:rFonts w:ascii="Times New Roman" w:hAnsi="Times New Roman"/>
          <w:sz w:val="24"/>
        </w:rPr>
        <w:t xml:space="preserve">. Each Advance under the Revolving Loan Commitments from the Lenders hereunder (other than Swingline Advances) shall be made pro rata on the basis of the applicable Commitment Ratios of the Lenders having a Revolving Loan Commitment.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Payments</w:t>
      </w:r>
      <w:r>
        <w:rPr>
          <w:rFonts w:ascii="Times New Roman" w:hAnsi="Times New Roman"/>
          <w:sz w:val="24"/>
        </w:rPr>
        <w:t xml:space="preserve">. Except as provided in Section 2.16 hereof and Article 10 hereof, each payment and prepayment of principal of, and interest on, the Loans shall be made to the Lenders pro rata on the basis of their respective unpaid principal amounts outstanding under the applicable Loans immediately prior to such payment or prepayment.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Sharing of Payments by Lenders</w:t>
      </w:r>
      <w:r>
        <w:rPr>
          <w:rFonts w:ascii="Times New Roman" w:hAnsi="Times New Roman"/>
          <w:sz w:val="24"/>
        </w:rPr>
        <w:t xml:space="preserve">. If any Lender shall, by exercising any right of setoff or counterclaim or otherwise, obtain payment in respect of any principal of or interest on any of the Loans made by it or the participations in Swingline Loans and L/C Obligations held by it resulting in such Lender’s receiving payment of a proportion of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the Swingline Loans and L/C Obligations of the other Lenders, or make such other adjustments as shall be equitable, so that the benefit of all such payments shall be shared by the Lenders ratably in accordance with their respective Commitment Ratios, </w:t>
      </w:r>
      <w:r>
        <w:rPr>
          <w:rFonts w:ascii="Times New Roman" w:hAnsi="Times New Roman"/>
          <w:sz w:val="24"/>
          <w:u w:val="single"/>
        </w:rPr>
        <w:t>provided</w:t>
      </w:r>
      <w:r>
        <w:rPr>
          <w:rFonts w:ascii="Times New Roman" w:hAnsi="Times New Roman"/>
          <w:sz w:val="24"/>
        </w:rPr>
        <w:t xml:space="preserve"> that: </w:t>
      </w:r>
    </w:p>
    <w:p>
      <w:pPr>
        <w:pStyle w:val="TextBody"/>
        <w:bidi w:val="0"/>
        <w:spacing w:before="240" w:after="0"/>
        <w:jc w:val="both"/>
        <w:rPr>
          <w:rFonts w:ascii="Times New Roman" w:hAnsi="Times New Roman"/>
          <w:sz w:val="24"/>
        </w:rPr>
      </w:pPr>
      <w:r>
        <w:rPr>
          <w:rFonts w:ascii="Times New Roman" w:hAnsi="Times New Roman"/>
          <w:sz w:val="24"/>
        </w:rPr>
        <w:t xml:space="preserve">(a) if any such participations or subparticipations are purchased and all or any portion of the payment giving rise thereto is recovered, such participations or subparticipations shall be rescinded and the purchase price restored to the extent of such recovery, without interest; and </w:t>
      </w:r>
    </w:p>
    <w:p>
      <w:pPr>
        <w:pStyle w:val="TextBody"/>
        <w:bidi w:val="0"/>
        <w:spacing w:before="240" w:after="0"/>
        <w:jc w:val="both"/>
        <w:rPr>
          <w:rFonts w:ascii="Times New Roman" w:hAnsi="Times New Roman"/>
          <w:sz w:val="24"/>
        </w:rPr>
      </w:pPr>
      <w:r>
        <w:rPr>
          <w:rFonts w:ascii="Times New Roman" w:hAnsi="Times New Roman"/>
          <w:sz w:val="24"/>
        </w:rPr>
        <w:t xml:space="preserve">(b) the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Section 2.15, or (z) any payment obtained by a Lender as consideration for the assignment of or sale of a participation in any of its Loans or subparticipations in the Swingline Loans or L/C Obligations to any assignee or participant. </w:t>
      </w:r>
    </w:p>
    <w:p>
      <w:pPr>
        <w:pStyle w:val="TextBody"/>
        <w:bidi w:val="0"/>
        <w:spacing w:before="240" w:after="0"/>
        <w:jc w:val="both"/>
        <w:rPr>
          <w:rFonts w:ascii="Times New Roman" w:hAnsi="Times New Roman"/>
          <w:sz w:val="24"/>
        </w:rPr>
      </w:pPr>
      <w:r>
        <w:rPr>
          <w:rFonts w:ascii="Times New Roman" w:hAnsi="Times New Roman"/>
          <w:sz w:val="24"/>
        </w:rPr>
        <w:t xml:space="preserve">The Borrower agrees that any Lender so purchasing a participation from another Lender pursuant to this Section 2.10(c) may, to the fullest extent permitted by law, exercise all its rights of payment (including, without limitation, the right of set-off) with respect to such participation as fully as if such purchasing Lender were the direct creditor of the Borrower in the amount of such participation.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Commitment Reductions</w:t>
      </w:r>
      <w:r>
        <w:rPr>
          <w:rFonts w:ascii="Times New Roman" w:hAnsi="Times New Roman"/>
          <w:sz w:val="24"/>
        </w:rPr>
        <w:t xml:space="preserve">. Any reduction of the Revolving Loan Commitments required or permitted hereunder shall reduce the Revolving Loan Commitment of each Lender having a Revolving Loan Commitment on a pro rata basis based on the Commitment Ratio of such Lender for the Revolving Loan Commitment. </w:t>
      </w:r>
    </w:p>
    <w:p>
      <w:pPr>
        <w:pStyle w:val="TextBody"/>
        <w:bidi w:val="0"/>
        <w:spacing w:before="240" w:after="0"/>
        <w:jc w:val="both"/>
        <w:rPr>
          <w:rFonts w:ascii="Times New Roman" w:hAnsi="Times New Roman"/>
          <w:sz w:val="24"/>
        </w:rPr>
      </w:pPr>
      <w:r>
        <w:rPr>
          <w:rFonts w:ascii="Times New Roman" w:hAnsi="Times New Roman"/>
          <w:sz w:val="24"/>
        </w:rPr>
        <w:t>Section 2.11 </w:t>
      </w:r>
      <w:r>
        <w:rPr>
          <w:rFonts w:ascii="Times New Roman" w:hAnsi="Times New Roman"/>
          <w:sz w:val="24"/>
          <w:u w:val="single"/>
        </w:rPr>
        <w:t>Capital Adequacy</w:t>
      </w:r>
      <w:r>
        <w:rPr>
          <w:rFonts w:ascii="Times New Roman" w:hAnsi="Times New Roman"/>
          <w:sz w:val="24"/>
        </w:rPr>
        <w:t xml:space="preserve">. If after the date hereof, the adoption of any Applicable Law regarding the capital adequacy or liquidity of banks or bank holding companies, or any change in Applicable Law (whether adopted before or after the Effective Date) or any change in the interpretation or administration thereof by any governmental authority, central bank or comparable agency charged with the interpretation or administration thereof, including any such change resulting from the enactment or issuance of any regulation or regulatory interpretation affecting existing Applicable Law, or compliance by such Lender (or the bank holding company of such Lender) with any directive regarding capital adequacy or liquidity (whether or not having the force of law) of any such governmental authority, central bank or comparable agency, has or would have the effect of reducing the rate of return on any Lender’s capital as a consequence of its obligations hereunder with respect to the Loans and the Commitments to a level below that which it could have achieved but for such adoption, change or compliance (taking into consideration such Lender’s policies with respect to capital adequacy or liquidity immediately before such adoption, change or compliance and assuming that such Lender’s (or the bank holding company of such Lender) capital was fully utilized prior to such adoption, change or compliance)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by an amount reasonably deemed by such Lender to be material, then, upon demand by such Lender, the Borrower shall promptly pay to such Lender such additional amounts as shall be sufficient to compensate such Lender (on an after-tax basis and without duplication of amounts paid by the Borrower pursuant to Section 10.3) for such reduced return which is reasonably allocable to this Agreement, together with interest on such amount from the fourth (4th) Business Day after the date of demand or the Maturity Date, as applicable, until payment in full thereof at the Default Rate;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enacted, adopted or issued after the date hereof, regardless of the date enacted, adopted or issued. A certificate of such Lender setting forth the amount to be paid to such Lender by the Borrower as a result of any event referred to in this paragraph and supporting calculations in reasonable detail shall be presumptively correct absent manifest error. Notwithstanding any other provision of this Section 2.11, no Lender shall demand compensation for any increased cost or reduction referred to above if it shall not at the time be the general policy or practice of such Lender to demand such compensation in similar circumstances under comparable provisions of other credit agreements. Failure or delay on the part of any Lender to demand compensation pursuant to the foregoing provisions of this Section 2.11 shall not constitute a waiver of such Lender’s right to demand such compensation, provided that the Borrower shall not be required to compensate a Lender pursuant to the foregoing provisions of this Section for any increased costs incurred or reductions suffered more than six (6) months prior to the date that such Lender notifies the Borrower of the circumstances giving rise to such increased costs or reductions and of such Lender’s intention to claim compensation therefor (except that, if the circumstances giving rise to such increased costs or reductions is retroactive, then the six (6) month period referred to above shall be extended to include the period of retroactive effect thereof). </w:t>
      </w:r>
    </w:p>
    <w:p>
      <w:pPr>
        <w:pStyle w:val="TextBody"/>
        <w:bidi w:val="0"/>
        <w:spacing w:before="240" w:after="0"/>
        <w:jc w:val="both"/>
        <w:rPr>
          <w:rFonts w:ascii="Times New Roman" w:hAnsi="Times New Roman"/>
          <w:sz w:val="24"/>
        </w:rPr>
      </w:pPr>
      <w:r>
        <w:rPr>
          <w:rFonts w:ascii="Times New Roman" w:hAnsi="Times New Roman"/>
          <w:sz w:val="24"/>
        </w:rPr>
        <w:t>Section 2.12 </w:t>
      </w:r>
      <w:r>
        <w:rPr>
          <w:rFonts w:ascii="Times New Roman" w:hAnsi="Times New Roman"/>
          <w:sz w:val="24"/>
          <w:u w:val="single"/>
        </w:rPr>
        <w:t>Lender Tax Forms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(a)(ii) and (b)(ii) of this Section)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(ii) Without limiting the generality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(a) On or prior to the Effective Date and on or prior to the first Business Day of each calendar year thereafter, to the extent it may lawfully do so at such time, each Lender which is a Non-U.S. Person shall provide each of the Administrative Agent, the Company (A) if such Lender is a “bank” under Section 881(c)(3)(A) of the Code, with a properly executed original of Internal Revenue Service Form W-8BEN (or W-8BEN-E, as applicable) or W-8ECI (or any successor form) prescribed by the Internal Revenue Service or other documents satisfactory to the Borrower and the Administrative Agent, as the case may be, certifying (i) as to such Lender’s status as exempt from United States Federal withholding taxes with respect to all payments to be made to such Lender hereunder and under the Notes or (ii) that all payments to be made to such Lender hereunder and under the Notes are subject to such taxes at a rate reduced to zero by an applicable tax treaty, or (B) if such Lender is not a “bank” within the meaning of Section 881(c)(3)(A) of the Code and intends to claim exemption from U.S. Federal withholding tax under Section 871(h) or 881(c) of the Code with respect to payments of “portfolio interest”, a Form W-8BEN (or W-8BEN-E, as applicable), or any subsequent versions thereof or successors thereto (and, if such Lender delivers a Form W-8BEN (or W-8BEN-E, as applicable), a certificate representing that such Lender is not a bank for purposes of Section 881(c) of the Code, is not a ten-percent (10%) shareholder (within the meaning of Section 871(h)(3)(B) of the Code and is not a controlled foreign corporation related to the Company (within the meaning of Section 864(d)(4) of the Code)), properly completed and duly executed by such Lender, indicating that such Lender is entitled to receive payments under this Agreement without deduction or withholding of any United States Federal income taxes as permitted by the Code. If a payment made to a Lender under this Agreement would be subject to withholding Tax imposed under FATCA if such Lender fails to comply with the applicable reporting requirements of FATCA (including those contained in Section 1471(b) or 1472(b) of the Code, as applicable), such Lender shall deliver to the Administrative Agent and the Company, at the time or times prescribed by law and at such time or times reasonably requested by the Administrative Agent or the Company, such documentation prescribed by Applicable Law (included as prescribed by Section 1471(b)(3)(C)(i) of the Code) and such additional documentation reasonably requested by the Administrative Agent or the Company as may be necessary for the Administrative Agent or the Company to comply with its obligations under FATCA, to determine that such Lender has complied with such Lender’s obligations under FATCA, or to determine the amount to deduct and withhold from such payment. </w:t>
      </w:r>
    </w:p>
    <w:p>
      <w:pPr>
        <w:pStyle w:val="TextBody"/>
        <w:bidi w:val="0"/>
        <w:spacing w:before="240" w:after="0"/>
        <w:jc w:val="both"/>
        <w:rPr>
          <w:rFonts w:ascii="Times New Roman" w:hAnsi="Times New Roman"/>
          <w:sz w:val="24"/>
        </w:rPr>
      </w:pPr>
      <w:r>
        <w:rPr>
          <w:rFonts w:ascii="Times New Roman" w:hAnsi="Times New Roman"/>
          <w:sz w:val="24"/>
        </w:rPr>
        <w:t xml:space="preserve">(b) On or prior to the Effective Date, and to the extent permitted by applicable U.S. Federal law, on or prior to the first (1st) Business Day of each calendar year thereafter, each Lender which is a U.S. Person shall provide the Administrative Agent and the Company a duly completed and executed copy of the Internal Revenue Service Form W-9 or successor form to the effect that it is a U.S. Person. </w:t>
      </w:r>
    </w:p>
    <w:p>
      <w:pPr>
        <w:pStyle w:val="TextBody"/>
        <w:bidi w:val="0"/>
        <w:spacing w:before="240" w:after="0"/>
        <w:jc w:val="both"/>
        <w:rPr>
          <w:rFonts w:ascii="Times New Roman" w:hAnsi="Times New Roman"/>
          <w:sz w:val="24"/>
        </w:rPr>
      </w:pPr>
      <w:r>
        <w:rPr>
          <w:rFonts w:ascii="Times New Roman" w:hAnsi="Times New Roman"/>
          <w:sz w:val="24"/>
        </w:rPr>
        <w:t>Section 2.13 </w:t>
      </w:r>
      <w:r>
        <w:rPr>
          <w:rFonts w:ascii="Times New Roman" w:hAnsi="Times New Roman"/>
          <w:sz w:val="24"/>
          <w:u w:val="single"/>
        </w:rPr>
        <w:t>Letters of Credit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The Letter of Credit Commitments</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(a) Subject to the terms and conditions set forth herein, (A) each Issuing Bank agrees, in reliance upon the agreements of the Lenders set forth in this Section 2.13 and within the limits of its L/C Commitment, (1) from time to time on any Business Day until the Letter of Credit Expiration Date, to issue Letters of Credit denominated in Dollars or one or more Alternative Currencies for the account of the Company or its Subsidiaries, and to amend or extend Letters of Credit previously issued by it, in accordance with subsection (b) below, and (2) to honor drawings under the Letters of Credit; and (B) the Lenders severally agree to participate in Letters of Credit issued for the account of the Company or its Subsidiaries and any drawings thereunder; </w:t>
      </w:r>
      <w:r>
        <w:rPr>
          <w:rFonts w:ascii="Times New Roman" w:hAnsi="Times New Roman"/>
          <w:sz w:val="24"/>
          <w:u w:val="single"/>
        </w:rPr>
        <w:t>provided</w:t>
      </w:r>
      <w:r>
        <w:rPr>
          <w:rFonts w:ascii="Times New Roman" w:hAnsi="Times New Roman"/>
          <w:sz w:val="24"/>
        </w:rPr>
        <w:t xml:space="preserve"> that after giving effect to any L/C Credit Extension with respect to any Letter of Credit, (1) the Dollar Equivalent of the aggregate Outstanding Amount of all Loans and L/C Obligations shall not exceed the aggregate Revolving Loan Commitments, (2) the Dollar Equivalent of the aggregate Outstanding Amount of the Revolving Loans of any Lender, </w:t>
      </w:r>
      <w:r>
        <w:rPr>
          <w:rFonts w:ascii="Times New Roman" w:hAnsi="Times New Roman"/>
          <w:sz w:val="24"/>
          <w:u w:val="single"/>
        </w:rPr>
        <w:t>plus</w:t>
      </w:r>
      <w:r>
        <w:rPr>
          <w:rFonts w:ascii="Times New Roman" w:hAnsi="Times New Roman"/>
          <w:sz w:val="24"/>
        </w:rPr>
        <w:t xml:space="preserve"> such Lender’s Commitment Ratio of the Dollar Equivalent of the Outstanding Amount of all L/C Obligations plus such Lender’s Commitment Ratio of the Swingline Loans then outstanding shall not exceed such Lender’s Commitment, (3) the Dollar Equivalent of the Outstanding Amount of the L/C Obligations in respect of Letters of Credit issued by such Issuing Bank shall not exceed the Dollar Equivalent of such Issuing Bank’s L/C Commitment, (4) the Dollar Equivalent of the Outstanding Amount of the L/C Obligations shall not exceed the Letter of Credit Sublimit and (5) the Dollar Equivalent of the aggregate outstanding principal amount of Advances and the Outstanding Amount of Letters of Credit, in each case denominated in any Alternative Currency, exceeds the Alternative Currency Sublimit;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w:t>
      </w:r>
      <w:r>
        <w:rPr>
          <w:rFonts w:ascii="Times New Roman" w:hAnsi="Times New Roman"/>
          <w:strike/>
          <w:color w:val="FF0000"/>
          <w:sz w:val="24"/>
        </w:rPr>
        <w:t>none of</w:t>
      </w:r>
      <w:r>
        <w:rPr>
          <w:rFonts w:ascii="Times New Roman" w:hAnsi="Times New Roman"/>
          <w:sz w:val="24"/>
        </w:rPr>
        <w:t xml:space="preserve"> </w:t>
      </w:r>
      <w:r>
        <w:rPr>
          <w:rFonts w:ascii="Times New Roman" w:hAnsi="Times New Roman"/>
          <w:strike/>
          <w:color w:val="FF0000"/>
          <w:sz w:val="24"/>
        </w:rPr>
        <w:t xml:space="preserve">Barclays Bank PLC, </w:t>
      </w:r>
      <w:r>
        <w:rPr>
          <w:rFonts w:ascii="Times New Roman" w:hAnsi="Times New Roman"/>
          <w:color w:val="0000FF"/>
          <w:sz w:val="24"/>
          <w:u w:val="single"/>
          <w:bdr w:val="double" w:sz="2" w:space="1" w:color="000000"/>
        </w:rPr>
        <w:t>neither of</w:t>
      </w:r>
      <w:r>
        <w:rPr>
          <w:rFonts w:ascii="Times New Roman" w:hAnsi="Times New Roman"/>
          <w:sz w:val="24"/>
        </w:rPr>
        <w:t xml:space="preserve"> Royal Bank of Canada or Morgan Stanley Bank, N.A. shall have any obligation to issue commercial letters of credit. Each request by the Company for the issuance or amendment of a Letter of Credit shall be deemed to be a representation by the Company that the L/C Credit Extension so requested complies with the conditions set forth in the proviso to the preceding sentence. Each letter of credit listed on </w:t>
      </w:r>
      <w:r>
        <w:rPr>
          <w:rFonts w:ascii="Times New Roman" w:hAnsi="Times New Roman"/>
          <w:sz w:val="24"/>
          <w:u w:val="single"/>
        </w:rPr>
        <w:t>Schedule 2</w:t>
      </w:r>
      <w:r>
        <w:rPr>
          <w:rFonts w:ascii="Times New Roman" w:hAnsi="Times New Roman"/>
          <w:sz w:val="24"/>
        </w:rPr>
        <w:t xml:space="preserve"> shall be deemed to constitute a Letter of Credit issued hereunder, and each Lender that is an issuer of such a Letter of Credit shall, for purposes of this Section 2.13, be deemed to be an Issuing Bank for each such letter of credit, provided than any renewal or replacement of any such letter of credit shall be issued by an Issuing Bank pursuant to the terms of this Agreement. Within the foregoing limits, and subject to the terms and conditions hereof, the Company’s ability to obtain Letters of Credit shall be fully revolving, and accordingly the Company may obtain Letters of Credit to replace Letters of Credit that have expired or that have been drawn upon and reimbursed. </w:t>
      </w:r>
    </w:p>
    <w:p>
      <w:pPr>
        <w:pStyle w:val="TextBody"/>
        <w:bidi w:val="0"/>
        <w:spacing w:before="240" w:after="0"/>
        <w:jc w:val="both"/>
        <w:rPr>
          <w:rFonts w:ascii="Times New Roman" w:hAnsi="Times New Roman"/>
          <w:sz w:val="24"/>
        </w:rPr>
      </w:pPr>
      <w:r>
        <w:rPr>
          <w:rFonts w:ascii="Times New Roman" w:hAnsi="Times New Roman"/>
          <w:sz w:val="24"/>
        </w:rPr>
        <w:t xml:space="preserve">(b) No Issuing Bank shall issue any Letter of Credit, if: </w:t>
      </w:r>
    </w:p>
    <w:p>
      <w:pPr>
        <w:pStyle w:val="TextBody"/>
        <w:bidi w:val="0"/>
        <w:spacing w:before="240" w:after="0"/>
        <w:jc w:val="both"/>
        <w:rPr>
          <w:rFonts w:ascii="Times New Roman" w:hAnsi="Times New Roman"/>
          <w:sz w:val="24"/>
        </w:rPr>
      </w:pPr>
      <w:r>
        <w:rPr>
          <w:rFonts w:ascii="Times New Roman" w:hAnsi="Times New Roman"/>
          <w:sz w:val="24"/>
        </w:rPr>
        <w:t xml:space="preserve">(1) subject to Section 2.13(b)(iii), the expiry date of the requested Letter of Credit would occur more than twelve months after the date of issuance or last extension, unless the Majority Lenders have approved such expiry date; </w:t>
      </w:r>
      <w:r>
        <w:rPr>
          <w:rFonts w:ascii="Times New Roman" w:hAnsi="Times New Roman"/>
          <w:sz w:val="24"/>
          <w:u w:val="single"/>
        </w:rPr>
        <w:t>provided</w:t>
      </w:r>
      <w:r>
        <w:rPr>
          <w:rFonts w:ascii="Times New Roman" w:hAnsi="Times New Roman"/>
          <w:sz w:val="24"/>
        </w:rPr>
        <w:t xml:space="preserve"> that each Auto-Extension Letter of Credit shall not be deemed to have an expiry date longer than twelve (12) months after the date of its issuance; or </w:t>
      </w:r>
    </w:p>
    <w:p>
      <w:pPr>
        <w:pStyle w:val="TextBody"/>
        <w:bidi w:val="0"/>
        <w:spacing w:before="240" w:after="0"/>
        <w:jc w:val="both"/>
        <w:rPr>
          <w:rFonts w:ascii="Times New Roman" w:hAnsi="Times New Roman"/>
          <w:sz w:val="24"/>
        </w:rPr>
      </w:pPr>
      <w:r>
        <w:rPr>
          <w:rFonts w:ascii="Times New Roman" w:hAnsi="Times New Roman"/>
          <w:sz w:val="24"/>
        </w:rPr>
        <w:t xml:space="preserve">(2) the expiry date of the requested Letter of Credit would occur after the Letter of Credit Expiration Date, unless all the Lenders have approved such expiry date.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(c) No Issuing Bank shall be under any obligation to issue any Letter of Credit if: </w:t>
      </w:r>
    </w:p>
    <w:p>
      <w:pPr>
        <w:pStyle w:val="TextBody"/>
        <w:bidi w:val="0"/>
        <w:spacing w:before="240" w:after="0"/>
        <w:jc w:val="both"/>
        <w:rPr>
          <w:rFonts w:ascii="Times New Roman" w:hAnsi="Times New Roman"/>
          <w:sz w:val="24"/>
        </w:rPr>
      </w:pPr>
      <w:r>
        <w:rPr>
          <w:rFonts w:ascii="Times New Roman" w:hAnsi="Times New Roman"/>
          <w:sz w:val="24"/>
        </w:rPr>
        <w:t xml:space="preserve">(1) any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or liquidity requirement (for which such Issuing Bank is not otherwise compensated hereunder) not in effect on the date hereof, or shall impose upon such Issuing Bank any unreimbursed loss, cost or expense which was not applicable on the Effective Date and which such Issuing Bank in good faith deems material to it;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such circumstance shall not affect such Lender’s obligations pursuant to Section 2.13(c); </w:t>
      </w:r>
    </w:p>
    <w:p>
      <w:pPr>
        <w:pStyle w:val="TextBody"/>
        <w:bidi w:val="0"/>
        <w:spacing w:before="240" w:after="0"/>
        <w:jc w:val="both"/>
        <w:rPr>
          <w:rFonts w:ascii="Times New Roman" w:hAnsi="Times New Roman"/>
          <w:sz w:val="24"/>
        </w:rPr>
      </w:pPr>
      <w:r>
        <w:rPr>
          <w:rFonts w:ascii="Times New Roman" w:hAnsi="Times New Roman"/>
          <w:sz w:val="24"/>
        </w:rPr>
        <w:t xml:space="preserve">(2) the issuance of the Letter of Credit would violate one or more policies of such Issuing Bank applicable to letters of credit generally; </w:t>
      </w:r>
    </w:p>
    <w:p>
      <w:pPr>
        <w:pStyle w:val="TextBody"/>
        <w:bidi w:val="0"/>
        <w:spacing w:before="240" w:after="0"/>
        <w:jc w:val="both"/>
        <w:rPr>
          <w:rFonts w:ascii="Times New Roman" w:hAnsi="Times New Roman"/>
          <w:sz w:val="24"/>
        </w:rPr>
      </w:pPr>
      <w:r>
        <w:rPr>
          <w:rFonts w:ascii="Times New Roman" w:hAnsi="Times New Roman"/>
          <w:sz w:val="24"/>
        </w:rPr>
        <w:t xml:space="preserve">(3) except as otherwise agreed by the Administrative Agent and such Issuing Bank, the Letter of Credit is in an initial stated amount less than $100,000, in the case of a Commercial Letter of Credit, or $500,000, in the case of a standby Letter of Credit; </w:t>
      </w:r>
    </w:p>
    <w:p>
      <w:pPr>
        <w:pStyle w:val="TextBody"/>
        <w:bidi w:val="0"/>
        <w:spacing w:before="240" w:after="0"/>
        <w:jc w:val="both"/>
        <w:rPr>
          <w:rFonts w:ascii="Times New Roman" w:hAnsi="Times New Roman"/>
          <w:sz w:val="24"/>
        </w:rPr>
      </w:pPr>
      <w:r>
        <w:rPr>
          <w:rFonts w:ascii="Times New Roman" w:hAnsi="Times New Roman"/>
          <w:sz w:val="24"/>
        </w:rPr>
        <w:t xml:space="preserve">(4) except as otherwise agreed by the Administrative Agent and such Issuing Bank, the Letter of Credit is to be denominated in a currency other than Dollars or an Alternative Currency; </w:t>
      </w:r>
    </w:p>
    <w:p>
      <w:pPr>
        <w:pStyle w:val="TextBody"/>
        <w:bidi w:val="0"/>
        <w:spacing w:before="240" w:after="0"/>
        <w:jc w:val="both"/>
        <w:rPr>
          <w:rFonts w:ascii="Times New Roman" w:hAnsi="Times New Roman"/>
          <w:sz w:val="24"/>
        </w:rPr>
      </w:pPr>
      <w:r>
        <w:rPr>
          <w:rFonts w:ascii="Times New Roman" w:hAnsi="Times New Roman"/>
          <w:sz w:val="24"/>
        </w:rPr>
        <w:t xml:space="preserve">(5) any Lender is at that time a Defaulting Lender, unless such Issuing Bank has entered into arrangements, including the delivery of Cash Collateral, satisfactory to such Issuing Bank (in its sole discretion) with the Company or such Lender to eliminate such Issuing Bank’s actual or potential Fronting Exposure (after giving effect to </w:t>
      </w:r>
      <w:r>
        <w:rPr>
          <w:rFonts w:ascii="Times New Roman" w:hAnsi="Times New Roman"/>
          <w:sz w:val="24"/>
          <w:u w:val="single"/>
        </w:rPr>
        <w:t>Section 2.16(a)(iv</w:t>
      </w:r>
      <w:r>
        <w:rPr>
          <w:rFonts w:ascii="Times New Roman" w:hAnsi="Times New Roman"/>
          <w:sz w:val="24"/>
        </w:rPr>
        <w:t xml:space="preserve">)) with respect to the Defaulting Lender arising from either the Letter of Credit then proposed to be issued or that Letter of Credit and all other L/C Obligations as to which such Issuing Bank has actual or potential Fronting Exposure, as it may elect in its sole discretion; or </w:t>
      </w:r>
    </w:p>
    <w:p>
      <w:pPr>
        <w:pStyle w:val="TextBody"/>
        <w:bidi w:val="0"/>
        <w:spacing w:before="240" w:after="0"/>
        <w:jc w:val="both"/>
        <w:rPr>
          <w:rFonts w:ascii="Times New Roman" w:hAnsi="Times New Roman"/>
          <w:sz w:val="24"/>
        </w:rPr>
      </w:pPr>
      <w:r>
        <w:rPr>
          <w:rFonts w:ascii="Times New Roman" w:hAnsi="Times New Roman"/>
          <w:sz w:val="24"/>
        </w:rPr>
        <w:t xml:space="preserve">(6) the Letter of Credit contains any provisions for automatic reinstatement of the stated amount after any drawing thereunder. </w:t>
      </w:r>
    </w:p>
    <w:p>
      <w:pPr>
        <w:pStyle w:val="TextBody"/>
        <w:bidi w:val="0"/>
        <w:spacing w:before="240" w:after="0"/>
        <w:jc w:val="both"/>
        <w:rPr>
          <w:rFonts w:ascii="Times New Roman" w:hAnsi="Times New Roman"/>
          <w:sz w:val="24"/>
        </w:rPr>
      </w:pPr>
      <w:r>
        <w:rPr>
          <w:rFonts w:ascii="Times New Roman" w:hAnsi="Times New Roman"/>
          <w:sz w:val="24"/>
        </w:rPr>
        <w:t xml:space="preserve">(d) No Issuing Bank shall amend any Letter of Credit if such Issuing Bank would not be permitted at such time to issue the Letter of Credit in its amended form under the terms hereof. </w:t>
      </w:r>
    </w:p>
    <w:p>
      <w:pPr>
        <w:pStyle w:val="TextBody"/>
        <w:bidi w:val="0"/>
        <w:spacing w:before="240" w:after="0"/>
        <w:jc w:val="both"/>
        <w:rPr>
          <w:rFonts w:ascii="Times New Roman" w:hAnsi="Times New Roman"/>
          <w:sz w:val="24"/>
        </w:rPr>
      </w:pPr>
      <w:r>
        <w:rPr>
          <w:rFonts w:ascii="Times New Roman" w:hAnsi="Times New Roman"/>
          <w:sz w:val="24"/>
        </w:rPr>
        <w:t xml:space="preserve">(e) No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(f) Each Issuing Bank shall act on behalf of the Lenders with respect to any Letters of Credit issued by it and the documents associated therewith, and each Issuing Bank shall have all of the benefits and immunities (A) provided to the Administrative Agent in </w:t>
      </w:r>
      <w:r>
        <w:rPr>
          <w:rFonts w:ascii="Times New Roman" w:hAnsi="Times New Roman"/>
          <w:sz w:val="24"/>
          <w:u w:val="single"/>
        </w:rPr>
        <w:t>Article 9</w:t>
      </w:r>
      <w:r>
        <w:rPr>
          <w:rFonts w:ascii="Times New Roman" w:hAnsi="Times New Roman"/>
          <w:sz w:val="24"/>
        </w:rPr>
        <w:t xml:space="preserve"> with respect to any acts taken or omissions suffered by such Issuing Bank in connection with Letters of Credit issued by it or proposed to be issued by it and Issuer Documents pertaining to such Letters of Credit as fully as if the term “Administrative Agent” as used in </w:t>
      </w:r>
      <w:r>
        <w:rPr>
          <w:rFonts w:ascii="Times New Roman" w:hAnsi="Times New Roman"/>
          <w:sz w:val="24"/>
          <w:u w:val="single"/>
        </w:rPr>
        <w:t>Article 9</w:t>
      </w:r>
      <w:r>
        <w:rPr>
          <w:rFonts w:ascii="Times New Roman" w:hAnsi="Times New Roman"/>
          <w:sz w:val="24"/>
        </w:rPr>
        <w:t xml:space="preserve"> included such Issuing Bank with respect to such acts or omissions, and (B) as additionally provided herein with respect to the Issuing Banks.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Procedures for Issuance and Amendment of Letters of Credit; Auto-Extension Letters of Credit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Letter of Credit shall be issued or amended, as the case may be, upon the request of the Company delivered to the applicable Issuing Bank (with a copy to the Administrative Agent) in the form of a Letter of Credit Application, appropriately completed to the reasonable satisfaction of the applicable Issuing Bank and signed by a responsible officer of the Company. Such Letter of Credit Application must be received by the applicable Issuing Bank and the Administrative Agent not later than 11:00 a.m. at least, in the case of Letters of Credit denominated in Dollars, two (2) Business Days </w:t>
      </w:r>
      <w:r>
        <w:rPr>
          <w:rFonts w:ascii="Times New Roman" w:hAnsi="Times New Roman"/>
          <w:strike/>
          <w:color w:val="FF0000"/>
          <w:sz w:val="24"/>
        </w:rPr>
        <w:t>(or, if the Issuing Bank is Barclays Bank PLC or any of its affiliates, three (3) Business Days)</w:t>
      </w:r>
      <w:r>
        <w:rPr>
          <w:rFonts w:ascii="Times New Roman" w:hAnsi="Times New Roman"/>
          <w:sz w:val="24"/>
        </w:rPr>
        <w:t xml:space="preserve"> and, in the case of Letters of Credit denominated in an Alternative Currency, four (4) Business Days </w:t>
      </w:r>
      <w:r>
        <w:rPr>
          <w:rFonts w:ascii="Times New Roman" w:hAnsi="Times New Roman"/>
          <w:strike/>
          <w:color w:val="FF0000"/>
          <w:sz w:val="24"/>
        </w:rPr>
        <w:t>(or, if the Issuing Bank is Barclays Bank PLC or any of</w:t>
      </w:r>
      <w:r>
        <w:rPr>
          <w:rFonts w:ascii="Times New Roman" w:hAnsi="Times New Roman"/>
          <w:sz w:val="24"/>
        </w:rPr>
        <w:t xml:space="preserve"> </w:t>
      </w:r>
      <w:r>
        <w:rPr>
          <w:rFonts w:ascii="Times New Roman" w:hAnsi="Times New Roman"/>
          <w:strike/>
          <w:color w:val="FF0000"/>
          <w:sz w:val="24"/>
        </w:rPr>
        <w:t>its affiliates, five (5) Business Days)</w:t>
      </w:r>
      <w:r>
        <w:rPr>
          <w:rFonts w:ascii="Times New Roman" w:hAnsi="Times New Roman"/>
          <w:sz w:val="24"/>
        </w:rPr>
        <w:t xml:space="preserve"> (or, in each case, such later date and time as the Administrative Agent and such Issuing Bank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 (C) the nature of the proposed amendment; and (D) such other matters as such Issuing Bank may require. Additionally, the Company shall furnish to the applicable Issuing Bank and the Administrative Agent such other documents and information pertaining to such requested Letter of Credit issuance or amendment, including any Issuer Documents, as such Issuing Bank or the Administrative Agent may require. </w:t>
      </w:r>
    </w:p>
    <w:p>
      <w:pPr>
        <w:pStyle w:val="TextBody"/>
        <w:bidi w:val="0"/>
        <w:spacing w:before="240" w:after="0"/>
        <w:jc w:val="both"/>
        <w:rPr>
          <w:rFonts w:ascii="Times New Roman" w:hAnsi="Times New Roman"/>
          <w:sz w:val="24"/>
        </w:rPr>
      </w:pPr>
      <w:r>
        <w:rPr>
          <w:rFonts w:ascii="Times New Roman" w:hAnsi="Times New Roman"/>
          <w:sz w:val="24"/>
        </w:rPr>
        <w:t xml:space="preserve">(b) Promptly after receipt of any Letter of Credit Application, the applicable Issuing Bank will confirm with the Administrative Agent (by telephone or in writing) that the Administrative Agent has received a copy of such Letter of Credit Application from the Company and, if not, such Issuing Bank will provide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Administrative Agent with a copy thereof. Unless the applicable Issuing Bank has received written notice from any Lender, the Administrative Agent or the Company, at least one (1) Business Day prior to the requested date of issuance or amendment of the applicable Letter of Credit, that one or more applicable conditions contained in </w:t>
      </w:r>
      <w:r>
        <w:rPr>
          <w:rFonts w:ascii="Times New Roman" w:hAnsi="Times New Roman"/>
          <w:sz w:val="24"/>
          <w:u w:val="single"/>
        </w:rPr>
        <w:t>Article 3</w:t>
      </w:r>
      <w:r>
        <w:rPr>
          <w:rFonts w:ascii="Times New Roman" w:hAnsi="Times New Roman"/>
          <w:sz w:val="24"/>
        </w:rPr>
        <w:t xml:space="preserve"> shall not then be satisfied, then, subject to the terms and conditions hereof, such Issuing Bank shall, on the requested date, issue a Letter of Credit for the account of the Company (or the applicable Subsidiary) or enter into the applicable amendment, as the case may be, in each case in accordance with such Issuing Bank’s usual and customary business practices. Immediately upon the issuance of each Letter of Credit, each Lender shall be deemed to, and hereby irrevocably and unconditionally agrees to, purchase from the applicable Issuing Bank a risk participation in such Letter of Credit in an amount equal to the product of such Lender’s Commitment Ratio </w:t>
      </w:r>
      <w:r>
        <w:rPr>
          <w:rFonts w:ascii="Times New Roman" w:hAnsi="Times New Roman"/>
          <w:sz w:val="24"/>
          <w:u w:val="single"/>
        </w:rPr>
        <w:t>times</w:t>
      </w:r>
      <w:r>
        <w:rPr>
          <w:rFonts w:ascii="Times New Roman" w:hAnsi="Times New Roman"/>
          <w:sz w:val="24"/>
        </w:rPr>
        <w:t xml:space="preserve"> the amount of such Letter of Credit. </w:t>
      </w:r>
    </w:p>
    <w:p>
      <w:pPr>
        <w:pStyle w:val="TextBody"/>
        <w:bidi w:val="0"/>
        <w:spacing w:before="240" w:after="0"/>
        <w:jc w:val="both"/>
        <w:rPr>
          <w:rFonts w:ascii="Times New Roman" w:hAnsi="Times New Roman"/>
          <w:sz w:val="24"/>
        </w:rPr>
      </w:pPr>
      <w:r>
        <w:rPr>
          <w:rFonts w:ascii="Times New Roman" w:hAnsi="Times New Roman"/>
          <w:sz w:val="24"/>
        </w:rPr>
        <w:t>(c) If the Company so requests in any applicable Letter of Credit Application, the applicable Issuing Bank may, in its sole discretion, agree to issue a Letter of Credit that has automatic extension provisions (each, an “</w:t>
      </w:r>
      <w:r>
        <w:rPr>
          <w:rFonts w:ascii="Times New Roman" w:hAnsi="Times New Roman"/>
          <w:sz w:val="24"/>
          <w:u w:val="single"/>
        </w:rPr>
        <w:t>Auto-Extension</w:t>
      </w:r>
      <w:r>
        <w:rPr>
          <w:rFonts w:ascii="Times New Roman" w:hAnsi="Times New Roman"/>
          <w:sz w:val="24"/>
        </w:rPr>
        <w:t xml:space="preserve"> </w:t>
      </w:r>
      <w:r>
        <w:rPr>
          <w:rFonts w:ascii="Times New Roman" w:hAnsi="Times New Roman"/>
          <w:sz w:val="24"/>
          <w:u w:val="single"/>
        </w:rPr>
        <w:t>Letter of Credit</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Times New Roman" w:hAnsi="Times New Roman"/>
          <w:sz w:val="24"/>
          <w:u w:val="single"/>
        </w:rPr>
        <w:t>Non-Extension Notice Date</w:t>
      </w:r>
      <w:r>
        <w:rPr>
          <w:rFonts w:ascii="Times New Roman" w:hAnsi="Times New Roman"/>
          <w:sz w:val="24"/>
        </w:rPr>
        <w:t xml:space="preserve">”) in each such twelve-month period to be agreed upon at the time such Letter of Credit is issued. Unless otherwise directed by the applicable Issuing Bank, the Company shall not be required to make a specific request to such Issuing Bank for any such extension. Once an Auto-Extension Letter of Credit has been issued, the Lenders shall be deemed to have authorized (but may not require) the applicable Issuing Bank to permit the extension of such Letter of Credit at any time to an expiry date not later than the Letter of Credit Expiration 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Issuing Bank shall not permit any such extension if (A) such Issuing Bank has determined that it would not be permitted, or would have no obligation, at such time to issue such Letter of Credit in its revised form (as extended) under the terms hereof (by reason of the provisions of clause (ii) or (iii) of </w:t>
      </w:r>
      <w:r>
        <w:rPr>
          <w:rFonts w:ascii="Times New Roman" w:hAnsi="Times New Roman"/>
          <w:sz w:val="24"/>
          <w:u w:val="single"/>
        </w:rPr>
        <w:t>Section 2.13(a)</w:t>
      </w:r>
      <w:r>
        <w:rPr>
          <w:rFonts w:ascii="Times New Roman" w:hAnsi="Times New Roman"/>
          <w:sz w:val="24"/>
        </w:rPr>
        <w:t xml:space="preserve"> or otherwise), or (B) it has received notice (which may be by telephone or in writing) on or before the day that is seven (7) Business Days before the Non-Extension Notice Date (1) from the Administrative Agent that the Majority Lenders have elected not to permit such extension or (2) from the Administrative Agent, any Lender or the Company that one or more of the applicable conditions specified in </w:t>
      </w:r>
      <w:r>
        <w:rPr>
          <w:rFonts w:ascii="Times New Roman" w:hAnsi="Times New Roman"/>
          <w:sz w:val="24"/>
          <w:u w:val="single"/>
        </w:rPr>
        <w:t>Section 3.4</w:t>
      </w:r>
      <w:r>
        <w:rPr>
          <w:rFonts w:ascii="Times New Roman" w:hAnsi="Times New Roman"/>
          <w:sz w:val="24"/>
        </w:rPr>
        <w:t xml:space="preserve"> is not then satisfied, and in each such case directing such Issuing Bank not to permit such extension. </w:t>
      </w:r>
    </w:p>
    <w:p>
      <w:pPr>
        <w:pStyle w:val="TextBody"/>
        <w:bidi w:val="0"/>
        <w:spacing w:before="240" w:after="0"/>
        <w:jc w:val="both"/>
        <w:rPr>
          <w:rFonts w:ascii="Times New Roman" w:hAnsi="Times New Roman"/>
          <w:sz w:val="24"/>
        </w:rPr>
      </w:pPr>
      <w:r>
        <w:rPr>
          <w:rFonts w:ascii="Times New Roman" w:hAnsi="Times New Roman"/>
          <w:sz w:val="24"/>
        </w:rPr>
        <w:t xml:space="preserve">(d) Promptly after its delivery of any Letter of Credit or any amendment to a Letter of Credit to an advising bank with respect thereto or to the beneficiary thereof, the applicable Issuing Bank will also deliver to the Company and the Administrative Agent a true and complete copy of such Letter of Credit or amendment.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Drawings and Reimbursements; Funding of Participations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(a) Upon receipt from the beneficiary of any Letter of Credit of any notice of a drawing under such Letter of Credit, the applicable Issuing Bank shall notify the Company and the Administrative Agent thereof. Not later than 11:00 a.m. on the date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of any payment by the applicable Issuing Bank under a Letter of Credit (each such date, an “</w:t>
      </w:r>
      <w:r>
        <w:rPr>
          <w:rFonts w:ascii="Times New Roman" w:hAnsi="Times New Roman"/>
          <w:sz w:val="24"/>
          <w:u w:val="single"/>
        </w:rPr>
        <w:t>Honor Date</w:t>
      </w:r>
      <w:r>
        <w:rPr>
          <w:rFonts w:ascii="Times New Roman" w:hAnsi="Times New Roman"/>
          <w:sz w:val="24"/>
        </w:rPr>
        <w:t>”), the Company shall reimburse such Issuing Bank through the Administrative Agent in an amount equal to the amount of such drawing; provided, however, that in the case of a Letter of Credit denominated in an Alternative Currency, the Company shall reimburse such Issuing Bank in Dollars, and such Issuing Bank shall notify the Company of the Dollar Equivalent of the amount of the drawing promptly following the determination thereof. If the Company fails to so reimburse the applicable Issuing Bank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hAnsi="Times New Roman"/>
          <w:sz w:val="24"/>
          <w:u w:val="single"/>
        </w:rPr>
        <w:t>Unreimbursed Amount</w:t>
      </w:r>
      <w:r>
        <w:rPr>
          <w:rFonts w:ascii="Times New Roman" w:hAnsi="Times New Roman"/>
          <w:sz w:val="24"/>
        </w:rPr>
        <w:t xml:space="preserve">”), and the amount of such Lender’s Commitment Ratio thereof. In such event, the Company shall be deemed to have requested an Advance of Base Rate Advances to be disbursed on the Honor Date in an amount equal to the Unreimbursed Amount, without regard to the minimum and multiples for the principal amount of Base Rate Advances, but subject to the amount of the Available Revolving Loan Commitments and the conditions set forth in </w:t>
      </w:r>
      <w:r>
        <w:rPr>
          <w:rFonts w:ascii="Times New Roman" w:hAnsi="Times New Roman"/>
          <w:sz w:val="24"/>
          <w:u w:val="single"/>
        </w:rPr>
        <w:t>Section 3.3</w:t>
      </w:r>
      <w:r>
        <w:rPr>
          <w:rFonts w:ascii="Times New Roman" w:hAnsi="Times New Roman"/>
          <w:sz w:val="24"/>
        </w:rPr>
        <w:t xml:space="preserve"> (other than the delivery of a Request for Advance). Any notice given by an Issuing Bank or the Administrative Agent pursuant to this Section 2.13(c)(i) may be given by telephone if immediately confirmed in writing; </w:t>
      </w:r>
      <w:r>
        <w:rPr>
          <w:rFonts w:ascii="Times New Roman" w:hAnsi="Times New Roman"/>
          <w:sz w:val="24"/>
          <w:u w:val="single"/>
        </w:rPr>
        <w:t>provided</w:t>
      </w:r>
      <w:r>
        <w:rPr>
          <w:rFonts w:ascii="Times New Roman" w:hAnsi="Times New Roman"/>
          <w:sz w:val="24"/>
        </w:rPr>
        <w:t xml:space="preserve"> that the lack of such an immediate confirmation shall not affect the conclusiveness or binding effect of such notice. </w:t>
      </w:r>
    </w:p>
    <w:p>
      <w:pPr>
        <w:pStyle w:val="TextBody"/>
        <w:bidi w:val="0"/>
        <w:spacing w:before="240" w:after="0"/>
        <w:jc w:val="both"/>
        <w:rPr>
          <w:rFonts w:ascii="Times New Roman" w:hAnsi="Times New Roman"/>
          <w:sz w:val="24"/>
        </w:rPr>
      </w:pPr>
      <w:r>
        <w:rPr>
          <w:rFonts w:ascii="Times New Roman" w:hAnsi="Times New Roman"/>
          <w:sz w:val="24"/>
        </w:rPr>
        <w:t xml:space="preserve">(b) Each Lender shall upon any notice pursuant to </w:t>
      </w:r>
      <w:r>
        <w:rPr>
          <w:rFonts w:ascii="Times New Roman" w:hAnsi="Times New Roman"/>
          <w:sz w:val="24"/>
          <w:u w:val="single"/>
        </w:rPr>
        <w:t>Section 2.13(c)(i)</w:t>
      </w:r>
      <w:r>
        <w:rPr>
          <w:rFonts w:ascii="Times New Roman" w:hAnsi="Times New Roman"/>
          <w:sz w:val="24"/>
        </w:rPr>
        <w:t xml:space="preserve"> make funds available (and the Administrative Agent may apply Cash Collateral provided for this purpose) for the account of the applicable Issuing Bank at the Administrative Agent’s Office in an amount equal to its Commitment Ratio of the Unreimbursed Amount not later than 1:00 p.m. on the Business Day specified in such notice by the Administrative Agent, whereupon, subject to the provisions of </w:t>
      </w:r>
      <w:r>
        <w:rPr>
          <w:rFonts w:ascii="Times New Roman" w:hAnsi="Times New Roman"/>
          <w:sz w:val="24"/>
          <w:u w:val="single"/>
        </w:rPr>
        <w:t>Section 2.13(c)(iii)</w:t>
      </w:r>
      <w:r>
        <w:rPr>
          <w:rFonts w:ascii="Times New Roman" w:hAnsi="Times New Roman"/>
          <w:sz w:val="24"/>
        </w:rPr>
        <w:t xml:space="preserve">, each Lender that so makes funds available shall be deemed to have made a Base Rate Advances to the Company in such amount. The Administrative Agent shall remit the funds so received to the applicable Issuing Bank. </w:t>
      </w:r>
    </w:p>
    <w:p>
      <w:pPr>
        <w:pStyle w:val="TextBody"/>
        <w:bidi w:val="0"/>
        <w:spacing w:before="240" w:after="0"/>
        <w:jc w:val="both"/>
        <w:rPr>
          <w:rFonts w:ascii="Times New Roman" w:hAnsi="Times New Roman"/>
          <w:sz w:val="24"/>
        </w:rPr>
      </w:pPr>
      <w:r>
        <w:rPr>
          <w:rFonts w:ascii="Times New Roman" w:hAnsi="Times New Roman"/>
          <w:sz w:val="24"/>
        </w:rPr>
        <w:t xml:space="preserve">(c) With respect to any Unreimbursed Amount that is not fully refinanced by an Advance of Base Rate Advances because the conditions set forth in </w:t>
      </w:r>
      <w:r>
        <w:rPr>
          <w:rFonts w:ascii="Times New Roman" w:hAnsi="Times New Roman"/>
          <w:sz w:val="24"/>
          <w:u w:val="single"/>
        </w:rPr>
        <w:t>Section 3.3</w:t>
      </w:r>
      <w:r>
        <w:rPr>
          <w:rFonts w:ascii="Times New Roman" w:hAnsi="Times New Roman"/>
          <w:sz w:val="24"/>
        </w:rPr>
        <w:t xml:space="preserve"> cannot be satisfied or for any other reason, the Company shall be deemed to have incurred from the applicable Issuing Bank an L/C Advance in the amount of the Unreimbursed Amount that is not so refinanced, which L/C Advance shall be due and payable on demand (together with interest) and shall bear interest at the Default Rate. In such event, each Lender’s payment to the Administrative Agent for the account of the applicable Issuing Bank pursuant to </w:t>
      </w:r>
      <w:r>
        <w:rPr>
          <w:rFonts w:ascii="Times New Roman" w:hAnsi="Times New Roman"/>
          <w:sz w:val="24"/>
          <w:u w:val="single"/>
        </w:rPr>
        <w:t>Section 2.13(c)(ii)</w:t>
      </w:r>
      <w:r>
        <w:rPr>
          <w:rFonts w:ascii="Times New Roman" w:hAnsi="Times New Roman"/>
          <w:sz w:val="24"/>
        </w:rPr>
        <w:t xml:space="preserve"> shall be deemed payment in respect of its participation in such L/C Advance and shall constitute an L/C Loan from such Lender in satisfaction of its participation obligation under this Section 2.13. </w:t>
      </w:r>
    </w:p>
    <w:p>
      <w:pPr>
        <w:pStyle w:val="TextBody"/>
        <w:bidi w:val="0"/>
        <w:spacing w:before="240" w:after="0"/>
        <w:jc w:val="both"/>
        <w:rPr>
          <w:rFonts w:ascii="Times New Roman" w:hAnsi="Times New Roman"/>
          <w:sz w:val="24"/>
        </w:rPr>
      </w:pPr>
      <w:r>
        <w:rPr>
          <w:rFonts w:ascii="Times New Roman" w:hAnsi="Times New Roman"/>
          <w:sz w:val="24"/>
        </w:rPr>
        <w:t xml:space="preserve">(d) Until each Lender funds its Revolving Loan or L/C Loan pursuant to this Section 2.13(c) to reimburse the applicable Issuing Bank for any amount drawn under any Letter of Credit issued by it, interest in respect of such Lender’s Commitment Ratio of such amount shall be solely for the account of such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(e) Each Lender’s obligation to make Revolving Loans or L/C Loans to reimburse an Issuing Bank for amounts drawn under Letters of Credit, as contemplated by this Section 2.13(c), shall be absolute and unconditional and shall not be affected by any circumstance, including (A) any setoff, counterclaim, recoupment, defense or other right which such Lender may have against such Issuing Bank, the Company or any other Person for any reason whatsoever; (B) the occurrence or continuance of a Default, or (C) any other occurrence, event or condition, whether or not similar to any of the foregoing;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each Lender’s obligation to make Revolving Loans pursuant to this Section 2.13(c) is subject to the conditions set forth in Section 3.3 (other than delivery by the Company of a Request for Advance). No such making of an L/C Loan shall relieve or otherwise impair the obligation of the Company to reimburse the applicable Issuing Bank for the amount of any payment made by such Issuing Bank under any Letter of Credit issued by it, together with interest as provided herein. </w:t>
      </w:r>
    </w:p>
    <w:p>
      <w:pPr>
        <w:pStyle w:val="TextBody"/>
        <w:bidi w:val="0"/>
        <w:spacing w:before="240" w:after="0"/>
        <w:jc w:val="both"/>
        <w:rPr>
          <w:rFonts w:ascii="Times New Roman" w:hAnsi="Times New Roman"/>
          <w:sz w:val="24"/>
        </w:rPr>
      </w:pPr>
      <w:r>
        <w:rPr>
          <w:rFonts w:ascii="Times New Roman" w:hAnsi="Times New Roman"/>
          <w:sz w:val="24"/>
        </w:rPr>
        <w:t xml:space="preserve">(f) If any Lender fails to make available to the Administrative Agent for the account of an Issuing Bank any amount required to be paid by such Lender pursuant to the foregoing provisions of this Section 2.13(c) by the time specified in Section 2.13(c)(ii),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shall constitute such Lender’s Revolving Loan included in the relevant Advance or L/C Loan in respect of the relevant L/C Advance, as the case may be. A certificate of the applicable Issuing Bank submitted to any Lender (through the Administrative Agent) with respect to any amounts owing under this clause (vi) shall be conclusive absent manifest error.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Repayment of Participations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(a) At any time after an Issuing Bank has made a payment under any Letter of Credit issued by it and has received from any Lender such Lender’s L/C Loan in respect of such payment in accordance with </w:t>
      </w:r>
      <w:r>
        <w:rPr>
          <w:rFonts w:ascii="Times New Roman" w:hAnsi="Times New Roman"/>
          <w:sz w:val="24"/>
          <w:u w:val="single"/>
        </w:rPr>
        <w:t>Section 2.13(c)</w:t>
      </w:r>
      <w:r>
        <w:rPr>
          <w:rFonts w:ascii="Times New Roman" w:hAnsi="Times New Roman"/>
          <w:sz w:val="24"/>
        </w:rPr>
        <w:t xml:space="preserve">, if the Administrative Agent receives for the account of such Issuing Bank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pro rata share thereof in the same funds as those received by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(b) If any payment received by the Administrative Agent for the account of an Issuing Bank pursuant to </w:t>
      </w:r>
      <w:r>
        <w:rPr>
          <w:rFonts w:ascii="Times New Roman" w:hAnsi="Times New Roman"/>
          <w:sz w:val="24"/>
          <w:u w:val="single"/>
        </w:rPr>
        <w:t>Section 2.13(c)(i)</w:t>
      </w:r>
      <w:r>
        <w:rPr>
          <w:rFonts w:ascii="Times New Roman" w:hAnsi="Times New Roman"/>
          <w:sz w:val="24"/>
        </w:rPr>
        <w:t xml:space="preserve"> is required to be returned because it is invalidated, declared to be fraudulent or preferential, set aside or required (including pursuant to any settlement entered into by such Issuing Bank in its discretion) to be repaid to a trustee, receiver or any other party in connection with any proceeding under any debtor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relief law or otherwise, each Lender shall pay to the Administrative Agent for the account of such Issuing Bank its Commitment Ratio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Obligations Absolute</w:t>
      </w:r>
      <w:r>
        <w:rPr>
          <w:rFonts w:ascii="Times New Roman" w:hAnsi="Times New Roman"/>
          <w:sz w:val="24"/>
        </w:rPr>
        <w:t xml:space="preserve">. The obligation of the Company to reimburse each Issuing Bank for each drawing under each Letter of Credit issued by it and to repay each L/C Loan shall be absolute, unconditional and irrevocable, and shall be paid strictly in accordance with the terms of this Agreement under all circumstances, including the following: </w:t>
      </w:r>
    </w:p>
    <w:p>
      <w:pPr>
        <w:pStyle w:val="TextBody"/>
        <w:bidi w:val="0"/>
        <w:spacing w:before="240" w:after="0"/>
        <w:jc w:val="both"/>
        <w:rPr>
          <w:rFonts w:ascii="Times New Roman" w:hAnsi="Times New Roman"/>
          <w:sz w:val="24"/>
        </w:rPr>
      </w:pPr>
      <w:r>
        <w:rPr>
          <w:rFonts w:ascii="Times New Roman" w:hAnsi="Times New Roman"/>
          <w:sz w:val="24"/>
        </w:rPr>
        <w:t xml:space="preserve">(a) any lack of validity or enforceability of such Letter of Credit, this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 xml:space="preserve">(b) the existence of any claim, counterclaim, setoff, defense or other right that the Company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 </w:t>
      </w:r>
    </w:p>
    <w:p>
      <w:pPr>
        <w:pStyle w:val="TextBody"/>
        <w:bidi w:val="0"/>
        <w:spacing w:before="240" w:after="0"/>
        <w:jc w:val="both"/>
        <w:rPr>
          <w:rFonts w:ascii="Times New Roman" w:hAnsi="Times New Roman"/>
          <w:sz w:val="24"/>
        </w:rPr>
      </w:pPr>
      <w:r>
        <w:rPr>
          <w:rFonts w:ascii="Times New Roman" w:hAnsi="Times New Roman"/>
          <w:sz w:val="24"/>
        </w:rPr>
        <w:t xml:space="preserve">(c) any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240" w:after="0"/>
        <w:jc w:val="both"/>
        <w:rPr>
          <w:rFonts w:ascii="Times New Roman" w:hAnsi="Times New Roman"/>
          <w:sz w:val="24"/>
        </w:rPr>
      </w:pPr>
      <w:r>
        <w:rPr>
          <w:rFonts w:ascii="Times New Roman" w:hAnsi="Times New Roman"/>
          <w:sz w:val="24"/>
        </w:rPr>
        <w:t xml:space="preserve">(d) any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other debtor relief law; or </w:t>
      </w:r>
    </w:p>
    <w:p>
      <w:pPr>
        <w:pStyle w:val="TextBody"/>
        <w:bidi w:val="0"/>
        <w:spacing w:before="240" w:after="0"/>
        <w:jc w:val="both"/>
        <w:rPr>
          <w:rFonts w:ascii="Times New Roman" w:hAnsi="Times New Roman"/>
          <w:sz w:val="24"/>
        </w:rPr>
      </w:pPr>
      <w:r>
        <w:rPr>
          <w:rFonts w:ascii="Times New Roman" w:hAnsi="Times New Roman"/>
          <w:sz w:val="24"/>
        </w:rPr>
        <w:t xml:space="preserve">(e) any other circumstance or happening whatsoever, whether or not similar to any of the foregoing, including any other circumstance that might otherwise constitute a defense available to, or a discharge of, the Company or any Subsidiary. </w:t>
      </w:r>
    </w:p>
    <w:p>
      <w:pPr>
        <w:pStyle w:val="TextBody"/>
        <w:bidi w:val="0"/>
        <w:spacing w:before="240" w:after="0"/>
        <w:jc w:val="both"/>
        <w:rPr>
          <w:rFonts w:ascii="Times New Roman" w:hAnsi="Times New Roman"/>
          <w:sz w:val="24"/>
        </w:rPr>
      </w:pPr>
      <w:r>
        <w:rPr>
          <w:rFonts w:ascii="Times New Roman" w:hAnsi="Times New Roman"/>
          <w:sz w:val="24"/>
        </w:rPr>
        <w:t xml:space="preserve">The Company shall promptly examine a copy of each Letter of Credit and each amendment thereto that is delivered to it and, in the event of any claim of noncompliance with the Company’s instructions or other irregularity, the Company will immediately notify the applicable Issuing Bank. The Company shall be conclusively deemed to have waived any such claim against such Issuing Bank and its correspondents unless such notice is given as aforesaid. </w:t>
      </w:r>
    </w:p>
    <w:p>
      <w:pPr>
        <w:pStyle w:val="TextBody"/>
        <w:bidi w:val="0"/>
        <w:spacing w:before="240" w:after="0"/>
        <w:jc w:val="both"/>
        <w:rPr>
          <w:rFonts w:ascii="Times New Roman" w:hAnsi="Times New Roman"/>
          <w:sz w:val="24"/>
        </w:rPr>
      </w:pPr>
      <w:r>
        <w:rPr>
          <w:rFonts w:ascii="Times New Roman" w:hAnsi="Times New Roman"/>
          <w:sz w:val="24"/>
        </w:rPr>
        <w:t>(vi) </w:t>
      </w:r>
      <w:r>
        <w:rPr>
          <w:rFonts w:ascii="Times New Roman" w:hAnsi="Times New Roman"/>
          <w:sz w:val="24"/>
          <w:u w:val="single"/>
        </w:rPr>
        <w:t>Role of Issuing Bank</w:t>
      </w:r>
      <w:r>
        <w:rPr>
          <w:rFonts w:ascii="Times New Roman" w:hAnsi="Times New Roman"/>
          <w:sz w:val="24"/>
        </w:rPr>
        <w:t xml:space="preserve">. Each Lender and the Company agree that, in paying any drawing under a Letter of Credit, the Issuing Bank that issued such Letter of Credit shall not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 Issuing Bank shall be liable to any Lender for (i) any action taken or omitted in connection herewith at the request or with the approval of the Lenders or the Majority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this assumption is not intended to, and shall not, preclude the Company’s pursuing such rights and remedies as it may have against the beneficiary or transferee at law or under any other agreement. None of the Issuing Banks, the Administrative Agent, any of their respective Related Parties nor any correspondent, participant or assignee of an Issuing Bank shall be liable or responsible for any of the matters described in clauses (i) through (v) of </w:t>
      </w:r>
      <w:r>
        <w:rPr>
          <w:rFonts w:ascii="Times New Roman" w:hAnsi="Times New Roman"/>
          <w:sz w:val="24"/>
          <w:u w:val="single"/>
        </w:rPr>
        <w:t>Section 2.13(e)</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anything in such clauses to the contrary notwithstanding, the Company may have a claim against an Issuing Bank, and an Issuing Bank may be liable to the Company, to the extent, but only to the extent, of any direct, as opposed to consequential or exemplary, damages suffered by the Company which the Company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an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p>
    <w:p>
      <w:pPr>
        <w:pStyle w:val="TextBody"/>
        <w:bidi w:val="0"/>
        <w:spacing w:before="240" w:after="0"/>
        <w:jc w:val="both"/>
        <w:rPr>
          <w:rFonts w:ascii="Times New Roman" w:hAnsi="Times New Roman"/>
          <w:sz w:val="24"/>
        </w:rPr>
      </w:pPr>
      <w:r>
        <w:rPr>
          <w:rFonts w:ascii="Times New Roman" w:hAnsi="Times New Roman"/>
          <w:sz w:val="24"/>
        </w:rPr>
        <w:t>(vii) </w:t>
      </w:r>
      <w:r>
        <w:rPr>
          <w:rFonts w:ascii="Times New Roman" w:hAnsi="Times New Roman"/>
          <w:sz w:val="24"/>
          <w:u w:val="single"/>
        </w:rPr>
        <w:t>Applicability of ISP and UCP</w:t>
      </w:r>
      <w:r>
        <w:rPr>
          <w:rFonts w:ascii="Times New Roman" w:hAnsi="Times New Roman"/>
          <w:sz w:val="24"/>
        </w:rPr>
        <w:t xml:space="preserve">. Unless otherwise expressly agreed by the applicable Issuing Bank and the Company when a Letter of Credit is issued, (i) the rules of the ISP shall apply to each standby Letter of Credit, and (ii) the rules of the UCP, as most recently published by the International Chamber of Commerce at the time of issuance shall apply to each Commercial Letter of Credit. </w:t>
      </w:r>
    </w:p>
    <w:p>
      <w:pPr>
        <w:pStyle w:val="TextBody"/>
        <w:bidi w:val="0"/>
        <w:spacing w:before="240" w:after="0"/>
        <w:jc w:val="both"/>
        <w:rPr>
          <w:rFonts w:ascii="Times New Roman" w:hAnsi="Times New Roman"/>
          <w:sz w:val="24"/>
        </w:rPr>
      </w:pPr>
      <w:r>
        <w:rPr>
          <w:rFonts w:ascii="Times New Roman" w:hAnsi="Times New Roman"/>
          <w:sz w:val="24"/>
        </w:rPr>
        <w:t>(viii) </w:t>
      </w:r>
      <w:r>
        <w:rPr>
          <w:rFonts w:ascii="Times New Roman" w:hAnsi="Times New Roman"/>
          <w:sz w:val="24"/>
          <w:u w:val="single"/>
        </w:rPr>
        <w:t>Conflict with Issuer Documents</w:t>
      </w:r>
      <w:r>
        <w:rPr>
          <w:rFonts w:ascii="Times New Roman" w:hAnsi="Times New Roman"/>
          <w:sz w:val="24"/>
        </w:rPr>
        <w:t xml:space="preserve">. In the event of any conflict between the terms hereof and the terms of any Issuer Document, the terms hereof shall control. </w:t>
      </w:r>
    </w:p>
    <w:p>
      <w:pPr>
        <w:pStyle w:val="TextBody"/>
        <w:bidi w:val="0"/>
        <w:spacing w:before="240" w:after="0"/>
        <w:jc w:val="both"/>
        <w:rPr>
          <w:rFonts w:ascii="Times New Roman" w:hAnsi="Times New Roman"/>
          <w:sz w:val="24"/>
        </w:rPr>
      </w:pPr>
      <w:r>
        <w:rPr>
          <w:rFonts w:ascii="Times New Roman" w:hAnsi="Times New Roman"/>
          <w:sz w:val="24"/>
        </w:rPr>
        <w:t>(ix) </w:t>
      </w:r>
      <w:r>
        <w:rPr>
          <w:rFonts w:ascii="Times New Roman" w:hAnsi="Times New Roman"/>
          <w:sz w:val="24"/>
          <w:u w:val="single"/>
        </w:rPr>
        <w:t>Letters of Credit Issued for Subsidiaries</w:t>
      </w:r>
      <w:r>
        <w:rPr>
          <w:rFonts w:ascii="Times New Roman" w:hAnsi="Times New Roman"/>
          <w:sz w:val="24"/>
        </w:rPr>
        <w:t xml:space="preserve">. Notwithstanding that a Letter of Credit issued or outstanding hereunder is in support of any obligations of, or is for the account of, a Subsidiary, the Company shall be obligated to reimburse the applicable Issuing Bank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(x) </w:t>
      </w:r>
      <w:r>
        <w:rPr>
          <w:rFonts w:ascii="Times New Roman" w:hAnsi="Times New Roman"/>
          <w:sz w:val="24"/>
          <w:u w:val="single"/>
        </w:rPr>
        <w:t>Company Indemnity</w:t>
      </w:r>
      <w:r>
        <w:rPr>
          <w:rFonts w:ascii="Times New Roman" w:hAnsi="Times New Roman"/>
          <w:sz w:val="24"/>
        </w:rPr>
        <w:t xml:space="preserve">. The Company will indemnify and hold harmless the Administrative Agent, each Issuing Bank and each Lender and each of the foregoing Person’s respective employees, representatives, officers and directors from and against any and all claims, liabilities, obligations, losses (other than loss of profits), damages, penalties, actions, judgments, suits, costs, expenses or disbursements of any kind or nature whatsoever (including reasonable attorneys’ fees, but excluding Taxes, which shall be governed exclusively by </w:t>
      </w:r>
      <w:r>
        <w:rPr>
          <w:rFonts w:ascii="Times New Roman" w:hAnsi="Times New Roman"/>
          <w:sz w:val="24"/>
          <w:u w:val="single"/>
        </w:rPr>
        <w:t>Section 10.3</w:t>
      </w:r>
      <w:r>
        <w:rPr>
          <w:rFonts w:ascii="Times New Roman" w:hAnsi="Times New Roman"/>
          <w:sz w:val="24"/>
        </w:rPr>
        <w:t xml:space="preserve">) which may be imposed on, incurred by or asserted against the Administrative Agent, any Issuing Bank or any such Lender in any way relating to or arising out of the issuance of a Letter of Credit, except that the Company shall not be liable to the Administrative Agent, any such Issuing Bank or any such Lender for any portion of such claims, liabilities, obligations, losses, damages, penalties, actions, judgments, suits, costs, expenses, or disbursements resulting from the gross negligence or willful misconduct of the Person seeking indemnification as determined by a non-appealable judicial order. This Section 2.13(j) shall survive termination of this Agreement. </w:t>
      </w:r>
    </w:p>
    <w:p>
      <w:pPr>
        <w:pStyle w:val="TextBody"/>
        <w:bidi w:val="0"/>
        <w:spacing w:before="240" w:after="0"/>
        <w:jc w:val="both"/>
        <w:rPr>
          <w:rFonts w:ascii="Times New Roman" w:hAnsi="Times New Roman"/>
          <w:sz w:val="24"/>
        </w:rPr>
      </w:pPr>
      <w:r>
        <w:rPr>
          <w:rFonts w:ascii="Times New Roman" w:hAnsi="Times New Roman"/>
          <w:sz w:val="24"/>
        </w:rPr>
        <w:t>(xi) </w:t>
      </w:r>
      <w:r>
        <w:rPr>
          <w:rFonts w:ascii="Times New Roman" w:hAnsi="Times New Roman"/>
          <w:sz w:val="24"/>
          <w:u w:val="single"/>
        </w:rPr>
        <w:t>Letter of Credit Reports</w:t>
      </w:r>
      <w:r>
        <w:rPr>
          <w:rFonts w:ascii="Times New Roman" w:hAnsi="Times New Roman"/>
          <w:sz w:val="24"/>
        </w:rPr>
        <w:t xml:space="preserve">. Within two (2) Business Days after the issuance of a Letter of Credit, the applicable Issuing Bank shall send a written notice to the Administrative Agent setting forth the face amount, the expiration date and the name of the beneficiary with respect to such Letter of Credit. Upon any cancellation or termination of a Letter of Credit prior to its stated expiration date, the applicable Issuing Bank shall notify the Administrative Agent of such termination or cancellation in writing. On the second (2nd) Business Day of each month, each Issuing Bank shall deliver a report to the Administrative Agent identifying (i) each Letter of Credit issued by it during the prior month, and (ii) with respect to each Letter of Credit issued by it that remains outstanding, (A) the face amount thereof as of the end of the prior month and the maximum potential face amount thereof (b) the amount thereof that was drawn in the prior month and (C) the amount thereof that remains undrawn as of the last Business Day of the prior month. </w:t>
      </w:r>
    </w:p>
    <w:p>
      <w:pPr>
        <w:pStyle w:val="TextBody"/>
        <w:bidi w:val="0"/>
        <w:spacing w:before="240" w:after="0"/>
        <w:jc w:val="both"/>
        <w:rPr>
          <w:rFonts w:ascii="Times New Roman" w:hAnsi="Times New Roman"/>
          <w:sz w:val="24"/>
        </w:rPr>
      </w:pPr>
      <w:r>
        <w:rPr>
          <w:rFonts w:ascii="Times New Roman" w:hAnsi="Times New Roman"/>
          <w:sz w:val="24"/>
        </w:rPr>
        <w:t>Section 2.14 </w:t>
      </w:r>
      <w:r>
        <w:rPr>
          <w:rFonts w:ascii="Times New Roman" w:hAnsi="Times New Roman"/>
          <w:sz w:val="24"/>
          <w:u w:val="single"/>
        </w:rPr>
        <w:t>Incremental Commitments</w:t>
      </w:r>
      <w:r>
        <w:rPr>
          <w:rFonts w:ascii="Times New Roman" w:hAnsi="Times New Roman"/>
          <w:sz w:val="24"/>
        </w:rPr>
        <w:t>. The Company may, upon five (5) Business Days’ notice to the Administrative Agent, increase the Revolving Loan Commitment amount by adding one or more lenders or increasing the Revolving Loan Commitment of a Lender, determined by the Company in its sole discretion, subject to the consent of the Administrative Agent, Swingline Lender and Issuing Banks (such consent not to be unreasonably withheld), which lender or lenders are willing to commit to such increase (each such lender, a “</w:t>
      </w:r>
      <w:r>
        <w:rPr>
          <w:rFonts w:ascii="Times New Roman" w:hAnsi="Times New Roman"/>
          <w:sz w:val="24"/>
          <w:u w:val="single"/>
        </w:rPr>
        <w:t>New Lender</w:t>
      </w:r>
      <w:r>
        <w:rPr>
          <w:rFonts w:ascii="Times New Roman" w:hAnsi="Times New Roman"/>
          <w:sz w:val="24"/>
        </w:rPr>
        <w:t>,” and such commitment, the “</w:t>
      </w:r>
      <w:r>
        <w:rPr>
          <w:rFonts w:ascii="Times New Roman" w:hAnsi="Times New Roman"/>
          <w:sz w:val="24"/>
          <w:u w:val="single"/>
        </w:rPr>
        <w:t>Incremental Commitment</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 the Company may not elect any Incremental Commitment after the occurrence and during the continuance of an Event of Default, including, without limitation, any Event of Default that would result after giving effect to any Incremental Commitment, (ii) each Incremental Commitment shall be in an amount not less than $10,000,000 or an integral multiple of $5,000,000 in excess thereof, (iii) after giving effect to all Incremental Commitments the aggregate Revolving Loan Commitments shall not exceed the Dollar Equivalent of $5,500,000,000 and (iv) on the effective date of the Incremental Commitment, each New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Revolving Loan Commitments. An Incremental Commitment shall become effective upon the execution by each applicable New Lender of a counterpart of this Agreement and delivering such counterpart to the Administrative Agent. Over the term of the Agreement the Company shall increase the Revolving Loan Commitments no more than five (5) times. Notwithstanding anything to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contrary in this Agreement, any Incremental Commitment made pursuant to this Section 2.14 may be effected by adding one or more tranches of Revolving Loan Commitments that are denominated in an Alternative Currency and/or term loan commitments (which shall be deemed to be “Revolving Loan Commitments” for purposes of this Section 2.14 (other than clause (iv) above)), and the Lenders agree that any amendment required to implement an Incremental Commitment may be effected by the consent of the Company and only those Lenders that agree to participate in any such tranche, provided that the aggregate amount of the commitments do not exceed the Dollar Equivalent of $5,500,000,000 at any time. Notwithstanding anything to the contrary herein, no Lender shall be required to increase its Commitment pursuant to this Section 2.14. </w:t>
      </w:r>
    </w:p>
    <w:p>
      <w:pPr>
        <w:pStyle w:val="TextBody"/>
        <w:bidi w:val="0"/>
        <w:spacing w:before="240" w:after="0"/>
        <w:jc w:val="both"/>
        <w:rPr>
          <w:rFonts w:ascii="Times New Roman" w:hAnsi="Times New Roman"/>
          <w:sz w:val="24"/>
        </w:rPr>
      </w:pPr>
      <w:r>
        <w:rPr>
          <w:rFonts w:ascii="Times New Roman" w:hAnsi="Times New Roman"/>
          <w:sz w:val="24"/>
        </w:rPr>
        <w:t>Section 2.15 </w:t>
      </w:r>
      <w:r>
        <w:rPr>
          <w:rFonts w:ascii="Times New Roman" w:hAnsi="Times New Roman"/>
          <w:sz w:val="24"/>
          <w:u w:val="single"/>
        </w:rPr>
        <w:t>Cash Collateral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Certain Credit Support Events</w:t>
      </w:r>
      <w:r>
        <w:rPr>
          <w:rFonts w:ascii="Times New Roman" w:hAnsi="Times New Roman"/>
          <w:sz w:val="24"/>
        </w:rPr>
        <w:t xml:space="preserve">. Upon the request of the Administrative Agent or any Issuing Bank (i) if such Issuing Bank has honored any full or partial drawing request under any Letter of Credit and such drawing has resulted in an L/C Advance, or (ii) if, as of the Letter of Credit Expiration Date, any L/C Obligation for any reason remains outstanding, the Company shall, in each case, immediately Cash Collateralize the then Outstanding Amount of all L/C Obligations. At any time that there shall exist a Defaulting Lender, immediately upon the request of the Administrative Agent or the applicable Issuing Bank, the Company shall deliver to the Administrative Agent Cash Collateral in an amount sufficient to cover all Fronting Exposure (after giving effect to </w:t>
      </w:r>
      <w:r>
        <w:rPr>
          <w:rFonts w:ascii="Times New Roman" w:hAnsi="Times New Roman"/>
          <w:sz w:val="24"/>
          <w:u w:val="single"/>
        </w:rPr>
        <w:t>Section 2.16(a)(iv)</w:t>
      </w:r>
      <w:r>
        <w:rPr>
          <w:rFonts w:ascii="Times New Roman" w:hAnsi="Times New Roman"/>
          <w:sz w:val="24"/>
        </w:rPr>
        <w:t xml:space="preserve"> and any Cash Collateral provided by the Defaulting Lender).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Grant of Security Interest</w:t>
      </w:r>
      <w:r>
        <w:rPr>
          <w:rFonts w:ascii="Times New Roman" w:hAnsi="Times New Roman"/>
          <w:sz w:val="24"/>
        </w:rPr>
        <w:t xml:space="preserve">. All Cash Collateral (other than credit support not constituting funds subject to deposit) shall be maintained in demand deposit bank accounts in U.S. financial institutions that are either member banks of the Federal Reserve system or state-chartered banks regulated by the FDIC. The Company, and to the extent provided by any Lender, such Lender, hereby grants to (and subjects to the control of) the Administrative Agent, for the benefit of the Administrative Agent, the Issuing Banks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hAnsi="Times New Roman"/>
          <w:sz w:val="24"/>
          <w:u w:val="single"/>
        </w:rPr>
        <w:t>Section 2.15(c)</w:t>
      </w:r>
      <w:r>
        <w:rPr>
          <w:rFonts w:ascii="Times New Roman" w:hAnsi="Times New Roman"/>
          <w:sz w:val="24"/>
        </w:rPr>
        <w:t xml:space="preserve">. If at any time the Administrative Agent reasonably determines that the total amount of such Cash Collateral is less than the applicable Fronting Exposure and other obligations secured thereby, the Company or the relevant Defaulting Lender will, promptly upon demand by the Administrative Agent, pay or provide to the Administrative Agent additional Cash Collateral in an amount sufficient to eliminate such deficiency.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Application</w:t>
      </w:r>
      <w:r>
        <w:rPr>
          <w:rFonts w:ascii="Times New Roman" w:hAnsi="Times New Roman"/>
          <w:sz w:val="24"/>
        </w:rPr>
        <w:t xml:space="preserve">. Notwithstanding anything to the contrary contained in this Agreement, Cash Collateral provided under any of this Section 2.15 or Sections 2.6, 2.13, </w:t>
      </w:r>
      <w:r>
        <w:rPr>
          <w:rFonts w:ascii="Times New Roman" w:hAnsi="Times New Roman"/>
          <w:sz w:val="24"/>
          <w:u w:val="single"/>
        </w:rPr>
        <w:t>2.16</w:t>
      </w:r>
      <w:r>
        <w:rPr>
          <w:rFonts w:ascii="Times New Roman" w:hAnsi="Times New Roman"/>
          <w:sz w:val="24"/>
        </w:rPr>
        <w:t xml:space="preserve"> or </w:t>
      </w:r>
      <w:r>
        <w:rPr>
          <w:rFonts w:ascii="Times New Roman" w:hAnsi="Times New Roman"/>
          <w:sz w:val="24"/>
          <w:u w:val="single"/>
        </w:rPr>
        <w:t>8.2</w:t>
      </w:r>
      <w:r>
        <w:rPr>
          <w:rFonts w:ascii="Times New Roman" w:hAnsi="Times New Roman"/>
          <w:sz w:val="24"/>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Release</w:t>
      </w:r>
      <w:r>
        <w:rPr>
          <w:rFonts w:ascii="Times New Roman" w:hAnsi="Times New Roman"/>
          <w:sz w:val="24"/>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hAnsi="Times New Roman"/>
          <w:sz w:val="24"/>
          <w:u w:val="single"/>
        </w:rPr>
        <w:t>Section 12.4(b)(vi)</w:t>
      </w:r>
      <w:r>
        <w:rPr>
          <w:rFonts w:ascii="Times New Roman" w:hAnsi="Times New Roman"/>
          <w:sz w:val="24"/>
        </w:rPr>
        <w:t xml:space="preserve">)) or (ii) the Administrative Agent’s good faith determination that there exists excess Cash Collateral; </w:t>
      </w:r>
      <w:r>
        <w:rPr>
          <w:rFonts w:ascii="Times New Roman" w:hAnsi="Times New Roman"/>
          <w:sz w:val="24"/>
          <w:u w:val="single"/>
        </w:rPr>
        <w:t>provided</w:t>
      </w:r>
      <w:r>
        <w:rPr>
          <w:rFonts w:ascii="Times New Roman" w:hAnsi="Times New Roman"/>
          <w:sz w:val="24"/>
        </w:rPr>
        <w:t xml:space="preserve">, however, (x) that Cash Collateral furnished by or on behalf of the Company shall not be released after acceleration of the Loans as provided in </w:t>
      </w:r>
      <w:r>
        <w:rPr>
          <w:rFonts w:ascii="Times New Roman" w:hAnsi="Times New Roman"/>
          <w:sz w:val="24"/>
          <w:u w:val="single"/>
        </w:rPr>
        <w:t>Section 8.2(a)</w:t>
      </w:r>
      <w:r>
        <w:rPr>
          <w:rFonts w:ascii="Times New Roman" w:hAnsi="Times New Roman"/>
          <w:sz w:val="24"/>
        </w:rPr>
        <w:t xml:space="preserve"> or </w:t>
      </w:r>
      <w:r>
        <w:rPr>
          <w:rFonts w:ascii="Times New Roman" w:hAnsi="Times New Roman"/>
          <w:sz w:val="24"/>
          <w:u w:val="single"/>
        </w:rPr>
        <w:t>(b)</w:t>
      </w:r>
      <w:r>
        <w:rPr>
          <w:rFonts w:ascii="Times New Roman" w:hAnsi="Times New Roman"/>
          <w:sz w:val="24"/>
        </w:rPr>
        <w:t xml:space="preserve"> until all amounts due in accordance with </w:t>
      </w:r>
      <w:r>
        <w:rPr>
          <w:rFonts w:ascii="Times New Roman" w:hAnsi="Times New Roman"/>
          <w:sz w:val="24"/>
          <w:u w:val="single"/>
        </w:rPr>
        <w:t>Section 8.2(a)</w:t>
      </w:r>
      <w:r>
        <w:rPr>
          <w:rFonts w:ascii="Times New Roman" w:hAnsi="Times New Roman"/>
          <w:sz w:val="24"/>
        </w:rPr>
        <w:t xml:space="preserve"> or </w:t>
      </w:r>
      <w:r>
        <w:rPr>
          <w:rFonts w:ascii="Times New Roman" w:hAnsi="Times New Roman"/>
          <w:sz w:val="24"/>
          <w:u w:val="single"/>
        </w:rPr>
        <w:t>(b)</w:t>
      </w:r>
      <w:r>
        <w:rPr>
          <w:rFonts w:ascii="Times New Roman" w:hAnsi="Times New Roman"/>
          <w:sz w:val="24"/>
        </w:rPr>
        <w:t xml:space="preserve">, as applicable, are paid, and (y) the Company or the applicable Defaulting Lender providing Cash Collateral, as applicable, on the one hand, and the applicable Issuing Bank, on the other hand, may agree that Cash Collateral shall not be released but instead held to support future anticipated Fronting Exposure or other obligations. </w:t>
      </w:r>
    </w:p>
    <w:p>
      <w:pPr>
        <w:pStyle w:val="TextBody"/>
        <w:bidi w:val="0"/>
        <w:spacing w:before="240" w:after="0"/>
        <w:jc w:val="both"/>
        <w:rPr>
          <w:rFonts w:ascii="Times New Roman" w:hAnsi="Times New Roman"/>
          <w:sz w:val="24"/>
        </w:rPr>
      </w:pPr>
      <w:r>
        <w:rPr>
          <w:rFonts w:ascii="Times New Roman" w:hAnsi="Times New Roman"/>
          <w:sz w:val="24"/>
        </w:rPr>
        <w:t>Section 2.16 </w:t>
      </w:r>
      <w:r>
        <w:rPr>
          <w:rFonts w:ascii="Times New Roman" w:hAnsi="Times New Roman"/>
          <w:sz w:val="24"/>
          <w:u w:val="single"/>
        </w:rPr>
        <w:t>Defaulting Lenders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Adjustments</w:t>
      </w:r>
      <w:r>
        <w:rPr>
          <w:rFonts w:ascii="Times New Roman" w:hAnsi="Times New Roman"/>
          <w:sz w:val="24"/>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Waivers and Amendments</w:t>
      </w:r>
      <w:r>
        <w:rPr>
          <w:rFonts w:ascii="Times New Roman" w:hAnsi="Times New Roman"/>
          <w:sz w:val="24"/>
        </w:rPr>
        <w:t xml:space="preserve">. That Defaulting Lender’s right to approve or disapprove any amendment, waiver or consent with respect to this Agreement shall be restricted as set forth in </w:t>
      </w:r>
      <w:r>
        <w:rPr>
          <w:rFonts w:ascii="Times New Roman" w:hAnsi="Times New Roman"/>
          <w:sz w:val="24"/>
          <w:u w:val="single"/>
        </w:rPr>
        <w:t>Section 12.12</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Reallocation of Payments</w:t>
      </w:r>
      <w:r>
        <w:rPr>
          <w:rFonts w:ascii="Times New Roman" w:hAnsi="Times New Roman"/>
          <w:sz w:val="24"/>
        </w:rPr>
        <w:t xml:space="preserve">. Any payment of principal, interest, fees or other amounts received by the Administrative Agent for the account of that Defaulting Lender under this Agreement (whether voluntary or mandatory, at maturity, pursuant to </w:t>
      </w:r>
      <w:r>
        <w:rPr>
          <w:rFonts w:ascii="Times New Roman" w:hAnsi="Times New Roman"/>
          <w:sz w:val="24"/>
          <w:u w:val="single"/>
        </w:rPr>
        <w:t>Article 8</w:t>
      </w:r>
      <w:r>
        <w:rPr>
          <w:rFonts w:ascii="Times New Roman" w:hAnsi="Times New Roman"/>
          <w:sz w:val="24"/>
        </w:rPr>
        <w:t xml:space="preserve"> or otherwise), shall be applied at such time or times as may be determined by the Administrative Agent as follows: </w:t>
      </w:r>
      <w:r>
        <w:rPr>
          <w:rFonts w:ascii="Times New Roman" w:hAnsi="Times New Roman"/>
          <w:i/>
          <w:sz w:val="24"/>
        </w:rPr>
        <w:t>first</w:t>
      </w:r>
      <w:r>
        <w:rPr>
          <w:rFonts w:ascii="Times New Roman" w:hAnsi="Times New Roman"/>
          <w:sz w:val="24"/>
        </w:rPr>
        <w:t xml:space="preserve">, to the payment of any amounts owing by that Defaulting Lender to the Administrative Agent hereunder; </w:t>
      </w:r>
      <w:r>
        <w:rPr>
          <w:rFonts w:ascii="Times New Roman" w:hAnsi="Times New Roman"/>
          <w:i/>
          <w:sz w:val="24"/>
        </w:rPr>
        <w:t>second</w:t>
      </w:r>
      <w:r>
        <w:rPr>
          <w:rFonts w:ascii="Times New Roman" w:hAnsi="Times New Roman"/>
          <w:sz w:val="24"/>
        </w:rPr>
        <w:t xml:space="preserve">, to the payment on a pro rata basis of any amounts owing by that Defaulting Lender to the Issuing Banks or Swingline Lender hereunder; </w:t>
      </w:r>
      <w:r>
        <w:rPr>
          <w:rFonts w:ascii="Times New Roman" w:hAnsi="Times New Roman"/>
          <w:i/>
          <w:sz w:val="24"/>
        </w:rPr>
        <w:t>third</w:t>
      </w:r>
      <w:r>
        <w:rPr>
          <w:rFonts w:ascii="Times New Roman" w:hAnsi="Times New Roman"/>
          <w:sz w:val="24"/>
        </w:rPr>
        <w:t xml:space="preserve">, to repay any Cash Collateral contributed by the Company; </w:t>
      </w:r>
      <w:r>
        <w:rPr>
          <w:rFonts w:ascii="Times New Roman" w:hAnsi="Times New Roman"/>
          <w:i/>
          <w:sz w:val="24"/>
        </w:rPr>
        <w:t>fourth</w:t>
      </w:r>
      <w:r>
        <w:rPr>
          <w:rFonts w:ascii="Times New Roman" w:hAnsi="Times New Roman"/>
          <w:sz w:val="24"/>
        </w:rPr>
        <w:t xml:space="preserve">, as the Company may request (so long as no Default has occurred and is continuing), to fund any Loan in respect of which that Defaulting Lender has failed to fund its portion thereof as required by this Agreement, or to reimburse the Company for any amounts paid by it in satisfaction of that Defaulting Lender’s liabilities under this Agreement in connection with a written agreement between the Company and an assignee of that Defaulting Lender’s interests, rights and obligations in accordance with </w:t>
      </w:r>
      <w:r>
        <w:rPr>
          <w:rFonts w:ascii="Times New Roman" w:hAnsi="Times New Roman"/>
          <w:sz w:val="24"/>
          <w:u w:val="single"/>
        </w:rPr>
        <w:t>Section 10.5</w:t>
      </w:r>
      <w:r>
        <w:rPr>
          <w:rFonts w:ascii="Times New Roman" w:hAnsi="Times New Roman"/>
          <w:sz w:val="24"/>
        </w:rPr>
        <w:t xml:space="preserve">; </w:t>
      </w:r>
      <w:r>
        <w:rPr>
          <w:rFonts w:ascii="Times New Roman" w:hAnsi="Times New Roman"/>
          <w:i/>
          <w:sz w:val="24"/>
        </w:rPr>
        <w:t>fifth</w:t>
      </w:r>
      <w:r>
        <w:rPr>
          <w:rFonts w:ascii="Times New Roman" w:hAnsi="Times New Roman"/>
          <w:sz w:val="24"/>
        </w:rPr>
        <w:t xml:space="preserve">, if so determined by the Administrative Agent or requested any Issuing Bank, to be held as Cash Collateral for future funding obligations of that Defaulting Lender of any participation in any Letter of Credit; </w:t>
      </w:r>
      <w:r>
        <w:rPr>
          <w:rFonts w:ascii="Times New Roman" w:hAnsi="Times New Roman"/>
          <w:i/>
          <w:sz w:val="24"/>
        </w:rPr>
        <w:t>sixth</w:t>
      </w:r>
      <w:r>
        <w:rPr>
          <w:rFonts w:ascii="Times New Roman" w:hAnsi="Times New Roman"/>
          <w:sz w:val="24"/>
        </w:rPr>
        <w:t xml:space="preserve">, as the Company may request (so long as no Default exists), to the funding of any Advance in respect of which that Defaulting Lender has failed to fund its portion thereof as required by this Agreement, as determined by the Administrative Agent; </w:t>
      </w:r>
      <w:r>
        <w:rPr>
          <w:rFonts w:ascii="Times New Roman" w:hAnsi="Times New Roman"/>
          <w:i/>
          <w:sz w:val="24"/>
        </w:rPr>
        <w:t>seventh</w:t>
      </w:r>
      <w:r>
        <w:rPr>
          <w:rFonts w:ascii="Times New Roman" w:hAnsi="Times New Roman"/>
          <w:sz w:val="24"/>
        </w:rPr>
        <w:t xml:space="preserve">, if so determined by the Administrative Agent and the Company, to be held in a non-interest bearing deposit account and released in order to satisfy obligations of that Defaulting Lender to fund Loans under this Agreement; </w:t>
      </w:r>
      <w:r>
        <w:rPr>
          <w:rFonts w:ascii="Times New Roman" w:hAnsi="Times New Roman"/>
          <w:i/>
          <w:sz w:val="24"/>
        </w:rPr>
        <w:t>eighth</w:t>
      </w:r>
      <w:r>
        <w:rPr>
          <w:rFonts w:ascii="Times New Roman" w:hAnsi="Times New Roman"/>
          <w:sz w:val="24"/>
        </w:rPr>
        <w:t xml:space="preserve">, to the payment of any amounts owing to the Lenders, the Swingline Lender or this Issuing Banks as a result of any judgment of a court of competent jurisdiction obtained by 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Lender or Issuing Bank against that Defaulting Lender as a result of that Defaulting Lender’s breach of its obligations under this Agreement; </w:t>
      </w:r>
      <w:r>
        <w:rPr>
          <w:rFonts w:ascii="Times New Roman" w:hAnsi="Times New Roman"/>
          <w:i/>
          <w:sz w:val="24"/>
        </w:rPr>
        <w:t>ninth</w:t>
      </w:r>
      <w:r>
        <w:rPr>
          <w:rFonts w:ascii="Times New Roman" w:hAnsi="Times New Roman"/>
          <w:sz w:val="24"/>
        </w:rPr>
        <w:t xml:space="preserve">, so long as no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Times New Roman" w:hAnsi="Times New Roman"/>
          <w:i/>
          <w:sz w:val="24"/>
        </w:rPr>
        <w:t>tenth</w:t>
      </w:r>
      <w:r>
        <w:rPr>
          <w:rFonts w:ascii="Times New Roman" w:hAnsi="Times New Roman"/>
          <w:sz w:val="24"/>
        </w:rPr>
        <w:t xml:space="preserve">, to that Defaulting Lender or as otherwise directed by a court of competent jurisdiction; </w:t>
      </w:r>
      <w:r>
        <w:rPr>
          <w:rFonts w:ascii="Times New Roman" w:hAnsi="Times New Roman"/>
          <w:sz w:val="24"/>
          <w:u w:val="single"/>
        </w:rPr>
        <w:t>provided</w:t>
      </w:r>
      <w:r>
        <w:rPr>
          <w:rFonts w:ascii="Times New Roman" w:hAnsi="Times New Roman"/>
          <w:sz w:val="24"/>
        </w:rPr>
        <w:t xml:space="preserve"> that if (x) such payment is a payment of the principal amount of any Advances or L/C Advances in respect of which that Defaulting Lender has not fully funded its appropriate share and (y) such Advances or L/C Advances were made at a time when the conditions set forth in </w:t>
      </w:r>
      <w:r>
        <w:rPr>
          <w:rFonts w:ascii="Times New Roman" w:hAnsi="Times New Roman"/>
          <w:sz w:val="24"/>
          <w:u w:val="single"/>
        </w:rPr>
        <w:t>Section 3.3</w:t>
      </w:r>
      <w:r>
        <w:rPr>
          <w:rFonts w:ascii="Times New Roman" w:hAnsi="Times New Roman"/>
          <w:sz w:val="24"/>
        </w:rPr>
        <w:t xml:space="preserve"> were satisfied or waived, such payment shall be applied solely to pay the Loans of, and L/C Loans owed to, all non-Defaulting Lenders on a pro rata basis prior to being applied to the payment of any Loans of, or L/C Loans owed to, that Defaulting Lender. Any payments, prepayments or other amounts paid or payable to a Defaulting Lender that are applied (or held) to pay amounts owed by a Defaulting Lender or to post Cash Collateral pursuant to this Section 2.16(a)(ii) shall be deemed paid to and redirected by that Defaulting Lender, and each Lender irrevocably consents hereto.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Certain Fees</w:t>
      </w:r>
      <w:r>
        <w:rPr>
          <w:rFonts w:ascii="Times New Roman" w:hAnsi="Times New Roman"/>
          <w:sz w:val="24"/>
        </w:rPr>
        <w:t xml:space="preserve">. That Defaulting Lender (x) shall not be entitled to receive any commitment fee pursuant to </w:t>
      </w:r>
      <w:r>
        <w:rPr>
          <w:rFonts w:ascii="Times New Roman" w:hAnsi="Times New Roman"/>
          <w:sz w:val="24"/>
          <w:u w:val="single"/>
        </w:rPr>
        <w:t>Section 2.4(a)</w:t>
      </w:r>
      <w:r>
        <w:rPr>
          <w:rFonts w:ascii="Times New Roman" w:hAnsi="Times New Roman"/>
          <w:sz w:val="24"/>
        </w:rPr>
        <w:t xml:space="preserve"> for any period during which that Lender is a Defaulting Lender (and the Company shall not be required to pay any such fee that otherwise would have been required to have been paid to that Defaulting Lender) and (y) shall be limited in its right to receive Letter of Credit Fees as provided in </w:t>
      </w:r>
      <w:r>
        <w:rPr>
          <w:rFonts w:ascii="Times New Roman" w:hAnsi="Times New Roman"/>
          <w:sz w:val="24"/>
          <w:u w:val="single"/>
        </w:rPr>
        <w:t>Section 2.4(b)(ii)</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Reallocation of Commitment Ratios to Reduce Fronting</w:t>
      </w:r>
      <w:r>
        <w:rPr>
          <w:rFonts w:ascii="Times New Roman" w:hAnsi="Times New Roman"/>
          <w:sz w:val="24"/>
        </w:rPr>
        <w:t xml:space="preserve"> </w:t>
      </w:r>
      <w:r>
        <w:rPr>
          <w:rFonts w:ascii="Times New Roman" w:hAnsi="Times New Roman"/>
          <w:sz w:val="24"/>
          <w:u w:val="single"/>
        </w:rPr>
        <w:t>Exposure</w:t>
      </w:r>
      <w:r>
        <w:rPr>
          <w:rFonts w:ascii="Times New Roman" w:hAnsi="Times New Roman"/>
          <w:sz w:val="24"/>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hAnsi="Times New Roman"/>
          <w:sz w:val="24"/>
          <w:u w:val="single"/>
        </w:rPr>
        <w:t>Sections 2.13</w:t>
      </w:r>
      <w:r>
        <w:rPr>
          <w:rFonts w:ascii="Times New Roman" w:hAnsi="Times New Roman"/>
          <w:sz w:val="24"/>
        </w:rPr>
        <w:t xml:space="preserve"> or Swingline Loans pursuant to </w:t>
      </w:r>
      <w:r>
        <w:rPr>
          <w:rFonts w:ascii="Times New Roman" w:hAnsi="Times New Roman"/>
          <w:sz w:val="24"/>
          <w:u w:val="single"/>
        </w:rPr>
        <w:t>Section 2.17</w:t>
      </w:r>
      <w:r>
        <w:rPr>
          <w:rFonts w:ascii="Times New Roman" w:hAnsi="Times New Roman"/>
          <w:sz w:val="24"/>
        </w:rPr>
        <w:t xml:space="preserve">, the “Commitment Ratio” of each non-Defaulting Lender shall be reallocated by computing such “Commitment Ratio” without giving effect to the Revolving Loan Commitment of that Defaulting Lender; </w:t>
      </w:r>
      <w:r>
        <w:rPr>
          <w:rFonts w:ascii="Times New Roman" w:hAnsi="Times New Roman"/>
          <w:sz w:val="24"/>
          <w:u w:val="single"/>
        </w:rPr>
        <w:t>provided</w:t>
      </w:r>
      <w:r>
        <w:rPr>
          <w:rFonts w:ascii="Times New Roman" w:hAnsi="Times New Roman"/>
          <w:sz w:val="24"/>
        </w:rPr>
        <w:t xml:space="preserve">, that, (i) each such reallocation shall be given effect only if, at the date the applicable Lender becomes a Defaulting Lender, no Default exists; and (ii) the aggregate obligation of each non-Defaulting Lender to acquire, refinance or fund participations in Letters of Credit or Swingline Loans shall not exceed the positive difference, if any, of (1) the Revolving Loan Commitment of that non-Defaulting Lender </w:t>
      </w:r>
      <w:r>
        <w:rPr>
          <w:rFonts w:ascii="Times New Roman" w:hAnsi="Times New Roman"/>
          <w:sz w:val="24"/>
          <w:u w:val="single"/>
        </w:rPr>
        <w:t>minus</w:t>
      </w:r>
      <w:r>
        <w:rPr>
          <w:rFonts w:ascii="Times New Roman" w:hAnsi="Times New Roman"/>
          <w:sz w:val="24"/>
        </w:rPr>
        <w:t xml:space="preserve"> (2) the Dollar Equivalent of the aggregate Outstanding Amount of the Revolving Loans of that Lender.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Defaulting Lender Cure</w:t>
      </w:r>
      <w:r>
        <w:rPr>
          <w:rFonts w:ascii="Times New Roman" w:hAnsi="Times New Roman"/>
          <w:sz w:val="24"/>
        </w:rPr>
        <w:t xml:space="preserve">. If the Company, the Administrative Agent, the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Loans and funded and unfunded participations in Letters of Credit and Swingline Loans to be held on a pro rata basis by the Lenders in accordance with their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Commitment Ratios (without giving effect to </w:t>
      </w:r>
      <w:r>
        <w:rPr>
          <w:rFonts w:ascii="Times New Roman" w:hAnsi="Times New Roman"/>
          <w:sz w:val="24"/>
          <w:u w:val="single"/>
        </w:rPr>
        <w:t>Section 2.16(a)(iv</w:t>
      </w:r>
      <w:r>
        <w:rPr>
          <w:rFonts w:ascii="Times New Roman" w:hAnsi="Times New Roman"/>
          <w:sz w:val="24"/>
        </w:rPr>
        <w:t xml:space="preserve">)), whereupon that Lender will cease to be a Defaulting Lender; </w:t>
      </w:r>
      <w:r>
        <w:rPr>
          <w:rFonts w:ascii="Times New Roman" w:hAnsi="Times New Roman"/>
          <w:sz w:val="24"/>
          <w:u w:val="single"/>
        </w:rPr>
        <w:t>provided</w:t>
      </w:r>
      <w:r>
        <w:rPr>
          <w:rFonts w:ascii="Times New Roman" w:hAnsi="Times New Roman"/>
          <w:sz w:val="24"/>
        </w:rPr>
        <w:t xml:space="preserve"> that no adjustments will be made retroactively with respect to fees accrued or payments made by or on behalf of the Company while that Lender was a Defaulting Lender;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except to the extent otherwise expressly agreed by the affected parties and subject to Section 12.24, no change hereunder from Defaulting Lender to Lender will constitute a waiver or release of any claim of any party hereunder arising from that Lender’s having been a Defaulting Lender. </w:t>
      </w:r>
    </w:p>
    <w:p>
      <w:pPr>
        <w:pStyle w:val="TextBody"/>
        <w:bidi w:val="0"/>
        <w:spacing w:before="240" w:after="0"/>
        <w:jc w:val="both"/>
        <w:rPr>
          <w:rFonts w:ascii="Times New Roman" w:hAnsi="Times New Roman"/>
          <w:sz w:val="24"/>
        </w:rPr>
      </w:pPr>
      <w:r>
        <w:rPr>
          <w:rFonts w:ascii="Times New Roman" w:hAnsi="Times New Roman"/>
          <w:sz w:val="24"/>
        </w:rPr>
        <w:t>Section 2.17 </w:t>
      </w:r>
      <w:r>
        <w:rPr>
          <w:rFonts w:ascii="Times New Roman" w:hAnsi="Times New Roman"/>
          <w:sz w:val="24"/>
          <w:u w:val="single"/>
        </w:rPr>
        <w:t>Swingline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The Swingline</w:t>
      </w:r>
      <w:r>
        <w:rPr>
          <w:rFonts w:ascii="Times New Roman" w:hAnsi="Times New Roman"/>
          <w:sz w:val="24"/>
        </w:rPr>
        <w:t>. Subject to the terms and conditions set forth herein, the Swingline Lender, in reliance upon the agreements of the other Lenders set forth in this Section, shall make loans (each such loan, a “</w:t>
      </w:r>
      <w:r>
        <w:rPr>
          <w:rFonts w:ascii="Times New Roman" w:hAnsi="Times New Roman"/>
          <w:sz w:val="24"/>
          <w:u w:val="single"/>
        </w:rPr>
        <w:t>Swingline Loan</w:t>
      </w:r>
      <w:r>
        <w:rPr>
          <w:rFonts w:ascii="Times New Roman" w:hAnsi="Times New Roman"/>
          <w:sz w:val="24"/>
        </w:rPr>
        <w:t xml:space="preserve">”) from time to time on any Business Day until the Maturity Date. Each such Swingline Loan may be made, subject to the terms and conditions set forth herein, to the Company in Dollars, in an aggregate amount not to exceed at any time outstanding the amount of the Swingline Sublimit, notwithstanding the fact that such Swingline Loans, when aggregated with the Commitment Ratio of the Outstanding Amount of Revolving Loans and L/C Obligations of the Swingline Lender, may exceed the amount of such Lender’s Revolving Loan Commitments;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 after giving effect to any Swingline Loan, (A) the aggregate Outstanding Amount of all Revolving Loans, Swingline Loans and L/C Obligations shall not exceed the aggregate Revolving Loan Commitments, and (B) the aggregate Outstanding Amount of the Revolving Loans of any Lender, </w:t>
      </w:r>
      <w:r>
        <w:rPr>
          <w:rFonts w:ascii="Times New Roman" w:hAnsi="Times New Roman"/>
          <w:sz w:val="24"/>
          <w:u w:val="single"/>
        </w:rPr>
        <w:t>plus</w:t>
      </w:r>
      <w:r>
        <w:rPr>
          <w:rFonts w:ascii="Times New Roman" w:hAnsi="Times New Roman"/>
          <w:sz w:val="24"/>
        </w:rPr>
        <w:t xml:space="preserve"> such Lender’s Commitment Ratio of all Swingline Loans and L/C Obligations shall not exceed such Lender’s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borrowing may have, Fronting Exposure. Within the foregoing limits, and subject to the other terms and conditions hereof, the Borrower’s ability to obtain Swingline Loans shall be fully revolving, and accordingly the Borrower may borrow under this Section, prepay under </w:t>
      </w:r>
      <w:r>
        <w:rPr>
          <w:rFonts w:ascii="Times New Roman" w:hAnsi="Times New Roman"/>
          <w:sz w:val="24"/>
          <w:u w:val="single"/>
        </w:rPr>
        <w:t>Section 2.6</w:t>
      </w:r>
      <w:r>
        <w:rPr>
          <w:rFonts w:ascii="Times New Roman" w:hAnsi="Times New Roman"/>
          <w:sz w:val="24"/>
        </w:rPr>
        <w:t xml:space="preserve">, and reborrow under this Section. Each Swingline Advance shall be a Base Rate Advance. Immediately upon the making of a Swingline Loan, each Lender shall be deemed to, and hereby irrevocably and unconditionally agrees to, purchase from the Swingline Lender a risk participation in such Swingline Loan in an amount equal to the product of such Lender’s Commitment Ratio </w:t>
      </w:r>
      <w:r>
        <w:rPr>
          <w:rFonts w:ascii="Times New Roman" w:hAnsi="Times New Roman"/>
          <w:sz w:val="24"/>
          <w:u w:val="single"/>
        </w:rPr>
        <w:t>times</w:t>
      </w:r>
      <w:r>
        <w:rPr>
          <w:rFonts w:ascii="Times New Roman" w:hAnsi="Times New Roman"/>
          <w:sz w:val="24"/>
        </w:rPr>
        <w:t xml:space="preserve"> the amount of such Swingline Loan.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Swingline Loan Advance Procedures</w:t>
      </w:r>
      <w:r>
        <w:rPr>
          <w:rFonts w:ascii="Times New Roman" w:hAnsi="Times New Roman"/>
          <w:sz w:val="24"/>
        </w:rPr>
        <w:t xml:space="preserve">. Each Swingline Advance shall be made upon the Borrower’s irrevocable notice to the Swingline Lender and the Administrative Agent, which may be given by telephone. Each such notice must be received by the Swingline Lender and the Administrative Agent not later than 1:00 p.m. on the requested borrowing date, and shall specify (i) the amount to be borrowed, and (ii) the requested date of the Swingline Advance (which shall be a Business Day). Each such telephonic notice must be confirmed promptly by delivery to the Swingline Lender and the Administrative Agent of a written Swingline Loan Notice;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Borrower’s failure to confirm any telephonic notice with a written Swingline Loan Notice shall not invalidate any notice so given if acted upon by the Swingline Lender. Promptly after receipt by the Swingline Lender of any telephonic Swingline Loan Notice, the Swingline Lender will confirm with the Administrative Agent (by telephone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Advance (A) directing the Swingline Lender not to make such Swingline Loan as a result of the limitations set forth in the first proviso to the first sentence of </w:t>
      </w:r>
      <w:r>
        <w:rPr>
          <w:rFonts w:ascii="Times New Roman" w:hAnsi="Times New Roman"/>
          <w:sz w:val="24"/>
          <w:u w:val="single"/>
        </w:rPr>
        <w:t>Section 2.17(a)</w:t>
      </w:r>
      <w:r>
        <w:rPr>
          <w:rFonts w:ascii="Times New Roman" w:hAnsi="Times New Roman"/>
          <w:sz w:val="24"/>
        </w:rPr>
        <w:t xml:space="preserve">, or (B) that one or more of the applicable conditions specified in Article 3 is not then satisfied, then, subject to the terms and conditions hereof, the Swingline Lender will, not later than 3:00 p.m. on the borrowing date specified in such Swingline Loan Notice, make the amount of its Swingline Loan available to the Borrower.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Refinancing of Swingline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Swingline Lender at any time in its sole discretion may request, on behalf of the Borrower (which hereby irrevocably authorizes the Swingline Lender to so request on its behalf), that each Lender make a Revolving Loan (in the form of a Base Rate Advance) in an amount equal to such Lender’s Commitment Ratio multiplied by the amount of Swingline Loans then outstanding. Such request shall be made in writing (which written request shall be deemed to be a Request for Advance for purposes hereof) and in accordance with the requirements of </w:t>
      </w:r>
      <w:r>
        <w:rPr>
          <w:rFonts w:ascii="Times New Roman" w:hAnsi="Times New Roman"/>
          <w:sz w:val="24"/>
          <w:u w:val="single"/>
        </w:rPr>
        <w:t>Section 2.2</w:t>
      </w:r>
      <w:r>
        <w:rPr>
          <w:rFonts w:ascii="Times New Roman" w:hAnsi="Times New Roman"/>
          <w:sz w:val="24"/>
        </w:rPr>
        <w:t xml:space="preserve">, subject to the unutilized portion of the Revolving Loan Commitment and the conditions set forth in </w:t>
      </w:r>
      <w:r>
        <w:rPr>
          <w:rFonts w:ascii="Times New Roman" w:hAnsi="Times New Roman"/>
          <w:sz w:val="24"/>
          <w:u w:val="single"/>
        </w:rPr>
        <w:t>Section 3.2</w:t>
      </w:r>
      <w:r>
        <w:rPr>
          <w:rFonts w:ascii="Times New Roman" w:hAnsi="Times New Roman"/>
          <w:sz w:val="24"/>
        </w:rPr>
        <w:t xml:space="preserve">. The Swingline Lender shall furnish the Borrower with a copy of the applicable Request for Advance promptly after delivering such notice to the Administrative Agent. Each Lender shall make an amount equal to its Commitment Ratio multiplied by the amount specified in such Request for Advance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Request for Advance, whereupon, subject to </w:t>
      </w:r>
      <w:r>
        <w:rPr>
          <w:rFonts w:ascii="Times New Roman" w:hAnsi="Times New Roman"/>
          <w:sz w:val="24"/>
          <w:u w:val="single"/>
        </w:rPr>
        <w:t>Section 2.17(c)(ii)</w:t>
      </w:r>
      <w:r>
        <w:rPr>
          <w:rFonts w:ascii="Times New Roman" w:hAnsi="Times New Roman"/>
          <w:sz w:val="24"/>
        </w:rPr>
        <w:t xml:space="preserve">, each Lender that so makes funds available shall be deemed to have made a Revolving Loan (in the form of a Base Rate Advance) to the Borrower in such amount. The Administrative Agent shall remit the funds so received to the Swingline Lender. </w:t>
      </w:r>
    </w:p>
    <w:p>
      <w:pPr>
        <w:pStyle w:val="TextBody"/>
        <w:bidi w:val="0"/>
        <w:spacing w:before="240" w:after="0"/>
        <w:jc w:val="both"/>
        <w:rPr>
          <w:rFonts w:ascii="Times New Roman" w:hAnsi="Times New Roman"/>
          <w:sz w:val="24"/>
        </w:rPr>
      </w:pPr>
      <w:r>
        <w:rPr>
          <w:rFonts w:ascii="Times New Roman" w:hAnsi="Times New Roman"/>
          <w:sz w:val="24"/>
        </w:rPr>
        <w:t xml:space="preserve">(b) If for any reason any Swingline Loan cannot be refinanced by such an Advance in accordance with </w:t>
      </w:r>
      <w:r>
        <w:rPr>
          <w:rFonts w:ascii="Times New Roman" w:hAnsi="Times New Roman"/>
          <w:sz w:val="24"/>
          <w:u w:val="single"/>
        </w:rPr>
        <w:t>Section 2.17(c)(i),</w:t>
      </w:r>
      <w:r>
        <w:rPr>
          <w:rFonts w:ascii="Times New Roman" w:hAnsi="Times New Roman"/>
          <w:sz w:val="24"/>
        </w:rPr>
        <w:t xml:space="preserve"> the request for a Revolving Loan submitted by the Swingline Lender as set forth herein shall be deemed to be a request by the Swingline Lender that each of the Lenders fund its risk participation in the relevant Swingline Loan and each Lender’s payment to the Administrative Agent for the account of the Swingline Lender pursuant to </w:t>
      </w:r>
      <w:r>
        <w:rPr>
          <w:rFonts w:ascii="Times New Roman" w:hAnsi="Times New Roman"/>
          <w:sz w:val="24"/>
          <w:u w:val="single"/>
        </w:rPr>
        <w:t>Section 2.17(c)(i)</w:t>
      </w:r>
      <w:r>
        <w:rPr>
          <w:rFonts w:ascii="Times New Roman" w:hAnsi="Times New Roman"/>
          <w:sz w:val="24"/>
        </w:rPr>
        <w:t xml:space="preserve"> shall be deemed payment in respect of such participation. </w:t>
      </w:r>
    </w:p>
    <w:p>
      <w:pPr>
        <w:pStyle w:val="TextBody"/>
        <w:bidi w:val="0"/>
        <w:spacing w:before="240" w:after="0"/>
        <w:jc w:val="both"/>
        <w:rPr>
          <w:rFonts w:ascii="Times New Roman" w:hAnsi="Times New Roman"/>
          <w:sz w:val="24"/>
        </w:rPr>
      </w:pPr>
      <w:r>
        <w:rPr>
          <w:rFonts w:ascii="Times New Roman" w:hAnsi="Times New Roman"/>
          <w:sz w:val="24"/>
        </w:rPr>
        <w:t xml:space="preserve">(c) If any Lender fails to make available to the Administrative Agent for the account of the Swingline Lender any amount required to be paid by such Lender pursuant to the foregoing provisions of this Section 2.17(c) by the time specified in Section 2.17(c)(i), the Swingline Lender shall be entitled to recover from such Lender (acting through the Administrative Agent), on demand, such amount with interest thereon for the period from the date such payment is required to the date on which such payment is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funded participation in the relevant Swingline Loan. A certificate of the Swingline Lender submitted to any Lender (through the Administrative Agent) with respect to any amounts owing under this clause (iii) shall be conclusive absent manifest error. </w:t>
      </w:r>
    </w:p>
    <w:p>
      <w:pPr>
        <w:pStyle w:val="TextBody"/>
        <w:bidi w:val="0"/>
        <w:spacing w:before="240" w:after="0"/>
        <w:jc w:val="both"/>
        <w:rPr>
          <w:rFonts w:ascii="Times New Roman" w:hAnsi="Times New Roman"/>
          <w:sz w:val="24"/>
        </w:rPr>
      </w:pPr>
      <w:r>
        <w:rPr>
          <w:rFonts w:ascii="Times New Roman" w:hAnsi="Times New Roman"/>
          <w:sz w:val="24"/>
        </w:rPr>
        <w:t xml:space="preserve">(d) Each Lender’s obligation to make Revolving Loans or to purchase and fund risk participations in Swingline Loans pursuant to this Section 2.17(c)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each Lender’s obligation to make Revolving Loans pursuant to this Section 2.17(c) is subject to the conditions set forth in Section 3.2 (other than delivery by the Borrower of a Request for Advance). No such funding of risk participations shall relieve or otherwise impair the obligation of the Borrower to repay Swingline Loans, together with interest as provided herein.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Repayment of Participations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(a) At any time after any Lender has purchased and funded a risk participation in a Swingline Loan, if the Swingline Lender receives any payment on account of such Swingline Loan, the Swingline Lender will distribute to such Lender its Commitment Ratio thereof in the same funds as those received by the Swingline Lender. </w:t>
      </w:r>
    </w:p>
    <w:p>
      <w:pPr>
        <w:pStyle w:val="TextBody"/>
        <w:bidi w:val="0"/>
        <w:spacing w:before="240" w:after="0"/>
        <w:jc w:val="both"/>
        <w:rPr>
          <w:rFonts w:ascii="Times New Roman" w:hAnsi="Times New Roman"/>
          <w:sz w:val="24"/>
        </w:rPr>
      </w:pPr>
      <w:r>
        <w:rPr>
          <w:rFonts w:ascii="Times New Roman" w:hAnsi="Times New Roman"/>
          <w:sz w:val="24"/>
        </w:rPr>
        <w:t xml:space="preserve">(b) If any payment received by the Swingline Lender in respect of principal or interest on any Swingline Loan is required to be returned by the Swingline Lender because it is invalidated, declared to be fraudulent or preferential, set aside or required to be repaid to a trustee, receiver or any other party in connection with any proceeding under any debtor relief law or otherwise (including pursuant to any settlement entered into by the Swingline Lender in its discretion), each Lender shall pay to the Swingline Lender its Commitment Ratio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Interest for Account of Swingline Lender</w:t>
      </w:r>
      <w:r>
        <w:rPr>
          <w:rFonts w:ascii="Times New Roman" w:hAnsi="Times New Roman"/>
          <w:sz w:val="24"/>
        </w:rPr>
        <w:t xml:space="preserve">. The Swingline Lender shall be responsible for invoicing the Borrower for interest on the Swingline Loans. Until each Lender funds its Revolving Loan (in the form of a Base Rate Advance) or risk participation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this Section to refinance such Lender’s Commitment Ratio of any Swingline Loan, interest in respect of such Commitment Ratio shall be solely for the account of the Swingline Lender. </w:t>
      </w:r>
    </w:p>
    <w:p>
      <w:pPr>
        <w:pStyle w:val="TextBody"/>
        <w:bidi w:val="0"/>
        <w:spacing w:before="240" w:after="0"/>
        <w:jc w:val="both"/>
        <w:rPr>
          <w:rFonts w:ascii="Times New Roman" w:hAnsi="Times New Roman"/>
          <w:sz w:val="24"/>
        </w:rPr>
      </w:pPr>
      <w:r>
        <w:rPr>
          <w:rFonts w:ascii="Times New Roman" w:hAnsi="Times New Roman"/>
          <w:sz w:val="24"/>
        </w:rPr>
        <w:t>(vi) </w:t>
      </w:r>
      <w:r>
        <w:rPr>
          <w:rFonts w:ascii="Times New Roman" w:hAnsi="Times New Roman"/>
          <w:sz w:val="24"/>
          <w:u w:val="single"/>
        </w:rPr>
        <w:t>Payments Directly to Swingline Lender</w:t>
      </w:r>
      <w:r>
        <w:rPr>
          <w:rFonts w:ascii="Times New Roman" w:hAnsi="Times New Roman"/>
          <w:sz w:val="24"/>
        </w:rPr>
        <w:t xml:space="preserve">. The Borrower shall make all payments of principal and interest in respect of the Swingline Loans directly to the Swingline Lender. </w:t>
      </w:r>
    </w:p>
    <w:p>
      <w:pPr>
        <w:pStyle w:val="TextBody"/>
        <w:bidi w:val="0"/>
        <w:spacing w:before="240" w:after="0"/>
        <w:jc w:val="both"/>
        <w:rPr>
          <w:rFonts w:ascii="Times New Roman" w:hAnsi="Times New Roman"/>
          <w:sz w:val="24"/>
        </w:rPr>
      </w:pPr>
      <w:r>
        <w:rPr>
          <w:rFonts w:ascii="Times New Roman" w:hAnsi="Times New Roman"/>
          <w:sz w:val="24"/>
        </w:rPr>
        <w:t>Section 2.18 </w:t>
      </w:r>
      <w:r>
        <w:rPr>
          <w:rFonts w:ascii="Times New Roman" w:hAnsi="Times New Roman"/>
          <w:sz w:val="24"/>
          <w:u w:val="single"/>
        </w:rPr>
        <w:t>Maturity Date Extension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Company may request that the Lenders’ Revolving Loan Commitments be renewed for up to two additional one year periods by providing notice of such request to the Administrative Agent (which shall give prompt notice to the Lenders) no later than the third anniversary of the Effective Date and no more than once per year, and shall specify the date upon which such extension will become effective (the “</w:t>
      </w:r>
      <w:r>
        <w:rPr>
          <w:rFonts w:ascii="Times New Roman" w:hAnsi="Times New Roman"/>
          <w:sz w:val="24"/>
          <w:u w:val="single"/>
        </w:rPr>
        <w:t>Extension Date</w:t>
      </w:r>
      <w:r>
        <w:rPr>
          <w:rFonts w:ascii="Times New Roman" w:hAnsi="Times New Roman"/>
          <w:sz w:val="24"/>
        </w:rPr>
        <w:t>”). If a Lender agrees, in its individual and sole discretion, to renew its Revolving Loan Commitment (an “</w:t>
      </w:r>
      <w:r>
        <w:rPr>
          <w:rFonts w:ascii="Times New Roman" w:hAnsi="Times New Roman"/>
          <w:sz w:val="24"/>
          <w:u w:val="single"/>
        </w:rPr>
        <w:t>Extending</w:t>
      </w:r>
      <w:r>
        <w:rPr>
          <w:rFonts w:ascii="Times New Roman" w:hAnsi="Times New Roman"/>
          <w:sz w:val="24"/>
        </w:rPr>
        <w:t xml:space="preserve"> </w:t>
      </w:r>
      <w:r>
        <w:rPr>
          <w:rFonts w:ascii="Times New Roman" w:hAnsi="Times New Roman"/>
          <w:sz w:val="24"/>
          <w:u w:val="single"/>
        </w:rPr>
        <w:t>Lender</w:t>
      </w:r>
      <w:r>
        <w:rPr>
          <w:rFonts w:ascii="Times New Roman" w:hAnsi="Times New Roman"/>
          <w:sz w:val="24"/>
        </w:rPr>
        <w:t>”), it will notify the Administrative Agent, in writing, of its decision to do so no later than 20 days after receipt of such extension notice. The Administrative Agent shall notify the Company, in writing, of the Lenders’ decisions no later than five days after the date the Lenders are required to respond to such extension notice. As of the Extension Date, the Extending Lenders’ Revolving Loan Commitment will be renewed for an additional one year from the Maturity Date at that time, provided that more than 50% of the Revolving Loan Commitments are extended or otherwise committed to by Extending Lenders and any new Lenders. Any Lender that declines the Company’s request, or does not respond to the Company’s request for a commitment renewal (a “</w:t>
      </w:r>
      <w:r>
        <w:rPr>
          <w:rFonts w:ascii="Times New Roman" w:hAnsi="Times New Roman"/>
          <w:sz w:val="24"/>
          <w:u w:val="single"/>
        </w:rPr>
        <w:t>Non-Extending Lender</w:t>
      </w:r>
      <w:r>
        <w:rPr>
          <w:rFonts w:ascii="Times New Roman" w:hAnsi="Times New Roman"/>
          <w:sz w:val="24"/>
        </w:rPr>
        <w:t xml:space="preserve">”) will have its Revolving Loan Commitment terminated on the Maturity Date then in effect (without regard to any extensions by other Lenders). The Company will have the right to accept commitments from third party financial institutions acceptable to the Administrative Agent, the Issuing Banks and the Swingline Lender in an amount equal to the amount of the Revolving Loan Commitment of any Non-Extending Lender. Notwithstanding anything to the contrary, the Maturity Date shall not extend beyond the fifth anniversary of the Extension Date. </w:t>
      </w:r>
    </w:p>
    <w:p>
      <w:pPr>
        <w:pStyle w:val="TextBody"/>
        <w:bidi w:val="0"/>
        <w:spacing w:before="240" w:after="0"/>
        <w:jc w:val="center"/>
        <w:rPr>
          <w:rFonts w:ascii="Times New Roman" w:hAnsi="Times New Roman"/>
          <w:sz w:val="24"/>
        </w:rPr>
      </w:pPr>
      <w:r>
        <w:rPr>
          <w:rFonts w:ascii="Times New Roman" w:hAnsi="Times New Roman"/>
          <w:sz w:val="24"/>
        </w:rPr>
        <w:t xml:space="preserve">ARTICLE 3 - CONDITIONS PRECEDENT </w:t>
      </w:r>
    </w:p>
    <w:p>
      <w:pPr>
        <w:pStyle w:val="TextBody"/>
        <w:bidi w:val="0"/>
        <w:spacing w:before="240" w:after="0"/>
        <w:jc w:val="both"/>
        <w:rPr>
          <w:rFonts w:ascii="Times New Roman" w:hAnsi="Times New Roman"/>
          <w:sz w:val="24"/>
        </w:rPr>
      </w:pPr>
      <w:r>
        <w:rPr>
          <w:rFonts w:ascii="Times New Roman" w:hAnsi="Times New Roman"/>
          <w:sz w:val="24"/>
        </w:rPr>
        <w:t>Section 3.1 </w:t>
      </w:r>
      <w:r>
        <w:rPr>
          <w:rFonts w:ascii="Times New Roman" w:hAnsi="Times New Roman"/>
          <w:sz w:val="24"/>
          <w:u w:val="single"/>
        </w:rPr>
        <w:t>Conditions Precedent to Effectiveness of this Agreement</w:t>
      </w:r>
      <w:r>
        <w:rPr>
          <w:rFonts w:ascii="Times New Roman" w:hAnsi="Times New Roman"/>
          <w:sz w:val="24"/>
        </w:rPr>
        <w:t xml:space="preserve">. The effectiveness of this Agreement on the Effective Date is subject to the prior or contemporaneous fulfillment (in the reasonable opinion of the Administrative Agent) or, if applicable, receipt by the Administrative Agent (in each case in form and substance reasonably satisfactory to the Administrative Agent and the Lenders) of each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(i) this Agreement duly executed by all relevant parties; </w:t>
      </w:r>
    </w:p>
    <w:p>
      <w:pPr>
        <w:pStyle w:val="TextBody"/>
        <w:bidi w:val="0"/>
        <w:spacing w:before="240" w:after="0"/>
        <w:jc w:val="both"/>
        <w:rPr>
          <w:rFonts w:ascii="Times New Roman" w:hAnsi="Times New Roman"/>
          <w:sz w:val="24"/>
        </w:rPr>
      </w:pPr>
      <w:r>
        <w:rPr>
          <w:rFonts w:ascii="Times New Roman" w:hAnsi="Times New Roman"/>
          <w:sz w:val="24"/>
        </w:rPr>
        <w:t xml:space="preserve">(ii) a loan certificate of the Company dated as of the Effective Date, in substantially the form attached hereto as </w:t>
      </w:r>
      <w:r>
        <w:rPr>
          <w:rFonts w:ascii="Times New Roman" w:hAnsi="Times New Roman"/>
          <w:sz w:val="24"/>
          <w:u w:val="single"/>
        </w:rPr>
        <w:t>Exhibit D</w:t>
      </w:r>
      <w:r>
        <w:rPr>
          <w:rFonts w:ascii="Times New Roman" w:hAnsi="Times New Roman"/>
          <w:sz w:val="24"/>
        </w:rPr>
        <w:t xml:space="preserve">, including a certificate of incumbency with respect to each Authorized Signatory of the Company, together with the following items: (i) a true, complete and correct copy of the articles of incorporation and by-laws of the Company as in effect on the Effective Date, (ii) a certificate of good standing for the Company issued by the Secretary of State of Delaware, and (iii) a true, complete and correct copy of the resolutions of the Company authorizing it to execute, deliver and perform each of the Loan Documents to which it is a party;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(iii) legal opinions of (i) Cleary Gottlieb Steen &amp; Hamilton LLP, special counsel to the Company and (ii) Edmund DiSanto, Esq., General Counsel of the Company, addressed to each Lender and the Administrative Agent and dated as of the Effective Date; </w:t>
      </w:r>
    </w:p>
    <w:p>
      <w:pPr>
        <w:pStyle w:val="TextBody"/>
        <w:bidi w:val="0"/>
        <w:spacing w:before="240" w:after="0"/>
        <w:jc w:val="both"/>
        <w:rPr>
          <w:rFonts w:ascii="Times New Roman" w:hAnsi="Times New Roman"/>
          <w:sz w:val="24"/>
        </w:rPr>
      </w:pPr>
      <w:r>
        <w:rPr>
          <w:rFonts w:ascii="Times New Roman" w:hAnsi="Times New Roman"/>
          <w:sz w:val="24"/>
        </w:rPr>
        <w:t xml:space="preserve">(iv) receipt by the Company of all Necessary Authorizations, other than Necessary Authorizations the absence of which would not reasonably be expected to have, individually or in the aggregate, a Materially Adverse Effect, including all necessary consents to the closing of this Agreement, that have been obtained or made, are in full force and effect and are not subject to any pending or, to the knowledge of the Company, threatened reversal or cancellation; </w:t>
      </w:r>
    </w:p>
    <w:p>
      <w:pPr>
        <w:pStyle w:val="TextBody"/>
        <w:bidi w:val="0"/>
        <w:spacing w:before="240" w:after="0"/>
        <w:jc w:val="both"/>
        <w:rPr>
          <w:rFonts w:ascii="Times New Roman" w:hAnsi="Times New Roman"/>
          <w:sz w:val="24"/>
        </w:rPr>
      </w:pPr>
      <w:r>
        <w:rPr>
          <w:rFonts w:ascii="Times New Roman" w:hAnsi="Times New Roman"/>
          <w:sz w:val="24"/>
        </w:rPr>
        <w:t xml:space="preserve">(v) each of the representations and warranties in Article 4 hereof are true and correct in all material respects, except for those representations and warranties that are qualified by materiality or Materially Adverse Effect, which shall be true and correct, as of the Effective Date, and no Default then exists; </w:t>
      </w:r>
    </w:p>
    <w:p>
      <w:pPr>
        <w:pStyle w:val="TextBody"/>
        <w:bidi w:val="0"/>
        <w:spacing w:before="240" w:after="0"/>
        <w:jc w:val="both"/>
        <w:rPr>
          <w:rFonts w:ascii="Times New Roman" w:hAnsi="Times New Roman"/>
          <w:sz w:val="24"/>
        </w:rPr>
      </w:pPr>
      <w:r>
        <w:rPr>
          <w:rFonts w:ascii="Times New Roman" w:hAnsi="Times New Roman"/>
          <w:sz w:val="24"/>
        </w:rPr>
        <w:t xml:space="preserve">(vi) at least three (3) Business Days prior to the Effective Date, to the extent reasonably requested in writing at least ten (10) Business Days prior to the Effective Date, the documentation that the Administrative Agent and the Lenders are required to obtain from the Company under Section 326 of the USA PATRIOT ACT (P.L. 107-56, 115 Stat. 272 (2001)) and under any other provision of the Patriot Act, the Bank Secrecy Act (P.L. 91-508, 84 Stat. 1118 (1970)) or any regulations under such Act or the Patriot Act that contain document collection requirements that apply to the Administrative Agent and the Lenders and (ii) to the extent the Company qualifies as a “legal entity customer” under the Beneficial Ownership Regulation, the Beneficial Ownership Certification to each Lender that so requests; </w:t>
      </w:r>
    </w:p>
    <w:p>
      <w:pPr>
        <w:pStyle w:val="TextBody"/>
        <w:bidi w:val="0"/>
        <w:spacing w:before="240" w:after="0"/>
        <w:jc w:val="both"/>
        <w:rPr>
          <w:rFonts w:ascii="Times New Roman" w:hAnsi="Times New Roman"/>
          <w:sz w:val="24"/>
        </w:rPr>
      </w:pPr>
      <w:r>
        <w:rPr>
          <w:rFonts w:ascii="Times New Roman" w:hAnsi="Times New Roman"/>
          <w:sz w:val="24"/>
        </w:rPr>
        <w:t xml:space="preserve">(vii) all fees and expenses required to be paid in connection with this Agreement to the Administrative Agent, the Joint Lead Arrangers, the Issuing Banks and the Lenders shall have been (or shall be simultaneously) paid in full; </w:t>
      </w:r>
    </w:p>
    <w:p>
      <w:pPr>
        <w:pStyle w:val="TextBody"/>
        <w:bidi w:val="0"/>
        <w:spacing w:before="240" w:after="0"/>
        <w:jc w:val="both"/>
        <w:rPr>
          <w:rFonts w:ascii="Times New Roman" w:hAnsi="Times New Roman"/>
          <w:sz w:val="24"/>
        </w:rPr>
      </w:pPr>
      <w:r>
        <w:rPr>
          <w:rFonts w:ascii="Times New Roman" w:hAnsi="Times New Roman"/>
          <w:sz w:val="24"/>
        </w:rPr>
        <w:t xml:space="preserve">(viii) audited consolidated financial statements for the three years ended December 31, 2022, and unaudited consolidated financial statements for each of the three quarters ended June 30, 2022, September 30, 2022 and March 31, 2023, in each case of the Company and its Subsidiaries; </w:t>
      </w:r>
      <w:r>
        <w:rPr>
          <w:rFonts w:ascii="Times New Roman" w:hAnsi="Times New Roman"/>
          <w:sz w:val="24"/>
          <w:u w:val="single"/>
        </w:rPr>
        <w:t>provided</w:t>
      </w:r>
      <w:r>
        <w:rPr>
          <w:rFonts w:ascii="Times New Roman" w:hAnsi="Times New Roman"/>
          <w:sz w:val="24"/>
        </w:rPr>
        <w:t xml:space="preserve"> that financial statements required to be delivered pursuant to this clause (h) shall be deemed to have been delivered on the date on which reports containing such financial statements are made publicly available on the Securities and Exchange Commission’s EDGAR database; </w:t>
      </w:r>
    </w:p>
    <w:p>
      <w:pPr>
        <w:pStyle w:val="TextBody"/>
        <w:bidi w:val="0"/>
        <w:spacing w:before="240" w:after="0"/>
        <w:jc w:val="both"/>
        <w:rPr>
          <w:rFonts w:ascii="Times New Roman" w:hAnsi="Times New Roman"/>
          <w:sz w:val="24"/>
        </w:rPr>
      </w:pPr>
      <w:r>
        <w:rPr>
          <w:rFonts w:ascii="Times New Roman" w:hAnsi="Times New Roman"/>
          <w:sz w:val="24"/>
        </w:rPr>
        <w:t xml:space="preserve">(ix) a certificate of the president, chief financial officer or treasurer of the Company as to the financial performance of the Company and its Subsidiaries, substantially in the form of </w:t>
      </w:r>
      <w:r>
        <w:rPr>
          <w:rFonts w:ascii="Times New Roman" w:hAnsi="Times New Roman"/>
          <w:sz w:val="24"/>
          <w:u w:val="single"/>
        </w:rPr>
        <w:t>Exhibit E</w:t>
      </w:r>
      <w:r>
        <w:rPr>
          <w:rFonts w:ascii="Times New Roman" w:hAnsi="Times New Roman"/>
          <w:sz w:val="24"/>
        </w:rPr>
        <w:t xml:space="preserve"> attached hereto, and, to the extent applicable, using information contained in the financial statements delivered pursuant to clause (h) of this Section 3.1 in respect of the quarter ended March 31, 2023; </w:t>
      </w:r>
    </w:p>
    <w:p>
      <w:pPr>
        <w:pStyle w:val="TextBody"/>
        <w:bidi w:val="0"/>
        <w:spacing w:before="240" w:after="0"/>
        <w:jc w:val="both"/>
        <w:rPr>
          <w:rFonts w:ascii="Times New Roman" w:hAnsi="Times New Roman"/>
          <w:sz w:val="24"/>
        </w:rPr>
      </w:pPr>
      <w:r>
        <w:rPr>
          <w:rFonts w:ascii="Times New Roman" w:hAnsi="Times New Roman"/>
          <w:sz w:val="24"/>
        </w:rPr>
        <w:t xml:space="preserve">(x) [reserved]; and </w:t>
      </w:r>
    </w:p>
    <w:p>
      <w:pPr>
        <w:pStyle w:val="TextBody"/>
        <w:bidi w:val="0"/>
        <w:spacing w:before="240" w:after="0"/>
        <w:jc w:val="both"/>
        <w:rPr>
          <w:rFonts w:ascii="Times New Roman" w:hAnsi="Times New Roman"/>
          <w:sz w:val="24"/>
        </w:rPr>
      </w:pPr>
      <w:r>
        <w:rPr>
          <w:rFonts w:ascii="Times New Roman" w:hAnsi="Times New Roman"/>
          <w:sz w:val="24"/>
        </w:rPr>
        <w:t xml:space="preserve">(xi) the administrative agent and the lenders under the Existing USD Credit Agreement shall have received (i) all fees and other amounts due and payable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and the other obligors under the Existing USD Credit Agreement and (ii) all loans and other outstanding obligations thereunder shall have been paid in full or be deemed to be Obligations under this Agreement on or prior to the Effective Date. </w:t>
      </w:r>
    </w:p>
    <w:p>
      <w:pPr>
        <w:pStyle w:val="TextBody"/>
        <w:bidi w:val="0"/>
        <w:spacing w:before="240" w:after="0"/>
        <w:jc w:val="both"/>
        <w:rPr>
          <w:rFonts w:ascii="Times New Roman" w:hAnsi="Times New Roman"/>
          <w:sz w:val="24"/>
        </w:rPr>
      </w:pPr>
      <w:r>
        <w:rPr>
          <w:rFonts w:ascii="Times New Roman" w:hAnsi="Times New Roman"/>
          <w:sz w:val="24"/>
        </w:rPr>
        <w:t>Section 3.2 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3.3 </w:t>
      </w:r>
      <w:r>
        <w:rPr>
          <w:rFonts w:ascii="Times New Roman" w:hAnsi="Times New Roman"/>
          <w:sz w:val="24"/>
          <w:u w:val="single"/>
        </w:rPr>
        <w:t>Conditions Precedent to Each Advance</w:t>
      </w:r>
      <w:r>
        <w:rPr>
          <w:rFonts w:ascii="Times New Roman" w:hAnsi="Times New Roman"/>
          <w:sz w:val="24"/>
        </w:rPr>
        <w:t xml:space="preserve">. The obligation of the Lenders to make each Advance on or after the Effective Date is subject to the fulfillment of each of the following conditions immediately prior to or contemporaneously with such Advance: </w:t>
      </w:r>
    </w:p>
    <w:p>
      <w:pPr>
        <w:pStyle w:val="TextBody"/>
        <w:bidi w:val="0"/>
        <w:spacing w:before="240" w:after="0"/>
        <w:jc w:val="both"/>
        <w:rPr>
          <w:rFonts w:ascii="Times New Roman" w:hAnsi="Times New Roman"/>
          <w:sz w:val="24"/>
        </w:rPr>
      </w:pPr>
      <w:r>
        <w:rPr>
          <w:rFonts w:ascii="Times New Roman" w:hAnsi="Times New Roman"/>
          <w:sz w:val="24"/>
        </w:rPr>
        <w:t xml:space="preserve">(i) (i) all of the representations and warranties of the Company under this Agreement and the other Loan Documents (other than those set forth in Section 4.1(f)(ii) and Section 4.1(i) hereof), which, pursuant to Section 4.2 hereof, are made at and as of the time of such Advance, shall be true and correct at such time in all material respects, except for those representations and warranties that are qualified by materiality or Materially Adverse Effect, which shall be true and correct, both before and after giving effect to the application of the proceeds of such Advance, and after giving effect to any updates to information provided to the Lenders in accordance with the terms of this Agreement except to the extent stated to have been made as of the Effective Date, and (ii) no Default hereunder shall then exist or be caused thereby; </w:t>
      </w:r>
    </w:p>
    <w:p>
      <w:pPr>
        <w:pStyle w:val="TextBody"/>
        <w:bidi w:val="0"/>
        <w:spacing w:before="240" w:after="0"/>
        <w:jc w:val="both"/>
        <w:rPr>
          <w:rFonts w:ascii="Times New Roman" w:hAnsi="Times New Roman"/>
          <w:sz w:val="24"/>
        </w:rPr>
      </w:pPr>
      <w:r>
        <w:rPr>
          <w:rFonts w:ascii="Times New Roman" w:hAnsi="Times New Roman"/>
          <w:sz w:val="24"/>
        </w:rPr>
        <w:t xml:space="preserve">(ii) the Administrative Agent shall have received a duly executed Request for Advance for Revolving Loans or, in the case of an Advance of Swingline Loans, the Swingline Lender shall have received a duly executed Swingline Loan Notice for Swingline Loans; </w:t>
      </w:r>
    </w:p>
    <w:p>
      <w:pPr>
        <w:pStyle w:val="TextBody"/>
        <w:bidi w:val="0"/>
        <w:spacing w:before="240" w:after="0"/>
        <w:jc w:val="both"/>
        <w:rPr>
          <w:rFonts w:ascii="Times New Roman" w:hAnsi="Times New Roman"/>
          <w:sz w:val="24"/>
        </w:rPr>
      </w:pPr>
      <w:r>
        <w:rPr>
          <w:rFonts w:ascii="Times New Roman" w:hAnsi="Times New Roman"/>
          <w:sz w:val="24"/>
        </w:rPr>
        <w:t xml:space="preserve">(iii) the incumbency of the Authorized Signatories shall be as stated in the applicable certificate of incumbency contained in the certificate of the Company delivered to the Administrative Agent prior to or on the Effective Date or as subsequently modified and reflected in a certificate of incumbency delivered to the Administrative Agent and the Lenders having a Revolving Loan Commitment; </w:t>
      </w:r>
    </w:p>
    <w:p>
      <w:pPr>
        <w:pStyle w:val="TextBody"/>
        <w:bidi w:val="0"/>
        <w:spacing w:before="240" w:after="0"/>
        <w:jc w:val="both"/>
        <w:rPr>
          <w:rFonts w:ascii="Times New Roman" w:hAnsi="Times New Roman"/>
          <w:sz w:val="24"/>
        </w:rPr>
      </w:pPr>
      <w:r>
        <w:rPr>
          <w:rFonts w:ascii="Times New Roman" w:hAnsi="Times New Roman"/>
          <w:sz w:val="24"/>
        </w:rPr>
        <w:t xml:space="preserve">(iv) [reserved]; and </w:t>
      </w:r>
    </w:p>
    <w:p>
      <w:pPr>
        <w:pStyle w:val="TextBody"/>
        <w:bidi w:val="0"/>
        <w:spacing w:before="240" w:after="0"/>
        <w:jc w:val="both"/>
        <w:rPr>
          <w:rFonts w:ascii="Times New Roman" w:hAnsi="Times New Roman"/>
          <w:sz w:val="24"/>
        </w:rPr>
      </w:pPr>
      <w:r>
        <w:rPr>
          <w:rFonts w:ascii="Times New Roman" w:hAnsi="Times New Roman"/>
          <w:sz w:val="24"/>
        </w:rPr>
        <w:t xml:space="preserve">(v) if such Advance consists of an Alternative Currency, there shall not have occurred any change in national or international financial, political or economic conditions or currency exchange rates or exchange controls that would make it impracticable for such Advance to be denominated in such Alternative Currency. </w:t>
      </w:r>
    </w:p>
    <w:p>
      <w:pPr>
        <w:pStyle w:val="TextBody"/>
        <w:bidi w:val="0"/>
        <w:spacing w:before="240" w:after="0"/>
        <w:jc w:val="both"/>
        <w:rPr>
          <w:rFonts w:ascii="Times New Roman" w:hAnsi="Times New Roman"/>
          <w:sz w:val="24"/>
        </w:rPr>
      </w:pPr>
      <w:r>
        <w:rPr>
          <w:rFonts w:ascii="Times New Roman" w:hAnsi="Times New Roman"/>
          <w:sz w:val="24"/>
        </w:rPr>
        <w:t>Section 3.4 </w:t>
      </w:r>
      <w:r>
        <w:rPr>
          <w:rFonts w:ascii="Times New Roman" w:hAnsi="Times New Roman"/>
          <w:sz w:val="24"/>
          <w:u w:val="single"/>
        </w:rPr>
        <w:t>Conditions Precedent to Issuance of Letters of Credit</w:t>
      </w:r>
      <w:r>
        <w:rPr>
          <w:rFonts w:ascii="Times New Roman" w:hAnsi="Times New Roman"/>
          <w:sz w:val="24"/>
        </w:rPr>
        <w:t xml:space="preserve">. The obligation of the Issuing Banks to issue any Letter of Credit hereunder is subject to the fulfillment of each of the following conditions immediately prior to or contemporaneously with such issuance: </w:t>
      </w:r>
    </w:p>
    <w:p>
      <w:pPr>
        <w:pStyle w:val="TextBody"/>
        <w:bidi w:val="0"/>
        <w:spacing w:before="240" w:after="0"/>
        <w:jc w:val="both"/>
        <w:rPr>
          <w:rFonts w:ascii="Times New Roman" w:hAnsi="Times New Roman"/>
          <w:sz w:val="24"/>
        </w:rPr>
      </w:pPr>
      <w:r>
        <w:rPr>
          <w:rFonts w:ascii="Times New Roman" w:hAnsi="Times New Roman"/>
          <w:sz w:val="24"/>
        </w:rPr>
        <w:t xml:space="preserve">(i) all of the representations and warranties of the Company under this Agreement (other than those set forth in Section 4.1(i) hereof), which, in accordance with Section 4.2 hereof, are made at and as of the time of an Advance, shall be true and correct at such time in all material respects, except for those representations and warranties that are qualified by materiality or Materially Adverse Effect, which shall be true and correct, both before and after giving effect to the issuance of such Letter of Credit and after giving effect to any updates to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information provided to the Lenders in accordance with the terms of this Agreement except to the extent stated to have been made as of the Effective Date; </w:t>
      </w:r>
    </w:p>
    <w:p>
      <w:pPr>
        <w:pStyle w:val="TextBody"/>
        <w:bidi w:val="0"/>
        <w:spacing w:before="240" w:after="0"/>
        <w:jc w:val="both"/>
        <w:rPr>
          <w:rFonts w:ascii="Times New Roman" w:hAnsi="Times New Roman"/>
          <w:sz w:val="24"/>
        </w:rPr>
      </w:pPr>
      <w:r>
        <w:rPr>
          <w:rFonts w:ascii="Times New Roman" w:hAnsi="Times New Roman"/>
          <w:sz w:val="24"/>
        </w:rPr>
        <w:t xml:space="preserve">(ii) the Administrative Agent and the applicable Issuing Bank shall have received a duly executed Letter of Credit Application; </w:t>
      </w:r>
    </w:p>
    <w:p>
      <w:pPr>
        <w:pStyle w:val="TextBody"/>
        <w:bidi w:val="0"/>
        <w:spacing w:before="240" w:after="0"/>
        <w:jc w:val="both"/>
        <w:rPr>
          <w:rFonts w:ascii="Times New Roman" w:hAnsi="Times New Roman"/>
          <w:sz w:val="24"/>
        </w:rPr>
      </w:pPr>
      <w:r>
        <w:rPr>
          <w:rFonts w:ascii="Times New Roman" w:hAnsi="Times New Roman"/>
          <w:sz w:val="24"/>
        </w:rPr>
        <w:t xml:space="preserve">(iii) the incumbency of the Authorized Signatories shall be as stated in the applicable certificate of incumbency contained in the certificate of the Company delivered to the Administrative Agent prior to or on the Effective Date or as subsequently modified and reflected in a certificate of incumbency delivered to the Administrative Agent and the Lenders having a Revolving Loan Commitment; and </w:t>
      </w:r>
    </w:p>
    <w:p>
      <w:pPr>
        <w:pStyle w:val="TextBody"/>
        <w:bidi w:val="0"/>
        <w:spacing w:before="240" w:after="0"/>
        <w:jc w:val="both"/>
        <w:rPr>
          <w:rFonts w:ascii="Times New Roman" w:hAnsi="Times New Roman"/>
          <w:sz w:val="24"/>
        </w:rPr>
      </w:pPr>
      <w:r>
        <w:rPr>
          <w:rFonts w:ascii="Times New Roman" w:hAnsi="Times New Roman"/>
          <w:sz w:val="24"/>
        </w:rPr>
        <w:t xml:space="preserve">(iv) there shall not exist, on the date of the issuance of such Letter of Credit and after giving effect thereto, a Default or an Event of Default hereunder. </w:t>
      </w:r>
    </w:p>
    <w:p>
      <w:pPr>
        <w:pStyle w:val="TextBody"/>
        <w:bidi w:val="0"/>
        <w:spacing w:before="240" w:after="0"/>
        <w:jc w:val="center"/>
        <w:rPr>
          <w:rFonts w:ascii="Times New Roman" w:hAnsi="Times New Roman"/>
          <w:sz w:val="24"/>
        </w:rPr>
      </w:pPr>
      <w:r>
        <w:rPr>
          <w:rFonts w:ascii="Times New Roman" w:hAnsi="Times New Roman"/>
          <w:sz w:val="24"/>
        </w:rPr>
        <w:t xml:space="preserve">ARTICLE 4 - REPRESENTATIONS AND WARRANTIES </w:t>
      </w:r>
    </w:p>
    <w:p>
      <w:pPr>
        <w:pStyle w:val="TextBody"/>
        <w:bidi w:val="0"/>
        <w:spacing w:before="240" w:after="0"/>
        <w:jc w:val="both"/>
        <w:rPr>
          <w:rFonts w:ascii="Times New Roman" w:hAnsi="Times New Roman"/>
          <w:sz w:val="24"/>
        </w:rPr>
      </w:pPr>
      <w:r>
        <w:rPr>
          <w:rFonts w:ascii="Times New Roman" w:hAnsi="Times New Roman"/>
          <w:sz w:val="24"/>
        </w:rPr>
        <w:t>Section 4.1 </w:t>
      </w:r>
      <w:r>
        <w:rPr>
          <w:rFonts w:ascii="Times New Roman" w:hAnsi="Times New Roman"/>
          <w:sz w:val="24"/>
          <w:u w:val="single"/>
        </w:rPr>
        <w:t>Representations and Warranties</w:t>
      </w:r>
      <w:r>
        <w:rPr>
          <w:rFonts w:ascii="Times New Roman" w:hAnsi="Times New Roman"/>
          <w:sz w:val="24"/>
        </w:rPr>
        <w:t xml:space="preserve">. The Company hereby represents and warrants in favor of the Administrative Agent and each Lender on the Effective Date and each other date as set forth in Article 3 that: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Organization; Ownership; Power; Qualification</w:t>
      </w:r>
      <w:r>
        <w:rPr>
          <w:rFonts w:ascii="Times New Roman" w:hAnsi="Times New Roman"/>
          <w:sz w:val="24"/>
        </w:rPr>
        <w:t xml:space="preserve">. The Company is a corporation duly organized, validly existing and in good standing under the laws of its jurisdiction of incorporation. The Company has the power and authority to own its properties and to carry on its business as now being and as proposed hereafter to be conducted. The Subsidiaries of the Company and the direct and indirect ownership thereof as of the Effective Date are as set forth on </w:t>
      </w:r>
      <w:r>
        <w:rPr>
          <w:rFonts w:ascii="Times New Roman" w:hAnsi="Times New Roman"/>
          <w:sz w:val="24"/>
          <w:u w:val="single"/>
        </w:rPr>
        <w:t>Schedule 4</w:t>
      </w:r>
      <w:r>
        <w:rPr>
          <w:rFonts w:ascii="Times New Roman" w:hAnsi="Times New Roman"/>
          <w:sz w:val="24"/>
        </w:rPr>
        <w:t xml:space="preserve"> attached hereto. As of the Effective Date and except as would not reasonably be expected to have a Materially Adverse Effect, each Subsidiary of the Company is a corporation, limited liability company, limited partnership or other legal entity duly organized or formed, validly existing and in good standing under the laws of the jurisdiction of its incorporation or formation and has the power and authority to own its properties and to carry on its business as now being and as proposed hereafter to be conducted.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Authorization; Enforceability</w:t>
      </w:r>
      <w:r>
        <w:rPr>
          <w:rFonts w:ascii="Times New Roman" w:hAnsi="Times New Roman"/>
          <w:sz w:val="24"/>
        </w:rPr>
        <w:t xml:space="preserve">. The Company has the corporate power, and has taken all necessary action, to authorize it to borrow hereunder, to execute, deliver and perform this Agreement and each of the other Loan Documents to which it is a party in accordance with their respective terms, and to consummate the transactions contemplated hereby and thereby. This Agreement has been duly executed and delivered by the Company and is, and each of the other Loan Documents to which the Company is party is, a legal, valid and binding obligation of the Company and enforceable against the Company in accordance with its terms, subject to applicable bankruptcy, insolvency, fraudulent conveyance, reorganization, moratorium and similar laws affecting creditors’ rights and remedies generally and subject, as to enforceability, to general principles of equity.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Compliance with Other Loan Documents and Contemplated</w:t>
      </w:r>
      <w:r>
        <w:rPr>
          <w:rFonts w:ascii="Times New Roman" w:hAnsi="Times New Roman"/>
          <w:sz w:val="24"/>
        </w:rPr>
        <w:t xml:space="preserve"> </w:t>
      </w:r>
      <w:r>
        <w:rPr>
          <w:rFonts w:ascii="Times New Roman" w:hAnsi="Times New Roman"/>
          <w:sz w:val="24"/>
          <w:u w:val="single"/>
        </w:rPr>
        <w:t>Transactions</w:t>
      </w:r>
      <w:r>
        <w:rPr>
          <w:rFonts w:ascii="Times New Roman" w:hAnsi="Times New Roman"/>
          <w:sz w:val="24"/>
        </w:rPr>
        <w:t xml:space="preserve">. The execution, delivery and performance, in accordance with their respective terms, by the Company of this Agreement, the Notes, and each of the other Loan Documents, and the consummation of the transactions contemplated hereby and thereby, do not (i) require any consent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approval, governmental or otherwise, not already obtained, (ii) violate any Applicable Law respecting the Company, (iii) conflict with, result in a breach of, or constitute a default under the articles of incorporation or by-laws, as amended, of the Company, or under any indenture, agreement, or other instrument, including without limitation the Licenses, to which the Company is a party or by which the Company or its respective properties is bound that is material to the Company and its Subsidiaries on a consolidated basis or (iv) result in or require the creation or imposition of any Lien upon or with respect to any property now owned or hereafter acquired by the Company or any of the Material Subsidiaries, except for Liens permitted pursuant to Section 7.2 hereof.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Compliance with Law</w:t>
      </w:r>
      <w:r>
        <w:rPr>
          <w:rFonts w:ascii="Times New Roman" w:hAnsi="Times New Roman"/>
          <w:sz w:val="24"/>
        </w:rPr>
        <w:t xml:space="preserve">. The Company and its Subsidiaries are in compliance with all Applicable Law, except where the failure to be in compliance therewith would not individually or in the aggregate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Title to Assets</w:t>
      </w:r>
      <w:r>
        <w:rPr>
          <w:rFonts w:ascii="Times New Roman" w:hAnsi="Times New Roman"/>
          <w:sz w:val="24"/>
        </w:rPr>
        <w:t xml:space="preserve">. As of the Effective Date, the Company and its Subsidiaries have good title to, or a valid leasehold interest in, all of their respective assets, except for such exceptions as would not reasonably be expected to have, individually or in the aggregate, a Materially Adverse Effect. None of the properties or assets of the Company or any Material Subsidiary is subject to any Liens, except for Liens permitted pursuant to Section 7.2 hereof. </w:t>
      </w:r>
    </w:p>
    <w:p>
      <w:pPr>
        <w:pStyle w:val="TextBody"/>
        <w:bidi w:val="0"/>
        <w:spacing w:before="240" w:after="0"/>
        <w:jc w:val="both"/>
        <w:rPr>
          <w:rFonts w:ascii="Times New Roman" w:hAnsi="Times New Roman"/>
          <w:sz w:val="24"/>
        </w:rPr>
      </w:pPr>
      <w:r>
        <w:rPr>
          <w:rFonts w:ascii="Times New Roman" w:hAnsi="Times New Roman"/>
          <w:sz w:val="24"/>
        </w:rPr>
        <w:t>(vi) </w:t>
      </w:r>
      <w:r>
        <w:rPr>
          <w:rFonts w:ascii="Times New Roman" w:hAnsi="Times New Roman"/>
          <w:sz w:val="24"/>
          <w:u w:val="single"/>
        </w:rPr>
        <w:t>Litigation</w:t>
      </w:r>
      <w:r>
        <w:rPr>
          <w:rFonts w:ascii="Times New Roman" w:hAnsi="Times New Roman"/>
          <w:sz w:val="24"/>
        </w:rPr>
        <w:t xml:space="preserve">. There is no action, suit, proceeding or investigation pending against, or, to the knowledge of the Company, threatened against the Company or any of its Subsidiaries or any of their respective properties, including without limitation the Licenses, in any court or before any arbitrator of any kind or before or by any governmental body (including, without limitation, the FCC) that (i) calls into question the validity of this Agreement or any other Loan Document or (ii) as of the Effective Date, would reasonably be expected to have a Materially Adverse Effect, other than as may be disclosed in the public filings of the Company with the Securities and Exchange Commission prior to the Effective Date. </w:t>
      </w:r>
    </w:p>
    <w:p>
      <w:pPr>
        <w:pStyle w:val="TextBody"/>
        <w:bidi w:val="0"/>
        <w:spacing w:before="240" w:after="0"/>
        <w:jc w:val="both"/>
        <w:rPr>
          <w:rFonts w:ascii="Times New Roman" w:hAnsi="Times New Roman"/>
          <w:sz w:val="24"/>
        </w:rPr>
      </w:pPr>
      <w:r>
        <w:rPr>
          <w:rFonts w:ascii="Times New Roman" w:hAnsi="Times New Roman"/>
          <w:sz w:val="24"/>
        </w:rPr>
        <w:t>(vii) </w:t>
      </w:r>
      <w:r>
        <w:rPr>
          <w:rFonts w:ascii="Times New Roman" w:hAnsi="Times New Roman"/>
          <w:sz w:val="24"/>
          <w:u w:val="single"/>
        </w:rPr>
        <w:t>Taxes</w:t>
      </w:r>
      <w:r>
        <w:rPr>
          <w:rFonts w:ascii="Times New Roman" w:hAnsi="Times New Roman"/>
          <w:sz w:val="24"/>
        </w:rPr>
        <w:t xml:space="preserve">. All Federal income, other material Federal and material state and other tax returns of the Company and its Material Subsidiaries required by law to be filed have been duly filed and all Federal income, other material Federal and material state and other taxes, including, without limitation, withholding taxes, assessments and other governmental charges or levies required to be paid by the Company or any of its Subsidiaries or imposed upon the Company or any of its Subsidiaries or any of their respective properties, income, profits or assets, which are due and payable, have been paid, except any such taxes (i) (x) the payment of which the Company or any of its Subsidiaries is diligently contesting in good faith by appropriate proceedings, (y) for which adequate reserves in accordance with GAAP have been provided on the books of such Person, and (z) as to which no Lien other than a Lien permitted pursuant to Section 7.2 hereof has attached, or (ii) which may result from audits not yet conducted, or (iii) as to which the failure to pay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(viii) </w:t>
      </w:r>
      <w:r>
        <w:rPr>
          <w:rFonts w:ascii="Times New Roman" w:hAnsi="Times New Roman"/>
          <w:sz w:val="24"/>
          <w:u w:val="single"/>
        </w:rPr>
        <w:t>Financial Statements</w:t>
      </w:r>
      <w:r>
        <w:rPr>
          <w:rFonts w:ascii="Times New Roman" w:hAnsi="Times New Roman"/>
          <w:sz w:val="24"/>
        </w:rPr>
        <w:t xml:space="preserve">. As of the Effective Date, the Company has furnished or caused to be furnished to the Administrative Agent the audited financial statements for the Company and its Subsidiaries on a consolidated basis for the fiscal year ended December 31, 2020, and the consolidated balance sheet of the Company and its Subsidiaries as at September 30, 2021, and the related consolidated statements of income and cash flows of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Subsidiaries for the nine months then ended, duly certified by the chief financial officer of the Company, all of which have been prepared in accordance with GAAP and present fairly, subject, in the case of said balance sheet as at September 30, 2021, and said statements of income and cash flows for the nine months then ended, to year-end audit adjustments and the absence of footnotes, in all material respects the financial position of the Company and its Subsidiaries on a consolidated basis, on and as at such dates and the results of operations for the periods then ended. As of the Effective Date, none of the Company or its Subsidiaries has any liabilities, contingent or otherwise, that are material to the Company and its Subsidiaries on a consolidated basis other than as disclosed in the financial statements referred to in the preceding sentence or in the reports filed by the Company with the Securities and Exchange Commission prior to the Effective Date or the Obligations. </w:t>
      </w:r>
    </w:p>
    <w:p>
      <w:pPr>
        <w:pStyle w:val="TextBody"/>
        <w:bidi w:val="0"/>
        <w:spacing w:before="240" w:after="0"/>
        <w:jc w:val="both"/>
        <w:rPr>
          <w:rFonts w:ascii="Times New Roman" w:hAnsi="Times New Roman"/>
          <w:sz w:val="24"/>
        </w:rPr>
      </w:pPr>
      <w:r>
        <w:rPr>
          <w:rFonts w:ascii="Times New Roman" w:hAnsi="Times New Roman"/>
          <w:sz w:val="24"/>
        </w:rPr>
        <w:t>(ix) </w:t>
      </w:r>
      <w:r>
        <w:rPr>
          <w:rFonts w:ascii="Times New Roman" w:hAnsi="Times New Roman"/>
          <w:sz w:val="24"/>
          <w:u w:val="single"/>
        </w:rPr>
        <w:t>No Material Adverse Change</w:t>
      </w:r>
      <w:r>
        <w:rPr>
          <w:rFonts w:ascii="Times New Roman" w:hAnsi="Times New Roman"/>
          <w:sz w:val="24"/>
        </w:rPr>
        <w:t xml:space="preserve">. Other than as may be disclosed in the public filings of the Company with the Securities and Exchange Commission prior to the Effective Date, there has occurred no event since December 31, 2022 which has had or which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(x) </w:t>
      </w:r>
      <w:r>
        <w:rPr>
          <w:rFonts w:ascii="Times New Roman" w:hAnsi="Times New Roman"/>
          <w:sz w:val="24"/>
          <w:u w:val="single"/>
        </w:rPr>
        <w:t>ERISA</w:t>
      </w:r>
      <w:r>
        <w:rPr>
          <w:rFonts w:ascii="Times New Roman" w:hAnsi="Times New Roman"/>
          <w:sz w:val="24"/>
        </w:rPr>
        <w:t xml:space="preserve">. The Company and its Subsidiaries and, to the best of their knowledge, their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reasonably be expected to result in a Materially Adverse Effect. </w:t>
      </w:r>
    </w:p>
    <w:p>
      <w:pPr>
        <w:pStyle w:val="TextBody"/>
        <w:bidi w:val="0"/>
        <w:spacing w:before="240" w:after="0"/>
        <w:jc w:val="both"/>
        <w:rPr>
          <w:rFonts w:ascii="Times New Roman" w:hAnsi="Times New Roman"/>
          <w:sz w:val="24"/>
        </w:rPr>
      </w:pPr>
      <w:r>
        <w:rPr>
          <w:rFonts w:ascii="Times New Roman" w:hAnsi="Times New Roman"/>
          <w:sz w:val="24"/>
        </w:rPr>
        <w:t>(xi) </w:t>
      </w:r>
      <w:r>
        <w:rPr>
          <w:rFonts w:ascii="Times New Roman" w:hAnsi="Times New Roman"/>
          <w:sz w:val="24"/>
          <w:u w:val="single"/>
        </w:rPr>
        <w:t>Compliance with Regulations U and X</w:t>
      </w:r>
      <w:r>
        <w:rPr>
          <w:rFonts w:ascii="Times New Roman" w:hAnsi="Times New Roman"/>
          <w:sz w:val="24"/>
        </w:rPr>
        <w:t>. The Company does not own or presently intend to own an amount of “margin stock” as defined in Regulations U and X (12 C.F.R. Parts 221 and 224) of the Board (“</w:t>
      </w:r>
      <w:r>
        <w:rPr>
          <w:rFonts w:ascii="Times New Roman" w:hAnsi="Times New Roman"/>
          <w:sz w:val="24"/>
          <w:u w:val="single"/>
        </w:rPr>
        <w:t>margin stock</w:t>
      </w:r>
      <w:r>
        <w:rPr>
          <w:rFonts w:ascii="Times New Roman" w:hAnsi="Times New Roman"/>
          <w:sz w:val="24"/>
        </w:rPr>
        <w:t xml:space="preserve">”) representing twenty-five percent (25%) or more of the total assets of the Company, as measured on both a consolidated and unconsolidated basis. Neither the making of the Loans nor the use of proceeds thereof will violate, or be inconsistent with, the provisions of any of the above-mentioned regulations. </w:t>
      </w:r>
    </w:p>
    <w:p>
      <w:pPr>
        <w:pStyle w:val="TextBody"/>
        <w:bidi w:val="0"/>
        <w:spacing w:before="240" w:after="0"/>
        <w:jc w:val="both"/>
        <w:rPr>
          <w:rFonts w:ascii="Times New Roman" w:hAnsi="Times New Roman"/>
          <w:sz w:val="24"/>
        </w:rPr>
      </w:pPr>
      <w:r>
        <w:rPr>
          <w:rFonts w:ascii="Times New Roman" w:hAnsi="Times New Roman"/>
          <w:sz w:val="24"/>
        </w:rPr>
        <w:t>(xii) </w:t>
      </w:r>
      <w:r>
        <w:rPr>
          <w:rFonts w:ascii="Times New Roman" w:hAnsi="Times New Roman"/>
          <w:sz w:val="24"/>
          <w:u w:val="single"/>
        </w:rPr>
        <w:t>Investment Company Act</w:t>
      </w:r>
      <w:r>
        <w:rPr>
          <w:rFonts w:ascii="Times New Roman" w:hAnsi="Times New Roman"/>
          <w:sz w:val="24"/>
        </w:rPr>
        <w:t xml:space="preserve">. The Company is not required to register under the provisions of the Investment Company Act of 1940, as amended. </w:t>
      </w:r>
    </w:p>
    <w:p>
      <w:pPr>
        <w:pStyle w:val="TextBody"/>
        <w:bidi w:val="0"/>
        <w:spacing w:before="240" w:after="0"/>
        <w:jc w:val="both"/>
        <w:rPr>
          <w:rFonts w:ascii="Times New Roman" w:hAnsi="Times New Roman"/>
          <w:sz w:val="24"/>
        </w:rPr>
      </w:pPr>
      <w:r>
        <w:rPr>
          <w:rFonts w:ascii="Times New Roman" w:hAnsi="Times New Roman"/>
          <w:sz w:val="24"/>
        </w:rPr>
        <w:t>(xiii) </w:t>
      </w:r>
      <w:r>
        <w:rPr>
          <w:rFonts w:ascii="Times New Roman" w:hAnsi="Times New Roman"/>
          <w:sz w:val="24"/>
          <w:u w:val="single"/>
        </w:rPr>
        <w:t>Solvency</w:t>
      </w:r>
      <w:r>
        <w:rPr>
          <w:rFonts w:ascii="Times New Roman" w:hAnsi="Times New Roman"/>
          <w:sz w:val="24"/>
        </w:rPr>
        <w:t xml:space="preserve">. As of the Effective Date and after giving effect to the transactions contemplated by the Loan Documents, (i) the assets and property of the Company and its Subsidiaries on a consolidated basis, at a fair valuation, will exceed the total amount of liabilities, including contingent liabilities of the Company and its Subsidiaries on a consolidated basis; (ii) the capital of the Company and its Subsidiaries on a consolidated basis will not be unreasonably small to conduct its business as such business is now conducted and expected to be conducted following the Effective Date; (iii) the Company and its Subsidiaries on a consolidated basis will not have incurred debts, or have intended to incur debts, beyond their ability to pay such debts as they mature; and (iv) the present fair salable value of the assets and property of the Company and its Subsidiaries on a consolidated basis will be greater than the amount that will be required to pay their probable liabilities (including debts) as they become absolute and matured. For purposes of this Section, the amount of contingent liabilities at any time will be computed as the amount that,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light of all the facts and circumstances existing as such time, can reasonably be expected to become an actual or matured liability. </w:t>
      </w:r>
    </w:p>
    <w:p>
      <w:pPr>
        <w:pStyle w:val="TextBody"/>
        <w:bidi w:val="0"/>
        <w:spacing w:before="240" w:after="0"/>
        <w:jc w:val="both"/>
        <w:rPr>
          <w:rFonts w:ascii="Times New Roman" w:hAnsi="Times New Roman"/>
          <w:sz w:val="24"/>
        </w:rPr>
      </w:pPr>
      <w:r>
        <w:rPr>
          <w:rFonts w:ascii="Times New Roman" w:hAnsi="Times New Roman"/>
          <w:sz w:val="24"/>
        </w:rPr>
        <w:t>(xiv) </w:t>
      </w:r>
      <w:r>
        <w:rPr>
          <w:rFonts w:ascii="Times New Roman" w:hAnsi="Times New Roman"/>
          <w:sz w:val="24"/>
          <w:u w:val="single"/>
        </w:rPr>
        <w:t>Designated Persons; Sanctions Laws and Regulations</w:t>
      </w:r>
      <w:r>
        <w:rPr>
          <w:rFonts w:ascii="Times New Roman" w:hAnsi="Times New Roman"/>
          <w:sz w:val="24"/>
        </w:rPr>
        <w:t xml:space="preserve">. Neither the Company nor any of its Subsidiaries nor, to the knowledge of the Company, any of their respective directors or officers is a Designated Person. The Company, its Subsidiaries and their respective officers and employees and to the knowledge of the Company, its directors, are in compliance with Anti-Corruption Laws and applicable Sanctions Laws and Regulations, in each case, in all material respects. </w:t>
      </w:r>
    </w:p>
    <w:p>
      <w:pPr>
        <w:pStyle w:val="TextBody"/>
        <w:bidi w:val="0"/>
        <w:spacing w:before="240" w:after="0"/>
        <w:jc w:val="both"/>
        <w:rPr>
          <w:rFonts w:ascii="Times New Roman" w:hAnsi="Times New Roman"/>
          <w:sz w:val="24"/>
        </w:rPr>
      </w:pPr>
      <w:r>
        <w:rPr>
          <w:rFonts w:ascii="Times New Roman" w:hAnsi="Times New Roman"/>
          <w:sz w:val="24"/>
        </w:rPr>
        <w:t>(xv) </w:t>
      </w:r>
      <w:r>
        <w:rPr>
          <w:rFonts w:ascii="Times New Roman" w:hAnsi="Times New Roman"/>
          <w:sz w:val="24"/>
          <w:u w:val="single"/>
        </w:rPr>
        <w:t>Beneficial Ownership Certifications</w:t>
      </w:r>
      <w:r>
        <w:rPr>
          <w:rFonts w:ascii="Times New Roman" w:hAnsi="Times New Roman"/>
          <w:sz w:val="24"/>
        </w:rPr>
        <w:t xml:space="preserve">. As of the date so delivered, to the best knowledge of the Borrower, the information included in the Beneficial Ownership Certification, if any, provided by the Borrower to any Lender in connection with this Agreement is true and correct in all respects. </w:t>
      </w:r>
    </w:p>
    <w:p>
      <w:pPr>
        <w:pStyle w:val="TextBody"/>
        <w:bidi w:val="0"/>
        <w:spacing w:before="240" w:after="0"/>
        <w:jc w:val="both"/>
        <w:rPr>
          <w:rFonts w:ascii="Times New Roman" w:hAnsi="Times New Roman"/>
          <w:sz w:val="24"/>
        </w:rPr>
      </w:pPr>
      <w:r>
        <w:rPr>
          <w:rFonts w:ascii="Times New Roman" w:hAnsi="Times New Roman"/>
          <w:sz w:val="24"/>
        </w:rPr>
        <w:t>Section 4.2 </w:t>
      </w:r>
      <w:r>
        <w:rPr>
          <w:rFonts w:ascii="Times New Roman" w:hAnsi="Times New Roman"/>
          <w:sz w:val="24"/>
          <w:u w:val="single"/>
        </w:rPr>
        <w:t>Survival of Representations and Warranties, Etc</w:t>
      </w:r>
      <w:r>
        <w:rPr>
          <w:rFonts w:ascii="Times New Roman" w:hAnsi="Times New Roman"/>
          <w:sz w:val="24"/>
        </w:rPr>
        <w:t xml:space="preserve">. All representations and warranties made under this Agreement and any other Loan Document (other than those set forth in Section 4.1(f)(ii) hereof and Section 4.1(i) hereof) shall be deemed to be made, and shall be true and correct in all material respects, except for those representations and warranties that are qualified by materiality or Materially Adverse Effect, which shall be true and correct, at and as of the Effective Date and on the date the making of each Advance or the issuance of a Letter of Credit, except to the extent stated to have been made as of the Effective Date. All representations and warranties made under this Agreement and the other Loan Documents shall survive, and not be waived by, the execution hereof by the Lenders and the Administrative Agent, any investigation or inquiry by any Lender or the Administrative Agent, or the making of any Advance under this Agreement. </w:t>
      </w:r>
    </w:p>
    <w:p>
      <w:pPr>
        <w:pStyle w:val="TextBody"/>
        <w:bidi w:val="0"/>
        <w:spacing w:before="240" w:after="0"/>
        <w:jc w:val="center"/>
        <w:rPr>
          <w:rFonts w:ascii="Times New Roman" w:hAnsi="Times New Roman"/>
          <w:sz w:val="24"/>
        </w:rPr>
      </w:pPr>
      <w:r>
        <w:rPr>
          <w:rFonts w:ascii="Times New Roman" w:hAnsi="Times New Roman"/>
          <w:sz w:val="24"/>
        </w:rPr>
        <w:t xml:space="preserve">ARTICLE 5 - GENERAL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or the Lenders have an obligation to fund Advances hereunder or any Issuing Bank has an obligation to issue Letters of Credit hereunder (in each case, whether or not the conditions to borrowing or issuing a Letter of Credit, as applicable, have been or can be fulfilled): </w:t>
      </w:r>
    </w:p>
    <w:p>
      <w:pPr>
        <w:pStyle w:val="TextBody"/>
        <w:bidi w:val="0"/>
        <w:spacing w:before="240" w:after="0"/>
        <w:jc w:val="both"/>
        <w:rPr>
          <w:rFonts w:ascii="Times New Roman" w:hAnsi="Times New Roman"/>
          <w:sz w:val="24"/>
        </w:rPr>
      </w:pPr>
      <w:r>
        <w:rPr>
          <w:rFonts w:ascii="Times New Roman" w:hAnsi="Times New Roman"/>
          <w:sz w:val="24"/>
        </w:rPr>
        <w:t>Section 5.1 </w:t>
      </w:r>
      <w:r>
        <w:rPr>
          <w:rFonts w:ascii="Times New Roman" w:hAnsi="Times New Roman"/>
          <w:sz w:val="24"/>
          <w:u w:val="single"/>
        </w:rPr>
        <w:t>Preservation of Existence and Similar Matters</w:t>
      </w:r>
      <w:r>
        <w:rPr>
          <w:rFonts w:ascii="Times New Roman" w:hAnsi="Times New Roman"/>
          <w:sz w:val="24"/>
        </w:rPr>
        <w:t xml:space="preserve">. Except as permitted under </w:t>
      </w:r>
      <w:r>
        <w:rPr>
          <w:rFonts w:ascii="Times New Roman" w:hAnsi="Times New Roman"/>
          <w:sz w:val="24"/>
          <w:u w:val="single"/>
        </w:rPr>
        <w:t>Section 7.3</w:t>
      </w:r>
      <w:r>
        <w:rPr>
          <w:rFonts w:ascii="Times New Roman" w:hAnsi="Times New Roman"/>
          <w:sz w:val="24"/>
        </w:rPr>
        <w:t xml:space="preserve"> hereof or to the extent required for the Company or any of its Subsidiaries to maintain its status as a REIT, the Company will, and will cause each of its Subsidiaries to, preserve and maintain its existence, and its material rights, franchises, licenses and privileges in the jurisdiction of its incorporation or formation, including, without limitation, the Licenses and all other Necessary Authorizations, except where the failure to do so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5.2 </w:t>
      </w:r>
      <w:r>
        <w:rPr>
          <w:rFonts w:ascii="Times New Roman" w:hAnsi="Times New Roman"/>
          <w:sz w:val="24"/>
          <w:u w:val="single"/>
        </w:rPr>
        <w:t>Compliance with Applicable Law</w:t>
      </w:r>
      <w:r>
        <w:rPr>
          <w:rFonts w:ascii="Times New Roman" w:hAnsi="Times New Roman"/>
          <w:sz w:val="24"/>
        </w:rPr>
        <w:t xml:space="preserve">. The Company will, and will cause each of its Subsidiaries to comply in all respects with the requirements of all Applicable Law, except when the failure to comply therewith would not reasonably be expected to have a Materially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5.3 </w:t>
      </w:r>
      <w:r>
        <w:rPr>
          <w:rFonts w:ascii="Times New Roman" w:hAnsi="Times New Roman"/>
          <w:sz w:val="24"/>
          <w:u w:val="single"/>
        </w:rPr>
        <w:t>Maintenance of Properties</w:t>
      </w:r>
      <w:r>
        <w:rPr>
          <w:rFonts w:ascii="Times New Roman" w:hAnsi="Times New Roman"/>
          <w:sz w:val="24"/>
        </w:rPr>
        <w:t xml:space="preserve">. The Company will, and will cause each of its Subsidiaries to, maintain or cause to be maintained in the ordinary course of business in good repair, working order and condition (reasonable wear and tear excepted) all properties then used or useful in their respective businesses (whether owned or held under lease) that, individually or in the aggregate, are material to the conduct of the business of the Company and its Subsidiaries on a consolidated basis, except where the failure to maintain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5.4 </w:t>
      </w:r>
      <w:r>
        <w:rPr>
          <w:rFonts w:ascii="Times New Roman" w:hAnsi="Times New Roman"/>
          <w:sz w:val="24"/>
          <w:u w:val="single"/>
        </w:rPr>
        <w:t>Accounting Methods and Financial Records</w:t>
      </w:r>
      <w:r>
        <w:rPr>
          <w:rFonts w:ascii="Times New Roman" w:hAnsi="Times New Roman"/>
          <w:sz w:val="24"/>
        </w:rPr>
        <w:t xml:space="preserve">. The Company will, and will cause each of its Subsidiaries on a consolidated and consolidating basis to, maintain a system of accounting established and administered in accordance with generally accepted accounting principles, keep adequate records and books of account in which complete entries will be made in accordance with generally accepted accounting principles and reflecting all transactions required to be reflected by generally accepted accounting principles, and keep accurate and complete records of their respective properties and assets. </w:t>
      </w:r>
    </w:p>
    <w:p>
      <w:pPr>
        <w:pStyle w:val="TextBody"/>
        <w:bidi w:val="0"/>
        <w:spacing w:before="240" w:after="0"/>
        <w:jc w:val="both"/>
        <w:rPr>
          <w:rFonts w:ascii="Times New Roman" w:hAnsi="Times New Roman"/>
          <w:sz w:val="24"/>
        </w:rPr>
      </w:pPr>
      <w:r>
        <w:rPr>
          <w:rFonts w:ascii="Times New Roman" w:hAnsi="Times New Roman"/>
          <w:sz w:val="24"/>
        </w:rPr>
        <w:t>Section 5.5 </w:t>
      </w:r>
      <w:r>
        <w:rPr>
          <w:rFonts w:ascii="Times New Roman" w:hAnsi="Times New Roman"/>
          <w:sz w:val="24"/>
          <w:u w:val="single"/>
        </w:rPr>
        <w:t>Insurance</w:t>
      </w:r>
      <w:r>
        <w:rPr>
          <w:rFonts w:ascii="Times New Roman" w:hAnsi="Times New Roman"/>
          <w:sz w:val="24"/>
        </w:rPr>
        <w:t xml:space="preserve">. The Company will, and will cause each Material Subsidiary to, maintain insurance (including self-insurance) with respect to its properties and business that are material to the conduct of the business of the Company and its Subsidiaries on a consolidated basis from responsible companies in such amounts and against such risks as are customary for companies engaged in the same or similar business, with all premiums thereon to be paid by the Company and the Material Subsidiaries. </w:t>
      </w:r>
    </w:p>
    <w:p>
      <w:pPr>
        <w:pStyle w:val="TextBody"/>
        <w:bidi w:val="0"/>
        <w:spacing w:before="240" w:after="0"/>
        <w:jc w:val="both"/>
        <w:rPr>
          <w:rFonts w:ascii="Times New Roman" w:hAnsi="Times New Roman"/>
          <w:sz w:val="24"/>
        </w:rPr>
      </w:pPr>
      <w:r>
        <w:rPr>
          <w:rFonts w:ascii="Times New Roman" w:hAnsi="Times New Roman"/>
          <w:sz w:val="24"/>
        </w:rPr>
        <w:t>Section 5.6 </w:t>
      </w:r>
      <w:r>
        <w:rPr>
          <w:rFonts w:ascii="Times New Roman" w:hAnsi="Times New Roman"/>
          <w:sz w:val="24"/>
          <w:u w:val="single"/>
        </w:rPr>
        <w:t>Payment of Taxes and Claims</w:t>
      </w:r>
      <w:r>
        <w:rPr>
          <w:rFonts w:ascii="Times New Roman" w:hAnsi="Times New Roman"/>
          <w:sz w:val="24"/>
        </w:rPr>
        <w:t xml:space="preserve">. The Company will, and will cause each of its Subsidiaries to, pay and discharge all Federal income, other material Federal and material state and other material taxes required to be paid by them or imposed upon them or their income or profits or upon any properties belonging to them, prior to the date on which penalties attach thereto, which, if unpaid, might become a Lien or charge upon any of their properties (other than Liens permitted pursuant to </w:t>
      </w:r>
      <w:r>
        <w:rPr>
          <w:rFonts w:ascii="Times New Roman" w:hAnsi="Times New Roman"/>
          <w:sz w:val="24"/>
          <w:u w:val="single"/>
        </w:rPr>
        <w:t>Section 7.2</w:t>
      </w:r>
      <w:r>
        <w:rPr>
          <w:rFonts w:ascii="Times New Roman" w:hAnsi="Times New Roman"/>
          <w:sz w:val="24"/>
        </w:rPr>
        <w:t xml:space="preserve">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such tax, assessment, charge, levy or claim need be paid which is being diligently contested in good faith by appropriate proceedings and for which adequate reserves in accordance with GAAP shall have been set aside on the appropriate books or where the failure to pay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5.7 </w:t>
      </w:r>
      <w:r>
        <w:rPr>
          <w:rFonts w:ascii="Times New Roman" w:hAnsi="Times New Roman"/>
          <w:sz w:val="24"/>
          <w:u w:val="single"/>
        </w:rPr>
        <w:t>Visits and Inspections</w:t>
      </w:r>
      <w:r>
        <w:rPr>
          <w:rFonts w:ascii="Times New Roman" w:hAnsi="Times New Roman"/>
          <w:sz w:val="24"/>
        </w:rPr>
        <w:t xml:space="preserve">. The Company will, and will cause each Material Subsidiary to, permit representatives of the Administrative Agent and any of the Lenders, upon reasonable notice, to (a) visit and inspect the properties of the Company or any Material Subsidiary during business hours, (b) inspect and make extracts from and copies of their respective books and records, and (c) discuss with their respective principal officers and accountants (with representatives of the Company participating in such discussions with their accountants) their respective businesses, assets, liabilities, financial positions, results of operations and business prospects, all at such reasonable times and as often as reasonably requested. </w:t>
      </w:r>
    </w:p>
    <w:p>
      <w:pPr>
        <w:pStyle w:val="TextBody"/>
        <w:bidi w:val="0"/>
        <w:spacing w:before="240" w:after="0"/>
        <w:jc w:val="both"/>
        <w:rPr>
          <w:rFonts w:ascii="Times New Roman" w:hAnsi="Times New Roman"/>
          <w:sz w:val="24"/>
        </w:rPr>
      </w:pPr>
      <w:r>
        <w:rPr>
          <w:rFonts w:ascii="Times New Roman" w:hAnsi="Times New Roman"/>
          <w:sz w:val="24"/>
        </w:rPr>
        <w:t>Section 5.8 </w:t>
      </w:r>
      <w:r>
        <w:rPr>
          <w:rFonts w:ascii="Times New Roman" w:hAnsi="Times New Roman"/>
          <w:sz w:val="24"/>
          <w:u w:val="single"/>
        </w:rPr>
        <w:t>Use of Proceeds</w:t>
      </w:r>
      <w:r>
        <w:rPr>
          <w:rFonts w:ascii="Times New Roman" w:hAnsi="Times New Roman"/>
          <w:sz w:val="24"/>
        </w:rPr>
        <w:t xml:space="preserve">. The Borrower will use the aggregate proceeds of all Advances made on or after the Effective Date for working capital needs, to finance acquisitions and other general corporate purposes of the Borrower and its Subsidiaries (including, without limitation, to purchase issued and outstanding Ownership Interests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5.9 </w:t>
      </w:r>
      <w:r>
        <w:rPr>
          <w:rFonts w:ascii="Times New Roman" w:hAnsi="Times New Roman"/>
          <w:sz w:val="24"/>
          <w:u w:val="single"/>
        </w:rPr>
        <w:t>Maintenance of REIT Status</w:t>
      </w:r>
      <w:r>
        <w:rPr>
          <w:rFonts w:ascii="Times New Roman" w:hAnsi="Times New Roman"/>
          <w:sz w:val="24"/>
        </w:rPr>
        <w:t xml:space="preserve">. The Company will, at all times, conduct its affairs in a manner so as to continue to qualify as a REIT and elect to be treated as a REIT under all Applicable Laws, rules and regulations until such time as the board of directors of the Company deems it in the best interests of the Company and its stockholders not to remain qualified as a REIT. </w:t>
      </w:r>
    </w:p>
    <w:p>
      <w:pPr>
        <w:pStyle w:val="TextBody"/>
        <w:bidi w:val="0"/>
        <w:spacing w:before="240" w:after="0"/>
        <w:jc w:val="both"/>
        <w:rPr>
          <w:rFonts w:ascii="Times New Roman" w:hAnsi="Times New Roman"/>
          <w:sz w:val="24"/>
        </w:rPr>
      </w:pPr>
      <w:r>
        <w:rPr>
          <w:rFonts w:ascii="Times New Roman" w:hAnsi="Times New Roman"/>
          <w:sz w:val="24"/>
        </w:rPr>
        <w:t>Section 5.10 </w:t>
      </w:r>
      <w:r>
        <w:rPr>
          <w:rFonts w:ascii="Times New Roman" w:hAnsi="Times New Roman"/>
          <w:sz w:val="24"/>
          <w:u w:val="single"/>
        </w:rPr>
        <w:t>Senior Credit Facility</w:t>
      </w:r>
      <w:r>
        <w:rPr>
          <w:rFonts w:ascii="Times New Roman" w:hAnsi="Times New Roman"/>
          <w:sz w:val="24"/>
        </w:rPr>
        <w:t>. If the provisions of Articles 7 (Negative Covenants) and/or 8 (Default) (and the definitions of defined terms used therein) of any of the Existing Credit Agreements are proposed to be amended or otherwise modified in a manner that is more restrictive from the Company’s perspective (a “</w:t>
      </w:r>
      <w:r>
        <w:rPr>
          <w:rFonts w:ascii="Times New Roman" w:hAnsi="Times New Roman"/>
          <w:sz w:val="24"/>
          <w:u w:val="single"/>
        </w:rPr>
        <w:t>Restrictive Change</w:t>
      </w:r>
      <w:r>
        <w:rPr>
          <w:rFonts w:ascii="Times New Roman" w:hAnsi="Times New Roman"/>
          <w:sz w:val="24"/>
        </w:rPr>
        <w:t xml:space="preserve">”), the Company covenants and agrees that it shall (a) provide the Lenders with written notice describing such proposed Restrictive Change promptly and in any event prior to the effectiveness of such Restrictive Change, and (b) upon fifteen (15) Business Days prior written notice from the Majority Lenders requesting that such Restrictive Change be effected with respect to this Agreement, take such steps as are necessary to effect a Restrictive Change with respect to this Agreement that is acceptable to the Majority Lenders and the Company; </w:t>
      </w:r>
      <w:r>
        <w:rPr>
          <w:rFonts w:ascii="Times New Roman" w:hAnsi="Times New Roman"/>
          <w:sz w:val="24"/>
          <w:u w:val="single"/>
        </w:rPr>
        <w:t>provided</w:t>
      </w:r>
      <w:r>
        <w:rPr>
          <w:rFonts w:ascii="Times New Roman" w:hAnsi="Times New Roman"/>
          <w:sz w:val="24"/>
        </w:rPr>
        <w:t xml:space="preserve">, that, in the event the Company fails to effect such equivalent Restrictive Change within such fifteen (15) Business Day period, then, such Restrictive Change to such Existing Credit Agreement shall automatically be applied to this Agreement;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 no default or event of default would occur solely by reason of such amendment to this Agreement or any other debt agreement of the Company, and (ii) such Restrictive Change shall not be made if doing so would cause the Company to fail to maintain, or prevent it from being able to elect, REIT status. Notwithstanding the foregoing, any such Restrictive Change made to this Agreement hereunder shall remain in effect until such time as such Existing Credit Agreement has matured or otherwise been terminated, at which point, unless the Company’s Debt Ratings (or their related outlooks) have declined since the date this Agreement was executed, the Administrative Agent, Lenders and the Company will take such steps as are necessary to amend this Agreement to remove entirely any such amendments made under this Section 5.10 to this Agreement; provided, however, that in the event that (A) the applicable Existing Credit Agreement has matured or otherwise been terminated, and (B) the Company’s Debt Ratings (or their related outlooks) have declined since the date this Agreement was executed, the Administrative Agent, the Lenders and the Company shall negotiate in good faith to modify such Restrictive Change with respect to its application for the remainder of this Agreement. </w:t>
      </w:r>
    </w:p>
    <w:p>
      <w:pPr>
        <w:pStyle w:val="TextBody"/>
        <w:bidi w:val="0"/>
        <w:spacing w:before="240" w:after="0"/>
        <w:jc w:val="center"/>
        <w:rPr>
          <w:rFonts w:ascii="Times New Roman" w:hAnsi="Times New Roman"/>
          <w:sz w:val="24"/>
        </w:rPr>
      </w:pPr>
      <w:r>
        <w:rPr>
          <w:rFonts w:ascii="Times New Roman" w:hAnsi="Times New Roman"/>
          <w:sz w:val="24"/>
        </w:rPr>
        <w:t xml:space="preserve">ARTICLE 6 - INFORMATION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or the Lenders have an obligation to fund Advances hereunder or any Issuing Bank has an obligation to issue Letters of Credit hereunder (in each case, whether or not the conditions to borrowing or to issuing a Letter of Credit, as applicable, have been or can be fulfilled), the Company will furnish or cause to be furnished to the Administrative Agent (with the Administrative Agent to make the same available to the Lenders) at its office: </w:t>
      </w:r>
    </w:p>
    <w:p>
      <w:pPr>
        <w:pStyle w:val="TextBody"/>
        <w:bidi w:val="0"/>
        <w:spacing w:before="240" w:after="0"/>
        <w:jc w:val="both"/>
        <w:rPr>
          <w:rFonts w:ascii="Times New Roman" w:hAnsi="Times New Roman"/>
          <w:sz w:val="24"/>
        </w:rPr>
      </w:pPr>
      <w:r>
        <w:rPr>
          <w:rFonts w:ascii="Times New Roman" w:hAnsi="Times New Roman"/>
          <w:sz w:val="24"/>
        </w:rPr>
        <w:t>Section 6.1 </w:t>
      </w:r>
      <w:r>
        <w:rPr>
          <w:rFonts w:ascii="Times New Roman" w:hAnsi="Times New Roman"/>
          <w:sz w:val="24"/>
          <w:u w:val="single"/>
        </w:rPr>
        <w:t>Quarterly Financial Statements and Information</w:t>
      </w:r>
      <w:r>
        <w:rPr>
          <w:rFonts w:ascii="Times New Roman" w:hAnsi="Times New Roman"/>
          <w:sz w:val="24"/>
        </w:rPr>
        <w:t xml:space="preserve">. Within forty-five (45) days after the last day of each of the first three (3) quarters of each fiscal year of the Company, the consolidated balance sheet of the Company and its Subsidiaries at the end of such quarter and as of the end of the preceding fiscal year, and the related consolidated statement of operations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related consolidated statement of cash flows of the Company and its Subsidiaries for such quarter and for the elapsed portion of the year ended with the last day of such quarter, which shall set forth in comparative form such figures as at the end of and for such quarter and appropriate prior period and shall be certified by the chief financial officer of the Company to have been prepared in accordance with generally accepted accounting principles and to present fairly in all material respects the consolidated financial position of the Company and its Subsidiaries as at the end of such period and the results of operations for such period, and for the elapsed portion of the year ended with the last day of such period, subject only to normal year-end and audit adjustments; </w:t>
      </w:r>
      <w:r>
        <w:rPr>
          <w:rFonts w:ascii="Times New Roman" w:hAnsi="Times New Roman"/>
          <w:sz w:val="24"/>
          <w:u w:val="single"/>
        </w:rPr>
        <w:t>provided</w:t>
      </w:r>
      <w:r>
        <w:rPr>
          <w:rFonts w:ascii="Times New Roman" w:hAnsi="Times New Roman"/>
          <w:sz w:val="24"/>
        </w:rPr>
        <w:t xml:space="preserve"> that in the event of any change in generally accepted accounting principles used in the preparation of such financial statements, the Company shall also provide, if necessary for the determination of compliance with </w:t>
      </w:r>
      <w:r>
        <w:rPr>
          <w:rFonts w:ascii="Times New Roman" w:hAnsi="Times New Roman"/>
          <w:sz w:val="24"/>
          <w:u w:val="single"/>
        </w:rPr>
        <w:t>Section</w:t>
      </w:r>
      <w:r>
        <w:rPr>
          <w:rFonts w:ascii="Times New Roman" w:hAnsi="Times New Roman"/>
          <w:sz w:val="24"/>
        </w:rPr>
        <w:t xml:space="preserve"> </w:t>
      </w:r>
      <w:r>
        <w:rPr>
          <w:rFonts w:ascii="Times New Roman" w:hAnsi="Times New Roman"/>
          <w:strike/>
          <w:color w:val="FF0000"/>
          <w:sz w:val="24"/>
          <w:u w:val="single"/>
        </w:rPr>
        <w:t>7.5</w:t>
      </w:r>
      <w:r>
        <w:rPr>
          <w:rFonts w:ascii="Times New Roman" w:hAnsi="Times New Roman"/>
          <w:strike/>
          <w:color w:val="FF0000"/>
          <w:sz w:val="24"/>
        </w:rPr>
        <w:t xml:space="preserve"> and</w:t>
      </w:r>
      <w:r>
        <w:rPr>
          <w:rFonts w:ascii="Times New Roman" w:hAnsi="Times New Roman"/>
          <w:sz w:val="24"/>
          <w:u w:val="single"/>
        </w:rPr>
        <w:t>7.6</w:t>
      </w:r>
      <w:r>
        <w:rPr>
          <w:rFonts w:ascii="Times New Roman" w:hAnsi="Times New Roman"/>
          <w:sz w:val="24"/>
        </w:rPr>
        <w:t xml:space="preserve">, a statement of reconciliation conforming such financial statements to GAAP; </w:t>
      </w:r>
      <w:r>
        <w:rPr>
          <w:rFonts w:ascii="Times New Roman" w:hAnsi="Times New Roman"/>
          <w:sz w:val="24"/>
          <w:u w:val="single"/>
        </w:rPr>
        <w:t>provided</w:t>
      </w:r>
      <w:r>
        <w:rPr>
          <w:rFonts w:ascii="Times New Roman" w:hAnsi="Times New Roman"/>
          <w:sz w:val="24"/>
        </w:rPr>
        <w:t xml:space="preserve">, further, that notwithstanding anything to the contrary in this Section 6.1, no financial statements delivered pursuant to this Section 6.1 shall be required to include footnotes. </w:t>
      </w:r>
    </w:p>
    <w:p>
      <w:pPr>
        <w:pStyle w:val="TextBody"/>
        <w:bidi w:val="0"/>
        <w:spacing w:before="240" w:after="0"/>
        <w:jc w:val="both"/>
        <w:rPr>
          <w:rFonts w:ascii="Times New Roman" w:hAnsi="Times New Roman"/>
          <w:sz w:val="24"/>
        </w:rPr>
      </w:pPr>
      <w:r>
        <w:rPr>
          <w:rFonts w:ascii="Times New Roman" w:hAnsi="Times New Roman"/>
          <w:sz w:val="24"/>
        </w:rPr>
        <w:t>Section 6.2 </w:t>
      </w:r>
      <w:r>
        <w:rPr>
          <w:rFonts w:ascii="Times New Roman" w:hAnsi="Times New Roman"/>
          <w:sz w:val="24"/>
          <w:u w:val="single"/>
        </w:rPr>
        <w:t>Annual Financial Statements and Information</w:t>
      </w:r>
      <w:r>
        <w:rPr>
          <w:rFonts w:ascii="Times New Roman" w:hAnsi="Times New Roman"/>
          <w:sz w:val="24"/>
        </w:rPr>
        <w:t xml:space="preserve">. As soon as available, but in any event not later than the earlier of (a) the date such deliverables are required (if at all) by the Securities and Exchange Commission and (b) one hundred twenty (120) days after the end of each fiscal year of the Company, the audited consolidated balance sheet of the Company and its Subsidiaries as of the end of such fiscal year and the related audited consolidated statement of operations for such fiscal year and for the previous fiscal year, the related audited consolidated statements of cash flow and stockholders’ equity for such fiscal year and for the previous fiscal year, which shall be accompanied by an opinion of Deloitte &amp; Touche, LLP, or other independent certified public accountants of recognized national standing reasonably acceptable to the Administrative Agent, together with a statement of such accountants (unless the giving of such statement is contrary to accounting practice for the continuing independence of such accountant) that in connection with their audit, nothing came to their attention that caused them to believe that the Company was not in compliance with Sections </w:t>
      </w:r>
      <w:r>
        <w:rPr>
          <w:rFonts w:ascii="Times New Roman" w:hAnsi="Times New Roman"/>
          <w:strike/>
          <w:color w:val="FF0000"/>
          <w:sz w:val="24"/>
        </w:rPr>
        <w:t>7.5 and</w:t>
      </w:r>
      <w:r>
        <w:rPr>
          <w:rFonts w:ascii="Times New Roman" w:hAnsi="Times New Roman"/>
          <w:sz w:val="24"/>
        </w:rPr>
        <w:t xml:space="preserve">7.6 hereof insofar as they relate to accounting matters; provided that in the event of any change in generally accepted accounting principles used in the preparation of such financial statements, the Company shall also provide, if necessary for the determination of compliance with </w:t>
      </w:r>
      <w:r>
        <w:rPr>
          <w:rFonts w:ascii="Times New Roman" w:hAnsi="Times New Roman"/>
          <w:sz w:val="24"/>
          <w:u w:val="single"/>
        </w:rPr>
        <w:t>Section</w:t>
      </w:r>
      <w:r>
        <w:rPr>
          <w:rFonts w:ascii="Times New Roman" w:hAnsi="Times New Roman"/>
          <w:sz w:val="24"/>
        </w:rPr>
        <w:t xml:space="preserve"> </w:t>
      </w:r>
      <w:r>
        <w:rPr>
          <w:rFonts w:ascii="Times New Roman" w:hAnsi="Times New Roman"/>
          <w:strike/>
          <w:color w:val="FF0000"/>
          <w:sz w:val="24"/>
          <w:u w:val="single"/>
        </w:rPr>
        <w:t>7.5</w:t>
      </w:r>
      <w:r>
        <w:rPr>
          <w:rFonts w:ascii="Times New Roman" w:hAnsi="Times New Roman"/>
          <w:strike/>
          <w:color w:val="FF0000"/>
          <w:sz w:val="24"/>
        </w:rPr>
        <w:t xml:space="preserve"> and</w:t>
      </w:r>
      <w:r>
        <w:rPr>
          <w:rFonts w:ascii="Times New Roman" w:hAnsi="Times New Roman"/>
          <w:sz w:val="24"/>
          <w:u w:val="single"/>
        </w:rPr>
        <w:t>7.6</w:t>
      </w:r>
      <w:r>
        <w:rPr>
          <w:rFonts w:ascii="Times New Roman" w:hAnsi="Times New Roman"/>
          <w:sz w:val="24"/>
        </w:rPr>
        <w:t xml:space="preserve"> a statement of reconciliation conforming such financial statements to GAAP. </w:t>
      </w:r>
    </w:p>
    <w:p>
      <w:pPr>
        <w:pStyle w:val="TextBody"/>
        <w:bidi w:val="0"/>
        <w:spacing w:before="240" w:after="0"/>
        <w:jc w:val="both"/>
        <w:rPr>
          <w:rFonts w:ascii="Times New Roman" w:hAnsi="Times New Roman"/>
          <w:sz w:val="24"/>
        </w:rPr>
      </w:pPr>
      <w:r>
        <w:rPr>
          <w:rFonts w:ascii="Times New Roman" w:hAnsi="Times New Roman"/>
          <w:sz w:val="24"/>
        </w:rPr>
        <w:t>Section 6.3 </w:t>
      </w:r>
      <w:r>
        <w:rPr>
          <w:rFonts w:ascii="Times New Roman" w:hAnsi="Times New Roman"/>
          <w:sz w:val="24"/>
          <w:u w:val="single"/>
        </w:rPr>
        <w:t>Performance Certificates</w:t>
      </w:r>
      <w:r>
        <w:rPr>
          <w:rFonts w:ascii="Times New Roman" w:hAnsi="Times New Roman"/>
          <w:sz w:val="24"/>
        </w:rPr>
        <w:t xml:space="preserve">. At the time the financial statements are furnished pursuant to Sections 6.1 and 6.2 hereof, a certificate of the president, chief financial officer or treasurer of the Company as to the financial performance of the Company and its Subsidiaries on a consolidated basis, in substantially the form attached hereto as </w:t>
      </w:r>
      <w:r>
        <w:rPr>
          <w:rFonts w:ascii="Times New Roman" w:hAnsi="Times New Roman"/>
          <w:sz w:val="24"/>
          <w:u w:val="single"/>
        </w:rPr>
        <w:t>Exhibit 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(i) setting forth as and at the end of such quarterly period or fiscal year, as the case may be, the arithmetical calculations required to establish whether or not the Company was in compliance with </w:t>
      </w:r>
      <w:r>
        <w:rPr>
          <w:rFonts w:ascii="Times New Roman" w:hAnsi="Times New Roman"/>
          <w:sz w:val="24"/>
          <w:u w:val="single"/>
        </w:rPr>
        <w:t>Sections</w:t>
      </w:r>
      <w:r>
        <w:rPr>
          <w:rFonts w:ascii="Times New Roman" w:hAnsi="Times New Roman"/>
          <w:sz w:val="24"/>
        </w:rPr>
        <w:t xml:space="preserve"> </w:t>
      </w:r>
      <w:r>
        <w:rPr>
          <w:rFonts w:ascii="Times New Roman" w:hAnsi="Times New Roman"/>
          <w:strike/>
          <w:color w:val="FF0000"/>
          <w:sz w:val="24"/>
          <w:u w:val="single"/>
        </w:rPr>
        <w:t>7.5</w:t>
      </w:r>
      <w:r>
        <w:rPr>
          <w:rFonts w:ascii="Times New Roman" w:hAnsi="Times New Roman"/>
          <w:strike/>
          <w:color w:val="FF0000"/>
          <w:sz w:val="24"/>
        </w:rPr>
        <w:t xml:space="preserve"> and</w:t>
      </w:r>
      <w:r>
        <w:rPr>
          <w:rFonts w:ascii="Times New Roman" w:hAnsi="Times New Roman"/>
          <w:sz w:val="24"/>
          <w:u w:val="single"/>
        </w:rPr>
        <w:t>7.6</w:t>
      </w:r>
      <w:r>
        <w:rPr>
          <w:rFonts w:ascii="Times New Roman" w:hAnsi="Times New Roman"/>
          <w:sz w:val="24"/>
        </w:rPr>
        <w:t xml:space="preserve"> hereof; and </w:t>
      </w:r>
    </w:p>
    <w:p>
      <w:pPr>
        <w:pStyle w:val="TextBody"/>
        <w:bidi w:val="0"/>
        <w:spacing w:before="240" w:after="0"/>
        <w:jc w:val="both"/>
        <w:rPr>
          <w:rFonts w:ascii="Times New Roman" w:hAnsi="Times New Roman"/>
          <w:sz w:val="24"/>
        </w:rPr>
      </w:pPr>
      <w:r>
        <w:rPr>
          <w:rFonts w:ascii="Times New Roman" w:hAnsi="Times New Roman"/>
          <w:sz w:val="24"/>
        </w:rPr>
        <w:t xml:space="preserve">(ii) stating that, to the best of his or her knowledge, no Default has occurred and is continuing as at the end of such quarterly period or year, as the case may be, or, if a Default has occurred, disclosing each such Default and its nature, when it occurred, whether it is continuing and the steps being taken by the Company with respect to such Default.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6.4 </w:t>
      </w:r>
      <w:r>
        <w:rPr>
          <w:rFonts w:ascii="Times New Roman" w:hAnsi="Times New Roman"/>
          <w:sz w:val="24"/>
          <w:u w:val="single"/>
        </w:rPr>
        <w:t>Copies of Other Reports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(i) Promptly upon receipt thereof, copies of the management letter prepared in connection with the annual audit referred to in </w:t>
      </w:r>
      <w:r>
        <w:rPr>
          <w:rFonts w:ascii="Times New Roman" w:hAnsi="Times New Roman"/>
          <w:sz w:val="24"/>
          <w:u w:val="single"/>
        </w:rPr>
        <w:t>Section 6.2</w:t>
      </w:r>
      <w:r>
        <w:rPr>
          <w:rFonts w:ascii="Times New Roman" w:hAnsi="Times New Roman"/>
          <w:sz w:val="24"/>
        </w:rPr>
        <w:t xml:space="preserve"> hereof. </w:t>
      </w:r>
    </w:p>
    <w:p>
      <w:pPr>
        <w:pStyle w:val="TextBody"/>
        <w:bidi w:val="0"/>
        <w:spacing w:before="240" w:after="0"/>
        <w:jc w:val="both"/>
        <w:rPr>
          <w:rFonts w:ascii="Times New Roman" w:hAnsi="Times New Roman"/>
          <w:sz w:val="24"/>
        </w:rPr>
      </w:pPr>
      <w:r>
        <w:rPr>
          <w:rFonts w:ascii="Times New Roman" w:hAnsi="Times New Roman"/>
          <w:sz w:val="24"/>
        </w:rPr>
        <w:t xml:space="preserve">(ii) Promptly upon receipt thereof, copies of any adverse notice or report regarding any License that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(iii) From time to time and promptly upon each request, such data, certificates, reports, statements, documents or further information regarding the business, assets, liabilities, financial position, projections, results of operations or business prospects of the Company and its Subsidiaries, as the Administrative Agent or any Lender may reasonably request. </w:t>
      </w:r>
    </w:p>
    <w:p>
      <w:pPr>
        <w:pStyle w:val="TextBody"/>
        <w:bidi w:val="0"/>
        <w:spacing w:before="240" w:after="0"/>
        <w:jc w:val="both"/>
        <w:rPr>
          <w:rFonts w:ascii="Times New Roman" w:hAnsi="Times New Roman"/>
          <w:sz w:val="24"/>
        </w:rPr>
      </w:pPr>
      <w:r>
        <w:rPr>
          <w:rFonts w:ascii="Times New Roman" w:hAnsi="Times New Roman"/>
          <w:sz w:val="24"/>
        </w:rPr>
        <w:t xml:space="preserve">(iv) Promptly after the sending thereof, copies of all statements, reports and other information which the Company sends to public security holders of the Company generally or publicly files with the Securities and Exchange Commission, but solely in the event that any such statement, report or information has not been made publicly available by the Securities and Exchange Commission on the EDGAR or similar system or by the Company on its internet website. </w:t>
      </w:r>
    </w:p>
    <w:p>
      <w:pPr>
        <w:pStyle w:val="TextBody"/>
        <w:bidi w:val="0"/>
        <w:spacing w:before="240" w:after="0"/>
        <w:jc w:val="both"/>
        <w:rPr>
          <w:rFonts w:ascii="Times New Roman" w:hAnsi="Times New Roman"/>
          <w:sz w:val="24"/>
        </w:rPr>
      </w:pPr>
      <w:r>
        <w:rPr>
          <w:rFonts w:ascii="Times New Roman" w:hAnsi="Times New Roman"/>
          <w:sz w:val="24"/>
        </w:rPr>
        <w:t>Section 6.5 </w:t>
      </w:r>
      <w:r>
        <w:rPr>
          <w:rFonts w:ascii="Times New Roman" w:hAnsi="Times New Roman"/>
          <w:sz w:val="24"/>
          <w:u w:val="single"/>
        </w:rPr>
        <w:t>Notice of Litigation and Other Matters</w:t>
      </w:r>
      <w:r>
        <w:rPr>
          <w:rFonts w:ascii="Times New Roman" w:hAnsi="Times New Roman"/>
          <w:sz w:val="24"/>
        </w:rPr>
        <w:t xml:space="preserve">. Unless previously disclosed in the public filings of the Company with the Securities and Exchange Commission, notice specifying the nature and status of any of the following events, promptly, but in any event not later than fifteen (15) days after the occurrence of any of the following events becomes known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(i) the commencement of all proceedings and investigations by or before any governmental body and all actions and proceedings in any court or before any arbitrator against the Company or any of its Subsidiaries or, to the extent known to the Company, threatened in writing against the Company or any of its Subsidiaries, which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(ii) any material adverse change with respect to the business, assets, liabilities, financial position, results of operations or business prospects of the Company and its Subsidiaries, taken as a whole, other than changes which have not had and would not reasonably be expected to have a Materially Adverse Effect and other than changes in the industry in which the Company or any of its Subsidiaries operates or the economy or business conditions in general; </w:t>
      </w:r>
    </w:p>
    <w:p>
      <w:pPr>
        <w:pStyle w:val="TextBody"/>
        <w:bidi w:val="0"/>
        <w:spacing w:before="240" w:after="0"/>
        <w:jc w:val="both"/>
        <w:rPr>
          <w:rFonts w:ascii="Times New Roman" w:hAnsi="Times New Roman"/>
          <w:sz w:val="24"/>
        </w:rPr>
      </w:pPr>
      <w:r>
        <w:rPr>
          <w:rFonts w:ascii="Times New Roman" w:hAnsi="Times New Roman"/>
          <w:sz w:val="24"/>
        </w:rPr>
        <w:t xml:space="preserve">(iii) any Default, giving a description thereof and specifying the action proposed to be taken with respect thereto; and </w:t>
      </w:r>
    </w:p>
    <w:p>
      <w:pPr>
        <w:pStyle w:val="TextBody"/>
        <w:bidi w:val="0"/>
        <w:spacing w:before="240" w:after="0"/>
        <w:jc w:val="both"/>
        <w:rPr>
          <w:rFonts w:ascii="Times New Roman" w:hAnsi="Times New Roman"/>
          <w:sz w:val="24"/>
        </w:rPr>
      </w:pPr>
      <w:r>
        <w:rPr>
          <w:rFonts w:ascii="Times New Roman" w:hAnsi="Times New Roman"/>
          <w:sz w:val="24"/>
        </w:rPr>
        <w:t xml:space="preserve">(iv) the commencement or threatened commencement of any litigation regarding any Plan or naming it or the trustee of any such Plan with respect to such Plan or any action taken by the Company or any of its Subsidiaries or any ERISA Affiliate of the Company to withdraw or partially withdraw from any Plan or to terminate any Plan, that in each case would reasonably be expected to have a Materially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6.6 </w:t>
      </w:r>
      <w:r>
        <w:rPr>
          <w:rFonts w:ascii="Times New Roman" w:hAnsi="Times New Roman"/>
          <w:sz w:val="24"/>
          <w:u w:val="single"/>
        </w:rPr>
        <w:t>Certain Electronic Delivery; Public Information</w:t>
      </w:r>
      <w:r>
        <w:rPr>
          <w:rFonts w:ascii="Times New Roman" w:hAnsi="Times New Roman"/>
          <w:sz w:val="24"/>
        </w:rPr>
        <w:t xml:space="preserve">. Documents required to be delivered pursuant to this Section 6 (to the extent any such documents are included in materials otherwise filed with the Securities and Exchange Commission)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hAnsi="Times New Roman"/>
          <w:sz w:val="24"/>
          <w:u w:val="single"/>
        </w:rPr>
        <w:t>Schedule 5</w:t>
      </w:r>
      <w:r>
        <w:rPr>
          <w:rFonts w:ascii="Times New Roman" w:hAnsi="Times New Roman"/>
          <w:sz w:val="24"/>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hAnsi="Times New Roman"/>
          <w:sz w:val="24"/>
          <w:u w:val="single"/>
        </w:rPr>
        <w:t>provided</w:t>
      </w:r>
      <w:r>
        <w:rPr>
          <w:rFonts w:ascii="Times New Roman" w:hAnsi="Times New Roman"/>
          <w:sz w:val="24"/>
        </w:rPr>
        <w:t xml:space="preserve"> that the Administrative Agent shall receive notice (by telecopier or electronic mail) of the posting of any such documents and shall be provided access (by electronic mail) to electronic versions (i.e., soft copies) of such documents. </w:t>
      </w:r>
    </w:p>
    <w:p>
      <w:pPr>
        <w:pStyle w:val="TextBody"/>
        <w:bidi w:val="0"/>
        <w:spacing w:before="240" w:after="0"/>
        <w:jc w:val="both"/>
        <w:rPr>
          <w:rFonts w:ascii="Times New Roman" w:hAnsi="Times New Roman"/>
          <w:sz w:val="24"/>
        </w:rPr>
      </w:pPr>
      <w:r>
        <w:rPr>
          <w:rFonts w:ascii="Times New Roman" w:hAnsi="Times New Roman"/>
          <w:sz w:val="24"/>
        </w:rPr>
        <w:t>The Company hereby acknowledges that (a) the Administrative Agent will make available to the Lenders and the Issuing Banks materials and/or information provided by or on behalf of the Company hereunder (collectively, the “</w:t>
      </w:r>
      <w:r>
        <w:rPr>
          <w:rFonts w:ascii="Times New Roman" w:hAnsi="Times New Roman"/>
          <w:sz w:val="24"/>
          <w:u w:val="single"/>
        </w:rPr>
        <w:t>Borrower Materials</w:t>
      </w:r>
      <w:r>
        <w:rPr>
          <w:rFonts w:ascii="Times New Roman" w:hAnsi="Times New Roman"/>
          <w:sz w:val="24"/>
        </w:rPr>
        <w:t>”) by posting the Borrower Materials on IntraLinks or another similar electronic system (the “</w:t>
      </w:r>
      <w:r>
        <w:rPr>
          <w:rFonts w:ascii="Times New Roman" w:hAnsi="Times New Roman"/>
          <w:sz w:val="24"/>
          <w:u w:val="single"/>
        </w:rPr>
        <w:t>Platform</w:t>
      </w:r>
      <w:r>
        <w:rPr>
          <w:rFonts w:ascii="Times New Roman" w:hAnsi="Times New Roman"/>
          <w:sz w:val="24"/>
        </w:rPr>
        <w:t>”) and (b) certain of the Lenders (each, a “</w:t>
      </w:r>
      <w:r>
        <w:rPr>
          <w:rFonts w:ascii="Times New Roman" w:hAnsi="Times New Roman"/>
          <w:sz w:val="24"/>
          <w:u w:val="single"/>
        </w:rPr>
        <w:t>Public Lender</w:t>
      </w:r>
      <w:r>
        <w:rPr>
          <w:rFonts w:ascii="Times New Roman" w:hAnsi="Times New Roman"/>
          <w:sz w:val="24"/>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Issuing Banks and the Lenders to treat such Borrower Materials as not containing any material non-public information with respect to the Company or its securities for purposes of United States federal and state securities laws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to the extent such Borrower Materials constitute confidential information, they shall be treated as set forth in </w:t>
      </w:r>
      <w:r>
        <w:rPr>
          <w:rFonts w:ascii="Times New Roman" w:hAnsi="Times New Roman"/>
          <w:sz w:val="24"/>
          <w:u w:val="single"/>
        </w:rPr>
        <w:t>Section 12.19</w:t>
      </w:r>
      <w:r>
        <w:rPr>
          <w:rFonts w:ascii="Times New Roman" w:hAnsi="Times New Roman"/>
          <w:sz w:val="24"/>
        </w:rPr>
        <w:t xml:space="preserve">);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the Company shall be under no obligation to mark any Borrower Materials “PUBLIC.” </w:t>
      </w:r>
    </w:p>
    <w:p>
      <w:pPr>
        <w:pStyle w:val="TextBody"/>
        <w:bidi w:val="0"/>
        <w:spacing w:before="240" w:after="0"/>
        <w:jc w:val="both"/>
        <w:rPr>
          <w:rFonts w:ascii="Times New Roman" w:hAnsi="Times New Roman"/>
          <w:sz w:val="24"/>
        </w:rPr>
      </w:pPr>
      <w:r>
        <w:rPr>
          <w:rFonts w:ascii="Times New Roman" w:hAnsi="Times New Roman"/>
          <w:sz w:val="24"/>
        </w:rPr>
        <w:t>Section 6.7 </w:t>
      </w:r>
      <w:r>
        <w:rPr>
          <w:rFonts w:ascii="Times New Roman" w:hAnsi="Times New Roman"/>
          <w:sz w:val="24"/>
          <w:u w:val="single"/>
        </w:rPr>
        <w:t>Know Your Customer Information</w:t>
      </w:r>
      <w:r>
        <w:rPr>
          <w:rFonts w:ascii="Times New Roman" w:hAnsi="Times New Roman"/>
          <w:sz w:val="24"/>
        </w:rPr>
        <w:t xml:space="preserve">. Upon a merger or consolidation pursuant to </w:t>
      </w:r>
      <w:r>
        <w:rPr>
          <w:rFonts w:ascii="Times New Roman" w:hAnsi="Times New Roman"/>
          <w:sz w:val="24"/>
          <w:u w:val="single"/>
        </w:rPr>
        <w:t>Section 7.3(b)</w:t>
      </w:r>
      <w:r>
        <w:rPr>
          <w:rFonts w:ascii="Times New Roman" w:hAnsi="Times New Roman"/>
          <w:sz w:val="24"/>
        </w:rPr>
        <w:t xml:space="preserve">, the Company or the surviving corporation into which the Company is merged or consolidated shall deliver for the benefit of the Lenders, the Issuing Banks and the Administrative Agent, such other documents as may reasonably be requested in connection with such merger or consolidation, including, without limitation, information in respect of “know your customer” and similar requirements, an incumbency certificate and an opinion of nationally recognized independent counsel, or other independent counsel reasonably satisfactory to the Majority Lenders, to the effect that all agreements or instruments effecting the assumption of the Obligations of the Company under the Notes, this Agreement and the other Loan Documents pursuant to the terms of </w:t>
      </w:r>
      <w:r>
        <w:rPr>
          <w:rFonts w:ascii="Times New Roman" w:hAnsi="Times New Roman"/>
          <w:sz w:val="24"/>
          <w:u w:val="single"/>
        </w:rPr>
        <w:t>Section 7.3(b)</w:t>
      </w:r>
      <w:r>
        <w:rPr>
          <w:rFonts w:ascii="Times New Roman" w:hAnsi="Times New Roman"/>
          <w:sz w:val="24"/>
        </w:rPr>
        <w:t xml:space="preserve"> are enforceable in accordance with their terms and comply with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6.8 </w:t>
      </w:r>
      <w:r>
        <w:rPr>
          <w:rFonts w:ascii="Times New Roman" w:hAnsi="Times New Roman"/>
          <w:sz w:val="24"/>
          <w:u w:val="single"/>
        </w:rPr>
        <w:t>Additional Requested Information</w:t>
      </w:r>
      <w:r>
        <w:rPr>
          <w:rFonts w:ascii="Times New Roman" w:hAnsi="Times New Roman"/>
          <w:sz w:val="24"/>
        </w:rPr>
        <w:t xml:space="preserve">. Promptly upon request, information and documentation reasonably requested by the Administrative Agent or any Lender for purposes of compliance with applicable “know your customer” and anti-money laundering rules and regulations, including the Patriot Act and the Beneficial Ownership Regulation. </w:t>
      </w:r>
    </w:p>
    <w:p>
      <w:pPr>
        <w:pStyle w:val="TextBody"/>
        <w:bidi w:val="0"/>
        <w:spacing w:before="240" w:after="0"/>
        <w:jc w:val="center"/>
        <w:rPr>
          <w:rFonts w:ascii="Times New Roman" w:hAnsi="Times New Roman"/>
          <w:sz w:val="24"/>
        </w:rPr>
      </w:pPr>
      <w:r>
        <w:rPr>
          <w:rFonts w:ascii="Times New Roman" w:hAnsi="Times New Roman"/>
          <w:sz w:val="24"/>
        </w:rPr>
        <w:t xml:space="preserve">ARTICLE 7 - NEGATIVE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or the Lenders have an obligation to fund Advances hereunder or any Issuing Bank has an obligation to issue Letters of Credit hereunder (in each case, whether or not the conditions to borrowing or to issuing a Letter of Credit, as applicable, have been or can be fulfilled): </w:t>
      </w:r>
    </w:p>
    <w:p>
      <w:pPr>
        <w:pStyle w:val="TextBody"/>
        <w:bidi w:val="0"/>
        <w:spacing w:before="240" w:after="0"/>
        <w:jc w:val="both"/>
        <w:rPr>
          <w:rFonts w:ascii="Times New Roman" w:hAnsi="Times New Roman"/>
          <w:sz w:val="24"/>
        </w:rPr>
      </w:pPr>
      <w:r>
        <w:rPr>
          <w:rFonts w:ascii="Times New Roman" w:hAnsi="Times New Roman"/>
          <w:sz w:val="24"/>
        </w:rPr>
        <w:t>Section 7.1 </w:t>
      </w:r>
      <w:r>
        <w:rPr>
          <w:rFonts w:ascii="Times New Roman" w:hAnsi="Times New Roman"/>
          <w:sz w:val="24"/>
          <w:u w:val="single"/>
        </w:rPr>
        <w:t>Indebtedness; Guaranties of the Company and its Company’s Subsidiaries</w:t>
      </w:r>
      <w:r>
        <w:rPr>
          <w:rFonts w:ascii="Times New Roman" w:hAnsi="Times New Roman"/>
          <w:sz w:val="24"/>
        </w:rPr>
        <w:t xml:space="preserve">. The Company </w:t>
      </w:r>
      <w:r>
        <w:rPr>
          <w:rFonts w:ascii="Times New Roman" w:hAnsi="Times New Roman"/>
          <w:strike/>
          <w:color w:val="FF0000"/>
          <w:sz w:val="24"/>
        </w:rPr>
        <w:t>shall not, and</w:t>
      </w:r>
      <w:r>
        <w:rPr>
          <w:rFonts w:ascii="Times New Roman" w:hAnsi="Times New Roman"/>
          <w:sz w:val="24"/>
        </w:rPr>
        <w:t xml:space="preserve"> shall not permit any of its Subsidiaries to, create, assume, incur or otherwise become or remain obligated in respect of, or permit to be outstanding, any Indebtedness (including, without limitation, any Guaranty) except: </w:t>
      </w:r>
    </w:p>
    <w:p>
      <w:pPr>
        <w:pStyle w:val="TextBody"/>
        <w:bidi w:val="0"/>
        <w:spacing w:before="240" w:after="0"/>
        <w:jc w:val="both"/>
        <w:rPr>
          <w:rFonts w:ascii="Times New Roman" w:hAnsi="Times New Roman"/>
          <w:sz w:val="24"/>
        </w:rPr>
      </w:pPr>
      <w:r>
        <w:rPr>
          <w:rFonts w:ascii="Times New Roman" w:hAnsi="Times New Roman"/>
          <w:sz w:val="24"/>
        </w:rPr>
        <w:t xml:space="preserve">(i) Indebtedness existing on the date hereof and disclosed in the public filings of the Company with the Securities and Exchange Commission and any refinancing, extensions, renewals and replacements (including through open market purchases and tender offers) of any such Indebtedness that do not (i) increase the outstanding principal amount and any existing commitments not utilized thereunder, or accreted value thereof (or, in the case of open market purchases and tender offers, exceed the current market value thereof) plus any accrued interest thereon, the amount of any premiums and any costs and expenses incurred to effect such refinancing, extension, renewal or replacement, (ii) result in an earlier maturity date or decrease the weighted average life thereof or (iii) change the direct or any contingent obligor with respect thereto; </w:t>
      </w:r>
    </w:p>
    <w:p>
      <w:pPr>
        <w:pStyle w:val="TextBody"/>
        <w:bidi w:val="0"/>
        <w:spacing w:before="240" w:after="0"/>
        <w:jc w:val="both"/>
        <w:rPr>
          <w:rFonts w:ascii="Times New Roman" w:hAnsi="Times New Roman"/>
          <w:sz w:val="24"/>
        </w:rPr>
      </w:pPr>
      <w:r>
        <w:rPr>
          <w:rFonts w:ascii="Times New Roman" w:hAnsi="Times New Roman"/>
          <w:sz w:val="24"/>
        </w:rPr>
        <w:t xml:space="preserve">(ii) Indebtedness owed to the Company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(iii) Indebtedness existing at the time a Subsidiary of the Company (not having previously been a Subsidiary) (i) becomes a Subsidiary of the Company or (ii) is merged or consolidated with or into a Subsidiary of the Company and any refinancing, extensions, renewals and replacements (including through open market purchases and tender offers) of any such Indebtedness that do not (x) increase the outstanding principal amount, including any existing commitments not utilized thereunder, or accreted value thereof (or, in the case of open market purchases and tender offers, exceed the current market value thereof) plus any accrued interest thereon, the amount of any premiums and any costs and expenses incurred to effect such refinancing, extension, renewal or replacement or (y) result in an earlier maturity date or decrease the weighted average life thereof; </w:t>
      </w:r>
      <w:r>
        <w:rPr>
          <w:rFonts w:ascii="Times New Roman" w:hAnsi="Times New Roman"/>
          <w:sz w:val="24"/>
          <w:u w:val="single"/>
        </w:rPr>
        <w:t>provided</w:t>
      </w:r>
      <w:r>
        <w:rPr>
          <w:rFonts w:ascii="Times New Roman" w:hAnsi="Times New Roman"/>
          <w:sz w:val="24"/>
        </w:rPr>
        <w:t xml:space="preserve"> that such Indebtedness is not created in contemplation of such merger or consolidation; </w:t>
      </w:r>
    </w:p>
    <w:p>
      <w:pPr>
        <w:pStyle w:val="TextBody"/>
        <w:bidi w:val="0"/>
        <w:spacing w:before="240" w:after="0"/>
        <w:jc w:val="both"/>
        <w:rPr>
          <w:rFonts w:ascii="Times New Roman" w:hAnsi="Times New Roman"/>
          <w:sz w:val="24"/>
        </w:rPr>
      </w:pPr>
      <w:r>
        <w:rPr>
          <w:rFonts w:ascii="Times New Roman" w:hAnsi="Times New Roman"/>
          <w:sz w:val="24"/>
        </w:rPr>
        <w:t xml:space="preserve">(iv) Indebtedness secured by Permitted Liens; </w:t>
      </w:r>
    </w:p>
    <w:p>
      <w:pPr>
        <w:pStyle w:val="TextBody"/>
        <w:bidi w:val="0"/>
        <w:spacing w:before="240" w:after="0"/>
        <w:jc w:val="both"/>
        <w:rPr>
          <w:rFonts w:ascii="Times New Roman" w:hAnsi="Times New Roman"/>
          <w:sz w:val="24"/>
        </w:rPr>
      </w:pPr>
      <w:r>
        <w:rPr>
          <w:rFonts w:ascii="Times New Roman" w:hAnsi="Times New Roman"/>
          <w:sz w:val="24"/>
        </w:rPr>
        <w:t xml:space="preserve">(v) Capitalized Lease Obligations; </w:t>
      </w:r>
    </w:p>
    <w:p>
      <w:pPr>
        <w:pStyle w:val="TextBody"/>
        <w:bidi w:val="0"/>
        <w:spacing w:before="240" w:after="0"/>
        <w:jc w:val="both"/>
        <w:rPr>
          <w:rFonts w:ascii="Times New Roman" w:hAnsi="Times New Roman"/>
          <w:sz w:val="24"/>
        </w:rPr>
      </w:pPr>
      <w:r>
        <w:rPr>
          <w:rFonts w:ascii="Times New Roman" w:hAnsi="Times New Roman"/>
          <w:sz w:val="24"/>
        </w:rPr>
        <w:t xml:space="preserve">(vi) obligations under Hedge Agreements; </w:t>
      </w:r>
      <w:r>
        <w:rPr>
          <w:rFonts w:ascii="Times New Roman" w:hAnsi="Times New Roman"/>
          <w:sz w:val="24"/>
          <w:u w:val="single"/>
        </w:rPr>
        <w:t>provided</w:t>
      </w:r>
      <w:r>
        <w:rPr>
          <w:rFonts w:ascii="Times New Roman" w:hAnsi="Times New Roman"/>
          <w:sz w:val="24"/>
        </w:rPr>
        <w:t xml:space="preserve"> that such Hedge Agreements shall not be speculative in nature;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(vii) Indebtedness of Subsidiaries of the Company, so long as (i) no Default exists or would be caused thereby and (ii) the principal outstanding amount of such Indebtedness at the time of its incurrence does not exceed (when taken together with the principal outstanding amount at such time of Indebtedness incurred under </w:t>
      </w:r>
      <w:r>
        <w:rPr>
          <w:rFonts w:ascii="Times New Roman" w:hAnsi="Times New Roman"/>
          <w:sz w:val="24"/>
          <w:u w:val="single"/>
        </w:rPr>
        <w:t>Section 7.1(i)</w:t>
      </w:r>
      <w:r>
        <w:rPr>
          <w:rFonts w:ascii="Times New Roman" w:hAnsi="Times New Roman"/>
          <w:sz w:val="24"/>
        </w:rPr>
        <w:t xml:space="preserve"> hereof (or portion thereof) that is guaranteed by any Subsidiary of the Company), in the aggregate, the greater of (x) $3,500,000,000 and (y) fifty percent (50%) of Adjusted EBITDA of the Company and its Subsidiaries on a consolidated basis as of the last day of the most recently completed fiscal quarter; </w:t>
      </w:r>
    </w:p>
    <w:p>
      <w:pPr>
        <w:pStyle w:val="TextBody"/>
        <w:bidi w:val="0"/>
        <w:spacing w:before="240" w:after="0"/>
        <w:jc w:val="both"/>
        <w:rPr>
          <w:rFonts w:ascii="Times New Roman" w:hAnsi="Times New Roman"/>
          <w:sz w:val="24"/>
        </w:rPr>
      </w:pPr>
      <w:r>
        <w:rPr>
          <w:rFonts w:ascii="Times New Roman" w:hAnsi="Times New Roman"/>
          <w:sz w:val="24"/>
        </w:rPr>
        <w:t xml:space="preserve">(viii) Indebtedness under (i) each Existing ABS Facility and (ii) any additional ABS Facilities entered into by the Company or any of its Subsidiaries (including any increase of any Existing ABS Facility) so long as, in each case after giving pro forma effect to such ABS Facility, the Company is in compliance with Sections </w:t>
      </w:r>
      <w:r>
        <w:rPr>
          <w:rFonts w:ascii="Times New Roman" w:hAnsi="Times New Roman"/>
          <w:strike/>
          <w:color w:val="FF0000"/>
          <w:sz w:val="24"/>
        </w:rPr>
        <w:t>7.5 and</w:t>
      </w:r>
      <w:r>
        <w:rPr>
          <w:rFonts w:ascii="Times New Roman" w:hAnsi="Times New Roman"/>
          <w:sz w:val="24"/>
        </w:rPr>
        <w:t xml:space="preserve">7.6 hereof; </w:t>
      </w:r>
    </w:p>
    <w:p>
      <w:pPr>
        <w:pStyle w:val="TextBody"/>
        <w:bidi w:val="0"/>
        <w:spacing w:before="240" w:after="0"/>
        <w:jc w:val="both"/>
        <w:rPr>
          <w:rFonts w:ascii="Times New Roman" w:hAnsi="Times New Roman"/>
          <w:color w:val="0000FF"/>
          <w:sz w:val="24"/>
          <w:u w:val="single"/>
          <w:bdr w:val="double" w:sz="2" w:space="1" w:color="000000"/>
        </w:rPr>
      </w:pPr>
      <w:r>
        <w:rPr>
          <w:rFonts w:ascii="Times New Roman" w:hAnsi="Times New Roman"/>
          <w:color w:val="0000FF"/>
          <w:sz w:val="24"/>
          <w:u w:val="single"/>
          <w:bdr w:val="double" w:sz="2" w:space="1" w:color="000000"/>
        </w:rPr>
        <w:t xml:space="preserve">(i) [Reserved] </w:t>
      </w:r>
    </w:p>
    <w:p>
      <w:pPr>
        <w:pStyle w:val="TextBody"/>
        <w:bidi w:val="0"/>
        <w:spacing w:before="240" w:after="0"/>
        <w:jc w:val="both"/>
        <w:rPr>
          <w:rFonts w:ascii="Times New Roman" w:hAnsi="Times New Roman"/>
          <w:sz w:val="24"/>
        </w:rPr>
      </w:pPr>
      <w:r>
        <w:rPr>
          <w:rFonts w:ascii="Times New Roman" w:hAnsi="Times New Roman"/>
          <w:color w:val="0000FF"/>
          <w:sz w:val="24"/>
          <w:u w:val="single"/>
          <w:bdr w:val="double" w:sz="2" w:space="1" w:color="000000"/>
        </w:rPr>
        <w:t>(j) [Reserved]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(i) (i) Indebtedness under the Loan Documents and (ii) other Indebtedness of the Company so long as, in each case after giving pro forma effect to such other Indebtedness, the Company is in compliance with Sections 7.5 and 7.6 hereof;</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(j)</w:t>
      </w:r>
      <w:r>
        <w:rPr>
          <w:rFonts w:ascii="Times New Roman" w:hAnsi="Times New Roman"/>
          <w:sz w:val="24"/>
        </w:rPr>
        <w:t> </w:t>
      </w:r>
      <w:r>
        <w:rPr>
          <w:rFonts w:ascii="Times New Roman" w:hAnsi="Times New Roman"/>
          <w:strike/>
          <w:color w:val="FF0000"/>
          <w:sz w:val="24"/>
        </w:rPr>
        <w:t xml:space="preserve"> Guaranties by the Company of any of the foregoing except for the Indebtedness set forth under Section 7.1(h) hereof;</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(xi) Guaranties by any Subsidiary of the Company of any of the foregoing except for the Indebtedness set forth under </w:t>
      </w:r>
      <w:r>
        <w:rPr>
          <w:rFonts w:ascii="Times New Roman" w:hAnsi="Times New Roman"/>
          <w:sz w:val="24"/>
          <w:u w:val="single"/>
        </w:rPr>
        <w:t>Section 7.1(h)</w:t>
      </w:r>
      <w:r>
        <w:rPr>
          <w:rFonts w:ascii="Times New Roman" w:hAnsi="Times New Roman"/>
          <w:sz w:val="24"/>
        </w:rPr>
        <w:t xml:space="preserve"> hereof; </w:t>
      </w:r>
      <w:r>
        <w:rPr>
          <w:rFonts w:ascii="Times New Roman" w:hAnsi="Times New Roman"/>
          <w:sz w:val="24"/>
          <w:u w:val="single"/>
        </w:rPr>
        <w:t>provided</w:t>
      </w:r>
      <w:r>
        <w:rPr>
          <w:rFonts w:ascii="Times New Roman" w:hAnsi="Times New Roman"/>
          <w:sz w:val="24"/>
        </w:rPr>
        <w:t xml:space="preserve"> that there shall be no prohibition against Guaranties by any Subsidiaries of the Company that (i) are special purposes entities directly involved in any ABS Facilities and (ii) have no material assets other than the direct or indirect Ownership Interests in special purpose entities directly involved in such ABS Facilities; provided further that the principal outstanding amount of any Indebtedness set forth in </w:t>
      </w:r>
      <w:r>
        <w:rPr>
          <w:rFonts w:ascii="Times New Roman" w:hAnsi="Times New Roman"/>
          <w:sz w:val="24"/>
          <w:u w:val="single"/>
        </w:rPr>
        <w:t>Section 7.1(i)</w:t>
      </w:r>
      <w:r>
        <w:rPr>
          <w:rFonts w:ascii="Times New Roman" w:hAnsi="Times New Roman"/>
          <w:sz w:val="24"/>
        </w:rPr>
        <w:t xml:space="preserve"> hereof (or portion thereof) that is guaranteed by any Subsidiary of the Company shall not exceed (when taken together with the principal outstanding amount at such time of Indebtedness incurred under </w:t>
      </w:r>
      <w:r>
        <w:rPr>
          <w:rFonts w:ascii="Times New Roman" w:hAnsi="Times New Roman"/>
          <w:sz w:val="24"/>
          <w:u w:val="single"/>
        </w:rPr>
        <w:t>Section 7.1(g)</w:t>
      </w:r>
      <w:r>
        <w:rPr>
          <w:rFonts w:ascii="Times New Roman" w:hAnsi="Times New Roman"/>
          <w:sz w:val="24"/>
        </w:rPr>
        <w:t xml:space="preserve"> hereof), in the aggregate, the greater of (x) $3,000,000,000 and (y) fifty percent (50%) of Adjusted EBITDA of the Company and its Subsidiaries on a consolidated basis as of the last day of the most recently completed fiscal quarter; </w:t>
      </w:r>
      <w:r>
        <w:rPr>
          <w:rFonts w:ascii="Times New Roman" w:hAnsi="Times New Roman"/>
          <w:color w:val="0000FF"/>
          <w:sz w:val="24"/>
          <w:u w:val="single"/>
          <w:bdr w:val="double" w:sz="2" w:space="1" w:color="000000"/>
        </w:rPr>
        <w:t>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(xii) In respect of Subsidiaries of the Company that are owned by the Company and one or more joint venture partners, Indebtedness of such Subsidiaries owed to such joint venture partners</w:t>
      </w:r>
      <w:r>
        <w:rPr>
          <w:rFonts w:ascii="Times New Roman" w:hAnsi="Times New Roman"/>
          <w:strike/>
          <w:color w:val="FF0000"/>
          <w:sz w:val="24"/>
        </w:rPr>
        <w:t>; and</w:t>
      </w:r>
      <w:r>
        <w:rPr>
          <w:rFonts w:ascii="Times New Roman" w:hAnsi="Times New Roman"/>
          <w:color w:val="0000FF"/>
          <w:sz w:val="24"/>
          <w:u w:val="single"/>
          <w:bdr w:val="double" w:sz="2" w:space="1" w:color="000000"/>
        </w:rPr>
        <w: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(m)</w:t>
      </w:r>
      <w:r>
        <w:rPr>
          <w:rFonts w:ascii="Times New Roman" w:hAnsi="Times New Roman"/>
          <w:sz w:val="24"/>
        </w:rPr>
        <w:t> </w:t>
      </w:r>
      <w:r>
        <w:rPr>
          <w:rFonts w:ascii="Times New Roman" w:hAnsi="Times New Roman"/>
          <w:strike/>
          <w:color w:val="FF0000"/>
          <w:sz w:val="24"/>
        </w:rPr>
        <w:t xml:space="preserve"> Unsecured Indebtedness incurred by the Borrower to finance all or a portion of the Specified Merger.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determining compliance with this Section 7.1, (A) if an item of Indebtedness meets the criteria of more than one of the types of Indebtedness described above, the Company, in its sole discretion, shall classify such item of Indebtedness and only be required to include the amount and type of such Indebtedness in one of such clauses, although the Company may divide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classify an item of Indebtedness in one or more of the types of Indebtedness and may later re-divide or reclassify all or a portion of such item of Indebtedness in any manner that complies with this Section 7.1 and (B) the amount of Indebtedness issued at a price that is less than the principal amount thereof shall be equal to the amount of the liability in respect thereof determined in conformity with GAAP. </w:t>
      </w:r>
    </w:p>
    <w:p>
      <w:pPr>
        <w:pStyle w:val="TextBody"/>
        <w:bidi w:val="0"/>
        <w:spacing w:before="240" w:after="0"/>
        <w:jc w:val="both"/>
        <w:rPr>
          <w:rFonts w:ascii="Times New Roman" w:hAnsi="Times New Roman"/>
          <w:sz w:val="24"/>
        </w:rPr>
      </w:pPr>
      <w:r>
        <w:rPr>
          <w:rFonts w:ascii="Times New Roman" w:hAnsi="Times New Roman"/>
          <w:sz w:val="24"/>
        </w:rPr>
        <w:t>Section 7.2 </w:t>
      </w:r>
      <w:r>
        <w:rPr>
          <w:rFonts w:ascii="Times New Roman" w:hAnsi="Times New Roman"/>
          <w:sz w:val="24"/>
          <w:u w:val="single"/>
        </w:rPr>
        <w:t>Limitation on Liens</w:t>
      </w:r>
      <w:r>
        <w:rPr>
          <w:rFonts w:ascii="Times New Roman" w:hAnsi="Times New Roman"/>
          <w:sz w:val="24"/>
        </w:rPr>
        <w:t xml:space="preserve">. The Company shall not, and shall not permit any of its Subsidiaries to, create, assume, incur or permit to exist or to be created, assumed, incurred or permitted to exist, directly or indirectly, any Lien on any of its properties or assets, whether now owned or hereafter acquired, except for (i) Liens securing the Obligations (if any), (ii) Permitted Liens, and (iii) Liens securing Indebtedness </w:t>
      </w:r>
      <w:r>
        <w:rPr>
          <w:rFonts w:ascii="Times New Roman" w:hAnsi="Times New Roman"/>
          <w:color w:val="0000FF"/>
          <w:sz w:val="24"/>
          <w:u w:val="single"/>
          <w:bdr w:val="double" w:sz="2" w:space="1" w:color="000000"/>
        </w:rPr>
        <w:t>of the Company or any of its Subsidiaries</w:t>
      </w:r>
      <w:r>
        <w:rPr>
          <w:rFonts w:ascii="Times New Roman" w:hAnsi="Times New Roman"/>
          <w:sz w:val="24"/>
        </w:rPr>
        <w:t xml:space="preserve"> permitted under </w:t>
      </w:r>
      <w:r>
        <w:rPr>
          <w:rFonts w:ascii="Times New Roman" w:hAnsi="Times New Roman"/>
          <w:sz w:val="24"/>
          <w:u w:val="single"/>
        </w:rPr>
        <w:t>Section 7.1</w:t>
      </w:r>
      <w:r>
        <w:rPr>
          <w:rFonts w:ascii="Times New Roman" w:hAnsi="Times New Roman"/>
          <w:strike/>
          <w:color w:val="FF0000"/>
          <w:sz w:val="24"/>
        </w:rPr>
        <w:t>(a) (but only if and to the extent such Indebtedness (or the Indebtedness which was refinanced, extended, renewed or replaced) is secured as of the date hereof), Section 7.1(c) (but only if and to the extent such Indebtedness (or the Indebtedness which was refinanced, extended, renewed or replaced) is secured as of the date the Subsidiary that incurred such Indebtedness became a Subsidiary of the Company), Section 7.1(g), Section 7.1(h) or Section 7.1(k).</w:t>
      </w:r>
      <w:r>
        <w:rPr>
          <w:rFonts w:ascii="Times New Roman" w:hAnsi="Times New Roman"/>
          <w:sz w:val="24"/>
        </w:rPr>
        <w:t xml:space="preserve"> </w:t>
      </w:r>
      <w:r>
        <w:rPr>
          <w:rFonts w:ascii="Times New Roman" w:hAnsi="Times New Roman"/>
          <w:color w:val="0000FF"/>
          <w:sz w:val="24"/>
          <w:u w:val="single"/>
          <w:bdr w:val="double" w:sz="2" w:space="1" w:color="000000"/>
        </w:rPr>
        <w:t>if, after giving effect to the incurrence of such Liens, the ratio of (x) Senior Secured Debt to (y</w:t>
      </w:r>
      <w:r>
        <w:rPr>
          <w:rFonts w:ascii="Times New Roman" w:hAnsi="Times New Roman"/>
          <w:color w:val="00C000"/>
          <w:sz w:val="24"/>
          <w:u w:val="single"/>
        </w:rPr>
        <w:t>) Adjusted EBITDA, as of the last day of</w:t>
      </w:r>
      <w:r>
        <w:rPr>
          <w:rFonts w:ascii="Times New Roman" w:hAnsi="Times New Roman"/>
          <w:sz w:val="24"/>
        </w:rPr>
        <w:t xml:space="preserve"> </w:t>
      </w:r>
      <w:r>
        <w:rPr>
          <w:rFonts w:ascii="Times New Roman" w:hAnsi="Times New Roman"/>
          <w:color w:val="0000FF"/>
          <w:sz w:val="24"/>
          <w:u w:val="single"/>
          <w:bdr w:val="double" w:sz="2" w:space="1" w:color="000000"/>
        </w:rPr>
        <w:t>the most recently ended fiscal quarter shall not be greater than 3.50 to 1.00.</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7.3 </w:t>
      </w:r>
      <w:r>
        <w:rPr>
          <w:rFonts w:ascii="Times New Roman" w:hAnsi="Times New Roman"/>
          <w:sz w:val="24"/>
          <w:u w:val="single"/>
        </w:rPr>
        <w:t>Liquidation, Merger or Disposition of Assets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Disposition of Assets</w:t>
      </w:r>
      <w:r>
        <w:rPr>
          <w:rFonts w:ascii="Times New Roman" w:hAnsi="Times New Roman"/>
          <w:sz w:val="24"/>
        </w:rPr>
        <w:t>. The Company shall not, and shall not permit any of its Subsidiaries to, at any time sell, lease, abandon, or otherwise dispose of any assets (other than assets disposed of in the ordinary course of business), except for (i) the transfer of assets among the Company and its Subsidiaries (excluding Subsidiaries of such Persons described in clause (b) of the definition of “</w:t>
      </w:r>
      <w:r>
        <w:rPr>
          <w:rFonts w:ascii="Times New Roman" w:hAnsi="Times New Roman"/>
          <w:sz w:val="24"/>
          <w:u w:val="single"/>
        </w:rPr>
        <w:t>Subsidiary</w:t>
      </w:r>
      <w:r>
        <w:rPr>
          <w:rFonts w:ascii="Times New Roman" w:hAnsi="Times New Roman"/>
          <w:sz w:val="24"/>
        </w:rPr>
        <w:t>” if the requirements of clause (a) thereof are not otherwise met) or the transfer of assets between or among the Company’s Subsidiaries (excluding Subsidiaries of such Persons described in clause (b) of the definition of “</w:t>
      </w:r>
      <w:r>
        <w:rPr>
          <w:rFonts w:ascii="Times New Roman" w:hAnsi="Times New Roman"/>
          <w:sz w:val="24"/>
          <w:u w:val="single"/>
        </w:rPr>
        <w:t>Subsidiary</w:t>
      </w:r>
      <w:r>
        <w:rPr>
          <w:rFonts w:ascii="Times New Roman" w:hAnsi="Times New Roman"/>
          <w:sz w:val="24"/>
        </w:rPr>
        <w:t xml:space="preserve">” if the requirements of clause (a) thereof are not otherwise met), (ii) the transfer of assets by the Company or any of its Subsidiaries to Unrestricted Subsidiaries representing an amount not to exceed, in any given fiscal year, fifteen percent (15%) of Adjusted EBITDA of the Company and its Subsidiaries on a consolidated basis as of the last day of the immediately preceding fiscal year, but in aggregate for the period commencing on the Effective Date and ending of the date of such transfer, not more than twenty-five percent (25%) of Adjusted EBITDA of the Company and its Subsidiaries on a consolidated basis as of the last day of the fiscal year immediately preceding the date of such transfer, or (iii) the disposition of assets for fair market value so long as no Default exists or will be caused to occur as a result of such disposition; </w:t>
      </w:r>
      <w:r>
        <w:rPr>
          <w:rFonts w:ascii="Times New Roman" w:hAnsi="Times New Roman"/>
          <w:sz w:val="24"/>
          <w:u w:val="single"/>
        </w:rPr>
        <w:t>provided</w:t>
      </w:r>
      <w:r>
        <w:rPr>
          <w:rFonts w:ascii="Times New Roman" w:hAnsi="Times New Roman"/>
          <w:sz w:val="24"/>
        </w:rPr>
        <w:t xml:space="preserve"> that, in respect of this clause (iii), the fair market value of all such assets disposed of by the Company and its Subsidiaries during any fiscal year shall not exceed fifteen percent (15%) of Consolidated Total Assets as of the last day of the immediately preceding fiscal year. For the avoidance of doubt, cash and cash equivalents shall not be considered assets subject to the provisions of this Section 7.3(a).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Liquidation or Merger</w:t>
      </w:r>
      <w:r>
        <w:rPr>
          <w:rFonts w:ascii="Times New Roman" w:hAnsi="Times New Roman"/>
          <w:sz w:val="24"/>
        </w:rPr>
        <w:t xml:space="preserve">. The Company shall not, at any time, liquidate or dissolve itself (or suffer any liquidation or dissolution) or otherwise wind up, or enter into any merger or consolidation, other than (i) a merger or consolidation among the Company and one or more of its Subsidiaries;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Company is the surviving Person, (ii) in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connection with an Acquisition permitted hereunder effected by a merger in which the Company is the surviving Person, or (iii) a merger or consolidation (including, without limitation, in connection with an Acquisition permitted hereunder) among the Company on the one hand, and any other Person (including, without limitation, an Affiliate), on the other hand, where the surviving Person (if other than the Company) (A) is a corporation, partnership, or limited liability company organized and existing under the laws of the United States of America, any State thereof or the District of Columbia and (B) on the effective date of such merger or consolidation expressly assumes, by supplemental agreement, executed and delivered to the Administrative Agent, for itself and on behalf of the Lenders and the Issuing Banks, in form and substance reasonably satisfactory to the Majority Lenders, all the Obligations of the Company under the Notes, this Agreement and the other Loan Documents;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each case, no Default exists or would be caused thereby. </w:t>
      </w:r>
    </w:p>
    <w:p>
      <w:pPr>
        <w:pStyle w:val="TextBody"/>
        <w:bidi w:val="0"/>
        <w:spacing w:before="240" w:after="0"/>
        <w:jc w:val="both"/>
        <w:rPr>
          <w:rFonts w:ascii="Times New Roman" w:hAnsi="Times New Roman"/>
          <w:sz w:val="24"/>
        </w:rPr>
      </w:pPr>
      <w:r>
        <w:rPr>
          <w:rFonts w:ascii="Times New Roman" w:hAnsi="Times New Roman"/>
          <w:sz w:val="24"/>
        </w:rPr>
        <w:t>Section 7.4 </w:t>
      </w:r>
      <w:r>
        <w:rPr>
          <w:rFonts w:ascii="Times New Roman" w:hAnsi="Times New Roman"/>
          <w:sz w:val="24"/>
          <w:u w:val="single"/>
        </w:rPr>
        <w:t>Restricted Payments</w:t>
      </w:r>
      <w:r>
        <w:rPr>
          <w:rFonts w:ascii="Times New Roman" w:hAnsi="Times New Roman"/>
          <w:sz w:val="24"/>
        </w:rPr>
        <w:t xml:space="preserve">. The Company shall not, and shall not permit any of its Subsidiaries to, make any Restricted Payments;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Company and its Subsidiaries may make any Restricted Payments so long as no Default exists or would be caused thereby,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(a) for so long as the Company is a REIT, during the continuation of a Default, the Company and its Subsidiaries may make any Restricted Payments provided they do not exceed in the aggregate for any four consecutive fiscal quarters of the Company occurring from and after March 31, 2013, (i) 95% of Funds From Operations for such four fiscal quarter period, or (ii) such greater amount as may be required to comply with </w:t>
      </w:r>
      <w:r>
        <w:rPr>
          <w:rFonts w:ascii="Times New Roman" w:hAnsi="Times New Roman"/>
          <w:sz w:val="24"/>
          <w:u w:val="single"/>
        </w:rPr>
        <w:t>Section 5.9</w:t>
      </w:r>
      <w:r>
        <w:rPr>
          <w:rFonts w:ascii="Times New Roman" w:hAnsi="Times New Roman"/>
          <w:sz w:val="24"/>
        </w:rPr>
        <w:t xml:space="preserve"> or to avoid the imposition of income or excise taxes on the Company, and (b) the Company may make any Restricted Payment required to comply with </w:t>
      </w:r>
      <w:r>
        <w:rPr>
          <w:rFonts w:ascii="Times New Roman" w:hAnsi="Times New Roman"/>
          <w:sz w:val="24"/>
          <w:u w:val="single"/>
        </w:rPr>
        <w:t>Section 5.9</w:t>
      </w:r>
      <w:r>
        <w:rPr>
          <w:rFonts w:ascii="Times New Roman" w:hAnsi="Times New Roman"/>
          <w:sz w:val="24"/>
        </w:rPr>
        <w:t xml:space="preserve">, including, for the avoidance of doubt, any Restricted Payment necessary to satisfy the requirements of section 857(a)(2)(B) of the Code, or any successor provision., or to avoid the imposition of any income or excise taxes. </w:t>
      </w:r>
    </w:p>
    <w:p>
      <w:pPr>
        <w:pStyle w:val="TextBody"/>
        <w:bidi w:val="0"/>
        <w:spacing w:before="240" w:after="0"/>
        <w:jc w:val="both"/>
        <w:rPr>
          <w:rFonts w:ascii="Times New Roman" w:hAnsi="Times New Roman"/>
          <w:sz w:val="24"/>
        </w:rPr>
      </w:pPr>
      <w:r>
        <w:rPr>
          <w:rFonts w:ascii="Times New Roman" w:hAnsi="Times New Roman"/>
          <w:sz w:val="24"/>
        </w:rPr>
        <w:t>Section 7.5 </w:t>
      </w:r>
      <w:r>
        <w:rPr>
          <w:rFonts w:ascii="Times New Roman" w:hAnsi="Times New Roman"/>
          <w:sz w:val="24"/>
          <w:u w:val="single"/>
        </w:rPr>
        <w:t>Senior Secured Leverage Ratio[Reserved]</w:t>
      </w:r>
      <w:r>
        <w:rPr>
          <w:rFonts w:ascii="Times New Roman" w:hAnsi="Times New Roman"/>
          <w:color w:val="0000FF"/>
          <w:sz w:val="24"/>
          <w:u w:val="single"/>
          <w:bdr w:val="double" w:sz="2" w:space="1" w:color="000000"/>
        </w:rPr>
        <w: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 As of the end of each fiscal quarter, the Company shall not permit the ratio of (i) Senior Secured Debt on such calculation date to (ii</w:t>
      </w:r>
      <w:r>
        <w:rPr>
          <w:rFonts w:ascii="Times New Roman" w:hAnsi="Times New Roman"/>
          <w:strike/>
          <w:color w:val="00C000"/>
          <w:sz w:val="24"/>
        </w:rPr>
        <w:t>) Adjusted EBITDA, as of the last day of</w:t>
      </w:r>
      <w:r>
        <w:rPr>
          <w:rFonts w:ascii="Times New Roman" w:hAnsi="Times New Roman"/>
          <w:sz w:val="24"/>
        </w:rPr>
        <w:t xml:space="preserve"> </w:t>
      </w:r>
      <w:r>
        <w:rPr>
          <w:rFonts w:ascii="Times New Roman" w:hAnsi="Times New Roman"/>
          <w:strike/>
          <w:color w:val="FF0000"/>
          <w:sz w:val="24"/>
        </w:rPr>
        <w:t>such fiscal quarter, to be greater than 3.00 to 1.00.</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7.6 </w:t>
      </w:r>
      <w:r>
        <w:rPr>
          <w:rFonts w:ascii="Times New Roman" w:hAnsi="Times New Roman"/>
          <w:sz w:val="24"/>
          <w:u w:val="single"/>
        </w:rPr>
        <w:t>Total Company Leverage Ratio</w:t>
      </w:r>
      <w:r>
        <w:rPr>
          <w:rFonts w:ascii="Times New Roman" w:hAnsi="Times New Roman"/>
          <w:sz w:val="24"/>
        </w:rPr>
        <w:t xml:space="preserve">. As of the end of each fiscal quarter, the Company shall not permit the ratio of (a) Total Debt on such calculation date to (b) Adjusted EBITDA, as of the last day of such fiscal quarter to be greater than 6.00 to 1.00; provided that in lieu of the foregoing, for any such date occurring after a Qualified Acquisition (as defined below) and on or prior to the last day of the fourth full fiscal quarter of the Company after the consummation of such Qualified Acquisition, the Company will not permit such ratio as of such date to exceed 7.50 to 1.00; </w:t>
      </w:r>
      <w:r>
        <w:rPr>
          <w:rFonts w:ascii="Times New Roman" w:hAnsi="Times New Roman"/>
          <w:i/>
          <w:sz w:val="24"/>
        </w:rPr>
        <w:t xml:space="preserve">provided </w:t>
      </w:r>
      <w:r>
        <w:rPr>
          <w:rFonts w:ascii="Times New Roman" w:hAnsi="Times New Roman"/>
          <w:sz w:val="24"/>
        </w:rPr>
        <w:t xml:space="preserve">that the above step-up will be available only if during the immediately preceding quarter such step-up did not apply. </w:t>
      </w:r>
    </w:p>
    <w:p>
      <w:pPr>
        <w:pStyle w:val="TextBody"/>
        <w:bidi w:val="0"/>
        <w:spacing w:before="240" w:after="0"/>
        <w:jc w:val="both"/>
        <w:rPr/>
      </w:pPr>
      <w:r>
        <w:rPr/>
        <w:t>“</w:t>
      </w:r>
      <w:r>
        <w:rPr>
          <w:rFonts w:ascii="Times New Roman" w:hAnsi="Times New Roman"/>
          <w:sz w:val="24"/>
          <w:u w:val="single"/>
        </w:rPr>
        <w:t>Qualified Acquisition</w:t>
      </w:r>
      <w:r>
        <w:rPr>
          <w:rFonts w:ascii="Times New Roman" w:hAnsi="Times New Roman"/>
          <w:sz w:val="24"/>
        </w:rPr>
        <w:t xml:space="preserve">” shall mean an Acquisition by the Company or any Subsidiary which has been designated to the Lenders by an authorized officer of the Company as a “Qualified Acquisition” so long as, on a pro forma basis after giving effect to such Acquisition, the ratio of Total Debt to Adjusted EBITDA as of the last day of the most recently ended fiscal quarter of the Company (for which financial statements have been delivered pursuant to Section 6.1 or 6.2) prior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to such acquisition would be no less than 5.50 to 1.00; provided that (i) no such designation may be made with respect to any Acquisition prior to the end of the fourth full fiscal quarter following the completion of the most recently consummated Qualified Acquisition unless the ratio of Total Debt to Adjusted EBITDA as of the last day of the most recently ended fiscal quarter of the Company (for which financial statements have been delivered pursuant to Section 6.1 or 6.2) prior to the consummation of such Acquisition was no greater than 6.00 to 1.00 and (ii) the aggregate consideration for such Acquisition (including the aggregate principal amount of any Indebtedness assumed thereby) is equal to or greater than $850,000,000. </w:t>
      </w:r>
    </w:p>
    <w:p>
      <w:pPr>
        <w:pStyle w:val="TextBody"/>
        <w:bidi w:val="0"/>
        <w:spacing w:before="240" w:after="0"/>
        <w:jc w:val="both"/>
        <w:rPr>
          <w:rFonts w:ascii="Times New Roman" w:hAnsi="Times New Roman"/>
          <w:sz w:val="24"/>
        </w:rPr>
      </w:pPr>
      <w:r>
        <w:rPr>
          <w:rFonts w:ascii="Times New Roman" w:hAnsi="Times New Roman"/>
          <w:sz w:val="24"/>
        </w:rPr>
        <w:t>Section 7.7 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7.8 </w:t>
      </w:r>
      <w:r>
        <w:rPr>
          <w:rFonts w:ascii="Times New Roman" w:hAnsi="Times New Roman"/>
          <w:sz w:val="24"/>
          <w:u w:val="single"/>
        </w:rPr>
        <w:t>Affiliate Transactions</w:t>
      </w:r>
      <w:r>
        <w:rPr>
          <w:rFonts w:ascii="Times New Roman" w:hAnsi="Times New Roman"/>
          <w:sz w:val="24"/>
        </w:rPr>
        <w:t xml:space="preserve">. Except (i) as specifically provided herein (including, without limitation, Sections 7.1, 7.3 and 7.4 hereof), (ii) investments of cash and cash equivalents in Unrestricted Subsidiaries, and (iii) as may be disclosed in the public filings of the Company with the Securities and Exchange Commission prior to the Effective Date, the Company shall not, and shall not permit any of its Subsidiaries to, at any time engage in any transaction with an Affiliate, other than between or among the Company and/or any Subsidiaries of the Company or in the ordinary course of business, or make an assignment or other transfer of any of its properties or assets to any Affiliate, in each case on terms less advantageous in any material respect to the Company or such Subsidiary than would be the case if such transaction had been effected with a non-Affiliate. </w:t>
      </w:r>
    </w:p>
    <w:p>
      <w:pPr>
        <w:pStyle w:val="TextBody"/>
        <w:bidi w:val="0"/>
        <w:spacing w:before="240" w:after="0"/>
        <w:jc w:val="both"/>
        <w:rPr>
          <w:rFonts w:ascii="Times New Roman" w:hAnsi="Times New Roman"/>
          <w:sz w:val="24"/>
        </w:rPr>
      </w:pPr>
      <w:r>
        <w:rPr>
          <w:rFonts w:ascii="Times New Roman" w:hAnsi="Times New Roman"/>
          <w:sz w:val="24"/>
        </w:rPr>
        <w:t>Section 7.9 </w:t>
      </w:r>
      <w:r>
        <w:rPr>
          <w:rFonts w:ascii="Times New Roman" w:hAnsi="Times New Roman"/>
          <w:sz w:val="24"/>
          <w:u w:val="single"/>
        </w:rPr>
        <w:t>Restrictive Agreements</w:t>
      </w:r>
      <w:r>
        <w:rPr>
          <w:rFonts w:ascii="Times New Roman" w:hAnsi="Times New Roman"/>
          <w:sz w:val="24"/>
        </w:rPr>
        <w:t xml:space="preserve">. The Company shall not, nor shall the Company permit any of its Material Subsidiaries to, directly or indirectly, enter into, incur or permit to exist any agreement or other arrangement that prohibits, restricts or imposes any condition upon the ability of any Material Subsidiary of the Company to pay dividends or other distributions with respect to any shares of its capital stock or to make or repay loans or advances to the Company or any other Material Subsidiary of the Company; </w:t>
      </w:r>
      <w:r>
        <w:rPr>
          <w:rFonts w:ascii="Times New Roman" w:hAnsi="Times New Roman"/>
          <w:sz w:val="24"/>
          <w:u w:val="single"/>
        </w:rPr>
        <w:t>provided</w:t>
      </w:r>
      <w:r>
        <w:rPr>
          <w:rFonts w:ascii="Times New Roman" w:hAnsi="Times New Roman"/>
          <w:sz w:val="24"/>
        </w:rPr>
        <w:t xml:space="preserve"> that (i) the foregoing shall not apply to restrictions and conditions imposed by Applicable Law or by any Loan Document, (ii) the foregoing shall not apply to restrictions and conditions contained in agreements relating to the sale of a Material Subsidiary of the Company pending such sale; </w:t>
      </w:r>
      <w:r>
        <w:rPr>
          <w:rFonts w:ascii="Times New Roman" w:hAnsi="Times New Roman"/>
          <w:sz w:val="24"/>
          <w:u w:val="single"/>
        </w:rPr>
        <w:t>provided</w:t>
      </w:r>
      <w:r>
        <w:rPr>
          <w:rFonts w:ascii="Times New Roman" w:hAnsi="Times New Roman"/>
          <w:sz w:val="24"/>
        </w:rPr>
        <w:t xml:space="preserve"> that such restrictions and conditions apply only to the Material Subsidiary that is to be sold and such sale is permitted hereunder, (iii) the foregoing shall not apply to restrictions and conditions contained in any instrument governing Indebtedness or Ownership Interests of a Person acquired by the Company or any of its Material Subsidiaries as in effect at the time of such acquisition (except to the extent such Indebtedness was incurred, or such Ownership Interests were issued, in connection with or in contemplation of such acquisition), which encumbrance or restriction is not applicable to any Person, or the properties or assets of any Person, other than the Person or the property or assets of the Person so acquired, and any amendments, modifications, restatements, renewals, increases, supplements, refundings, replacements or refinancings of those instruments; </w:t>
      </w:r>
      <w:r>
        <w:rPr>
          <w:rFonts w:ascii="Times New Roman" w:hAnsi="Times New Roman"/>
          <w:sz w:val="24"/>
          <w:u w:val="single"/>
        </w:rPr>
        <w:t>provided</w:t>
      </w:r>
      <w:r>
        <w:rPr>
          <w:rFonts w:ascii="Times New Roman" w:hAnsi="Times New Roman"/>
          <w:sz w:val="24"/>
        </w:rPr>
        <w:t xml:space="preserve"> that the encumbrances or restrictions contained in any such amendments, modifications, restatements, renewals, increases, supplements, refundings, replacements or refinancings, taken as whole, are not materially more restrictive than the encumbrances or restrictions contained in instruments as in effect on the date of acquisition, (iv) the foregoing shall not apply to restrictions and conditions on cash or other deposits or net worth imposed by customers or lessors under contracts or leases entered into in the ordinary course of business, (v) the foregoing shall not apply to restrictions and conditions imposed on the transfer of copyrighted or patented materials or other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intellectual property and customary provisions in agreements that restrict the assignment of such agreements or any rights thereunder, (vi) the foregoing shall not apply to restrictions and conditions imposed by contracts or leases entered into in the ordinary course of business by the Company or any of its Material Subsidiaries with such Person’s customers, lessors or suppliers and (vii) the foregoing shall not apply to restrictions and conditions imposed upon the “borrower”, “issuer”, “guarantor”, “pledgor” or “lender” entities under ABS Facilities permitted under Section 7.1(h) hereof or which arise in connection with any payment default regarding Indebtedness otherwise permitted under Section 7.1 hereof. </w:t>
      </w:r>
    </w:p>
    <w:p>
      <w:pPr>
        <w:pStyle w:val="TextBody"/>
        <w:bidi w:val="0"/>
        <w:spacing w:before="240" w:after="0"/>
        <w:jc w:val="both"/>
        <w:rPr>
          <w:rFonts w:ascii="Times New Roman" w:hAnsi="Times New Roman"/>
          <w:sz w:val="24"/>
        </w:rPr>
      </w:pPr>
      <w:r>
        <w:rPr>
          <w:rFonts w:ascii="Times New Roman" w:hAnsi="Times New Roman"/>
          <w:sz w:val="24"/>
        </w:rPr>
        <w:t>Section 7.10 </w:t>
      </w:r>
      <w:r>
        <w:rPr>
          <w:rFonts w:ascii="Times New Roman" w:hAnsi="Times New Roman"/>
          <w:sz w:val="24"/>
          <w:u w:val="single"/>
        </w:rPr>
        <w:t>Use of Proceeds</w:t>
      </w:r>
      <w:r>
        <w:rPr>
          <w:rFonts w:ascii="Times New Roman" w:hAnsi="Times New Roman"/>
          <w:sz w:val="24"/>
        </w:rPr>
        <w:t xml:space="preserve">. The Company shall not, nor shall the Company permit any of its Subsidiaries to, use the proceeds of any Loan or Letter of Credit directly, or to the Company’s knowledge indirectly, to fund any operations in, finance any investments or activities in, or make any payments to a Designated Person or a Sanctioned Country, in material violation of Anti-Corruption Laws or in any manner that would result in the violation by any party hereto of any Sanctions Laws and Regulations. </w:t>
      </w:r>
    </w:p>
    <w:p>
      <w:pPr>
        <w:pStyle w:val="TextBody"/>
        <w:bidi w:val="0"/>
        <w:spacing w:before="240" w:after="0"/>
        <w:jc w:val="center"/>
        <w:rPr>
          <w:rFonts w:ascii="Times New Roman" w:hAnsi="Times New Roman"/>
          <w:sz w:val="24"/>
        </w:rPr>
      </w:pPr>
      <w:r>
        <w:rPr>
          <w:rFonts w:ascii="Times New Roman" w:hAnsi="Times New Roman"/>
          <w:sz w:val="24"/>
        </w:rPr>
        <w:t xml:space="preserve">ARTICLE 8 - DEFAULT </w:t>
      </w:r>
    </w:p>
    <w:p>
      <w:pPr>
        <w:pStyle w:val="TextBody"/>
        <w:bidi w:val="0"/>
        <w:spacing w:before="240" w:after="0"/>
        <w:jc w:val="both"/>
        <w:rPr>
          <w:rFonts w:ascii="Times New Roman" w:hAnsi="Times New Roman"/>
          <w:sz w:val="24"/>
        </w:rPr>
      </w:pPr>
      <w:r>
        <w:rPr>
          <w:rFonts w:ascii="Times New Roman" w:hAnsi="Times New Roman"/>
          <w:sz w:val="24"/>
        </w:rPr>
        <w:t>Section 8.1 </w:t>
      </w:r>
      <w:r>
        <w:rPr>
          <w:rFonts w:ascii="Times New Roman" w:hAnsi="Times New Roman"/>
          <w:sz w:val="24"/>
          <w:u w:val="single"/>
        </w:rPr>
        <w:t>Events of Default</w:t>
      </w:r>
      <w:r>
        <w:rPr>
          <w:rFonts w:ascii="Times New Roman" w:hAnsi="Times New Roman"/>
          <w:sz w:val="24"/>
        </w:rPr>
        <w:t xml:space="preserve">. Each of the following shall constitute an Event of Default, whatever the reason for such event and whether it shall be voluntary or involuntary or be effected by operation of law or pursuant to any judgment or order of any court or any order, rule or regulation of any governmental or non-governmental body: </w:t>
      </w:r>
    </w:p>
    <w:p>
      <w:pPr>
        <w:pStyle w:val="TextBody"/>
        <w:bidi w:val="0"/>
        <w:spacing w:before="240" w:after="0"/>
        <w:jc w:val="both"/>
        <w:rPr>
          <w:rFonts w:ascii="Times New Roman" w:hAnsi="Times New Roman"/>
          <w:sz w:val="24"/>
        </w:rPr>
      </w:pPr>
      <w:r>
        <w:rPr>
          <w:rFonts w:ascii="Times New Roman" w:hAnsi="Times New Roman"/>
          <w:sz w:val="24"/>
        </w:rPr>
        <w:t xml:space="preserve">(i) any representation or warranty made under this Agreement shall prove to be incorrect in any material respect when made or deemed to be made pursuant to </w:t>
      </w:r>
      <w:r>
        <w:rPr>
          <w:rFonts w:ascii="Times New Roman" w:hAnsi="Times New Roman"/>
          <w:sz w:val="24"/>
          <w:u w:val="single"/>
        </w:rPr>
        <w:t>Section 4.2</w:t>
      </w:r>
      <w:r>
        <w:rPr>
          <w:rFonts w:ascii="Times New Roman" w:hAnsi="Times New Roman"/>
          <w:sz w:val="24"/>
        </w:rPr>
        <w:t xml:space="preserve"> hereof; </w:t>
      </w:r>
    </w:p>
    <w:p>
      <w:pPr>
        <w:pStyle w:val="TextBody"/>
        <w:bidi w:val="0"/>
        <w:spacing w:before="240" w:after="0"/>
        <w:jc w:val="both"/>
        <w:rPr>
          <w:rFonts w:ascii="Times New Roman" w:hAnsi="Times New Roman"/>
          <w:sz w:val="24"/>
        </w:rPr>
      </w:pPr>
      <w:r>
        <w:rPr>
          <w:rFonts w:ascii="Times New Roman" w:hAnsi="Times New Roman"/>
          <w:sz w:val="24"/>
        </w:rPr>
        <w:t xml:space="preserve">(ii) the Company shall default in the payment of (i) any interest hereunder or under any of the Notes or fees or other amounts payable to the Lenders and the Administrative Agent under any of the Loan Documents, or any of them, when due, and such Default shall not be cured by payment in full within five (5) Business Days from the due date or (ii) any principal hereunder or under any of the Notes when due; </w:t>
      </w:r>
    </w:p>
    <w:p>
      <w:pPr>
        <w:pStyle w:val="TextBody"/>
        <w:bidi w:val="0"/>
        <w:spacing w:before="240" w:after="0"/>
        <w:jc w:val="both"/>
        <w:rPr>
          <w:rFonts w:ascii="Times New Roman" w:hAnsi="Times New Roman"/>
          <w:sz w:val="24"/>
        </w:rPr>
      </w:pPr>
      <w:r>
        <w:rPr>
          <w:rFonts w:ascii="Times New Roman" w:hAnsi="Times New Roman"/>
          <w:sz w:val="24"/>
        </w:rPr>
        <w:t xml:space="preserve">(iii) the Company or any Material Subsidiary, as applicable, shall default in the performance or observance of any agreement or covenant contained in </w:t>
      </w:r>
      <w:r>
        <w:rPr>
          <w:rFonts w:ascii="Times New Roman" w:hAnsi="Times New Roman"/>
          <w:sz w:val="24"/>
          <w:u w:val="single"/>
        </w:rPr>
        <w:t>Sections 5.1</w:t>
      </w:r>
      <w:r>
        <w:rPr>
          <w:rFonts w:ascii="Times New Roman" w:hAnsi="Times New Roman"/>
          <w:sz w:val="24"/>
        </w:rPr>
        <w:t xml:space="preserve"> (as to the existence of the Company), </w:t>
      </w:r>
      <w:r>
        <w:rPr>
          <w:rFonts w:ascii="Times New Roman" w:hAnsi="Times New Roman"/>
          <w:sz w:val="24"/>
          <w:u w:val="single"/>
        </w:rPr>
        <w:t>5.8</w:t>
      </w:r>
      <w:r>
        <w:rPr>
          <w:rFonts w:ascii="Times New Roman" w:hAnsi="Times New Roman"/>
          <w:sz w:val="24"/>
        </w:rPr>
        <w:t xml:space="preserve">, </w:t>
      </w:r>
      <w:r>
        <w:rPr>
          <w:rFonts w:ascii="Times New Roman" w:hAnsi="Times New Roman"/>
          <w:sz w:val="24"/>
          <w:u w:val="single"/>
        </w:rPr>
        <w:t>5.10</w:t>
      </w:r>
      <w:r>
        <w:rPr>
          <w:rFonts w:ascii="Times New Roman" w:hAnsi="Times New Roman"/>
          <w:sz w:val="24"/>
        </w:rPr>
        <w:t xml:space="preserve">, </w:t>
      </w:r>
      <w:r>
        <w:rPr>
          <w:rFonts w:ascii="Times New Roman" w:hAnsi="Times New Roman"/>
          <w:sz w:val="24"/>
          <w:u w:val="single"/>
        </w:rPr>
        <w:t>7.1</w:t>
      </w:r>
      <w:r>
        <w:rPr>
          <w:rFonts w:ascii="Times New Roman" w:hAnsi="Times New Roman"/>
          <w:sz w:val="24"/>
        </w:rPr>
        <w:t xml:space="preserve">, </w:t>
      </w:r>
      <w:r>
        <w:rPr>
          <w:rFonts w:ascii="Times New Roman" w:hAnsi="Times New Roman"/>
          <w:sz w:val="24"/>
          <w:u w:val="single"/>
        </w:rPr>
        <w:t>7.2</w:t>
      </w:r>
      <w:r>
        <w:rPr>
          <w:rFonts w:ascii="Times New Roman" w:hAnsi="Times New Roman"/>
          <w:sz w:val="24"/>
        </w:rPr>
        <w:t xml:space="preserve">, </w:t>
      </w:r>
      <w:r>
        <w:rPr>
          <w:rFonts w:ascii="Times New Roman" w:hAnsi="Times New Roman"/>
          <w:sz w:val="24"/>
          <w:u w:val="single"/>
        </w:rPr>
        <w:t>7.3</w:t>
      </w:r>
      <w:r>
        <w:rPr>
          <w:rFonts w:ascii="Times New Roman" w:hAnsi="Times New Roman"/>
          <w:sz w:val="24"/>
        </w:rPr>
        <w:t xml:space="preserve">, </w:t>
      </w:r>
      <w:r>
        <w:rPr>
          <w:rFonts w:ascii="Times New Roman" w:hAnsi="Times New Roman"/>
          <w:sz w:val="24"/>
          <w:u w:val="single"/>
        </w:rPr>
        <w:t>7.4</w:t>
      </w:r>
      <w:r>
        <w:rPr>
          <w:rFonts w:ascii="Times New Roman" w:hAnsi="Times New Roman"/>
          <w:sz w:val="24"/>
        </w:rPr>
        <w:t xml:space="preserve">, </w:t>
      </w:r>
      <w:r>
        <w:rPr>
          <w:rFonts w:ascii="Times New Roman" w:hAnsi="Times New Roman"/>
          <w:strike/>
          <w:color w:val="FF0000"/>
          <w:sz w:val="24"/>
        </w:rPr>
        <w:t xml:space="preserve">7.5, </w:t>
      </w:r>
      <w:r>
        <w:rPr>
          <w:rFonts w:ascii="Times New Roman" w:hAnsi="Times New Roman"/>
          <w:sz w:val="24"/>
          <w:u w:val="single"/>
        </w:rPr>
        <w:t>7.6</w:t>
      </w:r>
      <w:r>
        <w:rPr>
          <w:rFonts w:ascii="Times New Roman" w:hAnsi="Times New Roman"/>
          <w:sz w:val="24"/>
        </w:rPr>
        <w:t xml:space="preserve"> and </w:t>
      </w:r>
      <w:r>
        <w:rPr>
          <w:rFonts w:ascii="Times New Roman" w:hAnsi="Times New Roman"/>
          <w:sz w:val="24"/>
          <w:u w:val="single"/>
        </w:rPr>
        <w:t>7.9</w:t>
      </w:r>
      <w:r>
        <w:rPr>
          <w:rFonts w:ascii="Times New Roman" w:hAnsi="Times New Roman"/>
          <w:sz w:val="24"/>
        </w:rPr>
        <w:t xml:space="preserve"> hereof; </w:t>
      </w:r>
    </w:p>
    <w:p>
      <w:pPr>
        <w:pStyle w:val="TextBody"/>
        <w:bidi w:val="0"/>
        <w:spacing w:before="240" w:after="0"/>
        <w:jc w:val="both"/>
        <w:rPr>
          <w:rFonts w:ascii="Times New Roman" w:hAnsi="Times New Roman"/>
          <w:sz w:val="24"/>
        </w:rPr>
      </w:pPr>
      <w:r>
        <w:rPr>
          <w:rFonts w:ascii="Times New Roman" w:hAnsi="Times New Roman"/>
          <w:sz w:val="24"/>
        </w:rPr>
        <w:t xml:space="preserve">(iv) the Company or any of its Subsidiaries, as applicable, shall default in the performance or observance of any other agreement or covenant contained in this Agreement not specifically referred to elsewhere in this </w:t>
      </w:r>
      <w:r>
        <w:rPr>
          <w:rFonts w:ascii="Times New Roman" w:hAnsi="Times New Roman"/>
          <w:sz w:val="24"/>
          <w:u w:val="single"/>
        </w:rPr>
        <w:t>Section 8.1</w:t>
      </w:r>
      <w:r>
        <w:rPr>
          <w:rFonts w:ascii="Times New Roman" w:hAnsi="Times New Roman"/>
          <w:sz w:val="24"/>
        </w:rPr>
        <w:t xml:space="preserve">, and such default shall not be cured within a period of thirty (30) days (or with respect to </w:t>
      </w:r>
      <w:r>
        <w:rPr>
          <w:rFonts w:ascii="Times New Roman" w:hAnsi="Times New Roman"/>
          <w:sz w:val="24"/>
          <w:u w:val="single"/>
        </w:rPr>
        <w:t>Sections 5.3</w:t>
      </w:r>
      <w:r>
        <w:rPr>
          <w:rFonts w:ascii="Times New Roman" w:hAnsi="Times New Roman"/>
          <w:sz w:val="24"/>
        </w:rPr>
        <w:t xml:space="preserve">, </w:t>
      </w:r>
      <w:r>
        <w:rPr>
          <w:rFonts w:ascii="Times New Roman" w:hAnsi="Times New Roman"/>
          <w:sz w:val="24"/>
          <w:u w:val="single"/>
        </w:rPr>
        <w:t>5.4</w:t>
      </w:r>
      <w:r>
        <w:rPr>
          <w:rFonts w:ascii="Times New Roman" w:hAnsi="Times New Roman"/>
          <w:sz w:val="24"/>
        </w:rPr>
        <w:t xml:space="preserve">, </w:t>
      </w:r>
      <w:r>
        <w:rPr>
          <w:rFonts w:ascii="Times New Roman" w:hAnsi="Times New Roman"/>
          <w:sz w:val="24"/>
          <w:u w:val="single"/>
        </w:rPr>
        <w:t>5.5</w:t>
      </w:r>
      <w:r>
        <w:rPr>
          <w:rFonts w:ascii="Times New Roman" w:hAnsi="Times New Roman"/>
          <w:sz w:val="24"/>
        </w:rPr>
        <w:t xml:space="preserve">, </w:t>
      </w:r>
      <w:r>
        <w:rPr>
          <w:rFonts w:ascii="Times New Roman" w:hAnsi="Times New Roman"/>
          <w:sz w:val="24"/>
          <w:u w:val="single"/>
        </w:rPr>
        <w:t>5.6</w:t>
      </w:r>
      <w:r>
        <w:rPr>
          <w:rFonts w:ascii="Times New Roman" w:hAnsi="Times New Roman"/>
          <w:sz w:val="24"/>
        </w:rPr>
        <w:t xml:space="preserve">, </w:t>
      </w:r>
      <w:r>
        <w:rPr>
          <w:rFonts w:ascii="Times New Roman" w:hAnsi="Times New Roman"/>
          <w:sz w:val="24"/>
          <w:u w:val="single"/>
        </w:rPr>
        <w:t>6.4</w:t>
      </w:r>
      <w:r>
        <w:rPr>
          <w:rFonts w:ascii="Times New Roman" w:hAnsi="Times New Roman"/>
          <w:sz w:val="24"/>
        </w:rPr>
        <w:t xml:space="preserve">, </w:t>
      </w:r>
      <w:r>
        <w:rPr>
          <w:rFonts w:ascii="Times New Roman" w:hAnsi="Times New Roman"/>
          <w:sz w:val="24"/>
          <w:u w:val="single"/>
        </w:rPr>
        <w:t>6.5</w:t>
      </w:r>
      <w:r>
        <w:rPr>
          <w:rFonts w:ascii="Times New Roman" w:hAnsi="Times New Roman"/>
          <w:sz w:val="24"/>
        </w:rPr>
        <w:t xml:space="preserve"> and </w:t>
      </w:r>
      <w:r>
        <w:rPr>
          <w:rFonts w:ascii="Times New Roman" w:hAnsi="Times New Roman"/>
          <w:sz w:val="24"/>
          <w:u w:val="single"/>
        </w:rPr>
        <w:t>7.8</w:t>
      </w:r>
      <w:r>
        <w:rPr>
          <w:rFonts w:ascii="Times New Roman" w:hAnsi="Times New Roman"/>
          <w:sz w:val="24"/>
        </w:rPr>
        <w:t xml:space="preserve"> hereof, such longer period not to exceed sixty (60) days if such default is curable within such period and the Company is proceeding in good faith with all diligent efforts to cure such default) from the later of (i) occurrence of such Default and (ii) the date on which such Default became known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(v) there shall occur any default in the performance or observance of any agreement or covenant or breach of any representation or warranty contained in any of the Loan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Documents (other than this Agreement or as otherwise provided in this </w:t>
      </w:r>
      <w:r>
        <w:rPr>
          <w:rFonts w:ascii="Times New Roman" w:hAnsi="Times New Roman"/>
          <w:sz w:val="24"/>
          <w:u w:val="single"/>
        </w:rPr>
        <w:t>Section 8.1</w:t>
      </w:r>
      <w:r>
        <w:rPr>
          <w:rFonts w:ascii="Times New Roman" w:hAnsi="Times New Roman"/>
          <w:sz w:val="24"/>
        </w:rPr>
        <w:t xml:space="preserve">) by the Company, which shall not be cured within a period of thirty (30) days (or such longer period not to exceed sixty (60) days if such default is curable within such period and the Company is proceeding in good faith with all diligent efforts to cure such default) from the date on which such default became known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(vi) there shall be entered and remain unstayed a decree or order for relief in respect of the Company or any Material Subsidiary Group under Title 11 of the United States Code, as now constituted or hereafter amended, or any other applicable Federal or state bankruptcy law or other similar law, or appointing a receiver, liquidator, assignee, trustee, custodian, sequestrator or similar official of the Company or any Material Subsidiary Group, or of any substantial part of their respective properties, or ordering the winding-up or liquidation of the affairs of the Company or any Material Subsidiary Group; or an involuntary petition shall be filed against the Company or any Material Subsidiary Group, and (i) such petition shall not be diligently contested, or (ii) any such petition shall continue undismissed or unstayed for a period of ninety (90) consecutive days; </w:t>
      </w:r>
    </w:p>
    <w:p>
      <w:pPr>
        <w:pStyle w:val="TextBody"/>
        <w:bidi w:val="0"/>
        <w:spacing w:before="240" w:after="0"/>
        <w:jc w:val="both"/>
        <w:rPr>
          <w:rFonts w:ascii="Times New Roman" w:hAnsi="Times New Roman"/>
          <w:sz w:val="24"/>
        </w:rPr>
      </w:pPr>
      <w:r>
        <w:rPr>
          <w:rFonts w:ascii="Times New Roman" w:hAnsi="Times New Roman"/>
          <w:sz w:val="24"/>
        </w:rPr>
        <w:t xml:space="preserve">(vii) the Company or any Material Subsidiary Group shall file a petition, answer or consent seeking relief under Title 11 of the United States Code, as now constituted or hereafter amended, or any other applicable Federal or state bankruptcy law or other similar law, or the Company or any Material Subsidiary Group shall consent to the institution of proceedings thereunder or to the filing of any such petition or to the appointment or taking of possession of a receiver, liquidator, assignee, trustee, custodian, sequestrator or other similar official of the Company or any Material Subsidiary Group or of any substantial part of their respective properties, or the Company or any Material Subsidiary Group shall fail generally to pay their respective debts as they become due or shall be adjudicated insolvent; or the Company or any Material Subsidiary Group shall take any action in furtherance of any such action; </w:t>
      </w:r>
    </w:p>
    <w:p>
      <w:pPr>
        <w:pStyle w:val="TextBody"/>
        <w:bidi w:val="0"/>
        <w:spacing w:before="240" w:after="0"/>
        <w:jc w:val="both"/>
        <w:rPr>
          <w:rFonts w:ascii="Times New Roman" w:hAnsi="Times New Roman"/>
          <w:sz w:val="24"/>
        </w:rPr>
      </w:pPr>
      <w:r>
        <w:rPr>
          <w:rFonts w:ascii="Times New Roman" w:hAnsi="Times New Roman"/>
          <w:sz w:val="24"/>
        </w:rPr>
        <w:t xml:space="preserve">(viii) a judgment not covered by insurance or indemnification, where the indemnifying party has agreed to indemnify and is financially able to do so, shall be entered by any court against the Company or any Material Subsidiary Group for the payment of money which exceeds singly, or in the aggregate with other such judgments, $600,000,000, or a warrant of attachment or execution or similar process shall be issued or levied against property of the Company or any Material Subsidiary Group which, together with all other such property of the Company or any Material Subsidiary Group subject to other such process, exceeds in value $600,000,000 in the aggregate, and if, within thirty (30) days after the entry, issue or levy thereof, such judgment, warrant or process shall not have been paid or discharged or stayed pending appeal or removed to bond, or if, after the expiration of any such stay, such judgment, warrant or process, shall not have been paid or discharged or removed to bond; </w:t>
      </w:r>
    </w:p>
    <w:p>
      <w:pPr>
        <w:pStyle w:val="TextBody"/>
        <w:bidi w:val="0"/>
        <w:spacing w:before="240" w:after="0"/>
        <w:jc w:val="both"/>
        <w:rPr>
          <w:rFonts w:ascii="Times New Roman" w:hAnsi="Times New Roman"/>
          <w:sz w:val="24"/>
        </w:rPr>
      </w:pPr>
      <w:r>
        <w:rPr>
          <w:rFonts w:ascii="Times New Roman" w:hAnsi="Times New Roman"/>
          <w:sz w:val="24"/>
        </w:rPr>
        <w:t xml:space="preserve">(ix) except to the extent that would not reasonably be expected to have a Materially Adverse Effect collectively or individually, (i) there shall be at any time any “accumulated funding deficiency,” as defined in ERISA or in Section 412 of the Code, with respect to any Plan maintained by the Company, any of its Subsidiaries or any ERISA Affiliate, or to which the Company, any of its Subsidiaries or any ERISA Affiliate has any liabilities, or any trust created thereunder; (ii) a trustee shall be appointed by a United States District Court to administer any such Plan; (iii) PBGC shall institute proceedings to terminate any such Plan; (iv)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of its Subsidiaries or any ERISA Affiliate shall incur any liability to PBGC in connection with the termination of any such Plan; or (v) any Plan or trust created under any Plan of the Company, any of its Subsidiaries or any ERISA Affiliate shall engage in a “prohibited transaction” (as such term is defined in Section 406 of ERISA or Section 4975 of the Code) which would subject any such Plan, any trust created thereunder, any trustee or administrator thereof, or any party dealing with any such Plan or trust to material tax or penalty on “prohibited transactions” imposed by Section 502 of ERISA or Section 4975 of the Code; </w:t>
      </w:r>
    </w:p>
    <w:p>
      <w:pPr>
        <w:pStyle w:val="TextBody"/>
        <w:bidi w:val="0"/>
        <w:spacing w:before="240" w:after="0"/>
        <w:jc w:val="both"/>
        <w:rPr>
          <w:rFonts w:ascii="Times New Roman" w:hAnsi="Times New Roman"/>
          <w:sz w:val="24"/>
        </w:rPr>
      </w:pPr>
      <w:r>
        <w:rPr>
          <w:rFonts w:ascii="Times New Roman" w:hAnsi="Times New Roman"/>
          <w:sz w:val="24"/>
        </w:rPr>
        <w:t xml:space="preserve">(x) there shall occur (i) any acceleration of the maturity of any Indebtedness (other than Indebtedness owed (x) to the Company or (y) to any of its Subsidiaries or Affiliates the accounts of which are consolidated with those of the Company in its consolidated financial statements referenced in Sections 6.1 and 6.2) of the Company or any Material Subsidiary in an aggregate principal amount exceeding $600,000,000, or, as a result of a failure to comply with the terms thereof, such Indebtedness shall otherwise have become due and payable prior to its scheduled maturity; or (ii) any failure to make any payment when due (after any applicable grace period) with respect to any Indebtedness (other than Indebtedness owed (x) to the Company or (y) to any of its Subsidiaries or Affiliates the accounts of which are consolidated with those of the Company in its consolidated financial statements referenced in Sections 6.1 and 6.2) of the Company or any Material Subsidiary (other than the Obligations) in an aggregate principal amount exceeding $600,000,000; </w:t>
      </w:r>
    </w:p>
    <w:p>
      <w:pPr>
        <w:pStyle w:val="TextBody"/>
        <w:bidi w:val="0"/>
        <w:spacing w:before="240" w:after="0"/>
        <w:jc w:val="both"/>
        <w:rPr>
          <w:rFonts w:ascii="Times New Roman" w:hAnsi="Times New Roman"/>
          <w:sz w:val="24"/>
        </w:rPr>
      </w:pPr>
      <w:r>
        <w:rPr>
          <w:rFonts w:ascii="Times New Roman" w:hAnsi="Times New Roman"/>
          <w:sz w:val="24"/>
        </w:rPr>
        <w:t xml:space="preserve">(xi) any material Loan Document or any material provision thereof, shall at any time and for any reason be declared by a court of competent jurisdiction to be null and void, or a proceeding shall be commenced by the Company seeking to establish the invalidity or unenforceability thereof (exclusive of questions of interpretation of any provision thereof), or the Company shall deny that it has any liability or obligation for the payment of principal or interest purported to be created under any Loan Document (other than in accordance with its terms); or </w:t>
      </w:r>
    </w:p>
    <w:p>
      <w:pPr>
        <w:pStyle w:val="TextBody"/>
        <w:bidi w:val="0"/>
        <w:spacing w:before="240" w:after="0"/>
        <w:jc w:val="both"/>
        <w:rPr>
          <w:rFonts w:ascii="Times New Roman" w:hAnsi="Times New Roman"/>
          <w:sz w:val="24"/>
        </w:rPr>
      </w:pPr>
      <w:r>
        <w:rPr>
          <w:rFonts w:ascii="Times New Roman" w:hAnsi="Times New Roman"/>
          <w:sz w:val="24"/>
        </w:rPr>
        <w:t xml:space="preserve">(xii) there shall occur any Change of Control. </w:t>
      </w:r>
    </w:p>
    <w:p>
      <w:pPr>
        <w:pStyle w:val="TextBody"/>
        <w:bidi w:val="0"/>
        <w:spacing w:before="240" w:after="0"/>
        <w:jc w:val="both"/>
        <w:rPr>
          <w:rFonts w:ascii="Times New Roman" w:hAnsi="Times New Roman"/>
          <w:sz w:val="24"/>
        </w:rPr>
      </w:pPr>
      <w:r>
        <w:rPr>
          <w:rFonts w:ascii="Times New Roman" w:hAnsi="Times New Roman"/>
          <w:sz w:val="24"/>
        </w:rPr>
        <w:t>Section 8.2 </w:t>
      </w:r>
      <w:r>
        <w:rPr>
          <w:rFonts w:ascii="Times New Roman" w:hAnsi="Times New Roman"/>
          <w:sz w:val="24"/>
          <w:u w:val="single"/>
        </w:rPr>
        <w:t>Remedies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(i) If an Event of Default specified in </w:t>
      </w:r>
      <w:r>
        <w:rPr>
          <w:rFonts w:ascii="Times New Roman" w:hAnsi="Times New Roman"/>
          <w:sz w:val="24"/>
          <w:u w:val="single"/>
        </w:rPr>
        <w:t>Section 8.1</w:t>
      </w:r>
      <w:r>
        <w:rPr>
          <w:rFonts w:ascii="Times New Roman" w:hAnsi="Times New Roman"/>
          <w:sz w:val="24"/>
        </w:rPr>
        <w:t xml:space="preserve"> (other than an Event of Default under </w:t>
      </w:r>
      <w:r>
        <w:rPr>
          <w:rFonts w:ascii="Times New Roman" w:hAnsi="Times New Roman"/>
          <w:sz w:val="24"/>
          <w:u w:val="single"/>
        </w:rPr>
        <w:t>Section 8.1(f)</w:t>
      </w:r>
      <w:r>
        <w:rPr>
          <w:rFonts w:ascii="Times New Roman" w:hAnsi="Times New Roman"/>
          <w:sz w:val="24"/>
        </w:rPr>
        <w:t xml:space="preserve"> or </w:t>
      </w:r>
      <w:r>
        <w:rPr>
          <w:rFonts w:ascii="Times New Roman" w:hAnsi="Times New Roman"/>
          <w:sz w:val="24"/>
          <w:u w:val="single"/>
        </w:rPr>
        <w:t>(g)</w:t>
      </w:r>
      <w:r>
        <w:rPr>
          <w:rFonts w:ascii="Times New Roman" w:hAnsi="Times New Roman"/>
          <w:sz w:val="24"/>
        </w:rPr>
        <w:t xml:space="preserve"> hereof) shall have occurred and shall be continuing, the Administrative Agent, at the request of the Majority Lenders but subject to </w:t>
      </w:r>
      <w:r>
        <w:rPr>
          <w:rFonts w:ascii="Times New Roman" w:hAnsi="Times New Roman"/>
          <w:sz w:val="24"/>
          <w:u w:val="single"/>
        </w:rPr>
        <w:t>Section 9.3</w:t>
      </w:r>
      <w:r>
        <w:rPr>
          <w:rFonts w:ascii="Times New Roman" w:hAnsi="Times New Roman"/>
          <w:sz w:val="24"/>
        </w:rPr>
        <w:t xml:space="preserve"> hereof, shall (i) (A) terminate the Revolving Loan Commitments and/or (B) declare the principal of and interest on the Loans and the Notes, if any, and all other amounts owed to the Lenders, the Issuing Banks and the Administrative Agent under this Agreement, the Notes and any other Loan Documents to be forthwith due and payable without presentment, demand, protest or other notice of any kind, all of which are hereby expressly waived, anything in this Agreement, the Notes or any other Loan Document to the contrary notwithstanding, and the Revolving Loan Commitments shall thereupon forthwith terminate, and (ii) require the Company to, and the Company shall thereupon, deposit in an interest bearing account with the Administrative Agent, as Cash Collateral for the Obligations, an amount equal to the maximum amount currently or at any time thereafter available to be drawn on all outstanding Letters of Credit in accordance with </w:t>
      </w:r>
      <w:r>
        <w:rPr>
          <w:rFonts w:ascii="Times New Roman" w:hAnsi="Times New Roman"/>
          <w:sz w:val="24"/>
          <w:u w:val="single"/>
        </w:rPr>
        <w:t>Section 2.15</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(ii) Upon the occurrence and continuance of an Event of Default specified in Section 8.1(f) or </w:t>
      </w:r>
      <w:r>
        <w:rPr>
          <w:rFonts w:ascii="Times New Roman" w:hAnsi="Times New Roman"/>
          <w:sz w:val="24"/>
          <w:u w:val="single"/>
        </w:rPr>
        <w:t>(g)</w:t>
      </w:r>
      <w:r>
        <w:rPr>
          <w:rFonts w:ascii="Times New Roman" w:hAnsi="Times New Roman"/>
          <w:sz w:val="24"/>
        </w:rPr>
        <w:t xml:space="preserve"> hereof, all principal, interest and other amounts due hereunder and under the Notes, and all other Obligations, shall thereupon and concurrently therewith become due and payable and the Revolving Loan Commitments shall forthwith terminate and the principal amount of the Loans outstanding hereunder shall bear interest at the Default Rate, and the Company shall thereupon forthwith deposit in an interest bearing account with the Administrative Agent, as Cash Collateral for the Obligations, an amount equal to the maximum amount currently or at any time thereafter available to be drawn on all outstanding Letters of Credit in accordance with </w:t>
      </w:r>
      <w:r>
        <w:rPr>
          <w:rFonts w:ascii="Times New Roman" w:hAnsi="Times New Roman"/>
          <w:sz w:val="24"/>
          <w:u w:val="single"/>
        </w:rPr>
        <w:t>Section 2.15</w:t>
      </w:r>
      <w:r>
        <w:rPr>
          <w:rFonts w:ascii="Times New Roman" w:hAnsi="Times New Roman"/>
          <w:sz w:val="24"/>
        </w:rPr>
        <w:t xml:space="preserve">, all without any action by the Administrative Agent, the Lenders, the Majority Lenders, the Issuing Banks, or any of them, and without presentment, demand, protest or other notice of any kind, all of which are expressly waived, anything in this Agreement or in the other Loan Documents to the contrary notwithstanding. </w:t>
      </w:r>
    </w:p>
    <w:p>
      <w:pPr>
        <w:pStyle w:val="TextBody"/>
        <w:bidi w:val="0"/>
        <w:spacing w:before="240" w:after="0"/>
        <w:jc w:val="both"/>
        <w:rPr>
          <w:rFonts w:ascii="Times New Roman" w:hAnsi="Times New Roman"/>
          <w:sz w:val="24"/>
        </w:rPr>
      </w:pPr>
      <w:r>
        <w:rPr>
          <w:rFonts w:ascii="Times New Roman" w:hAnsi="Times New Roman"/>
          <w:sz w:val="24"/>
        </w:rPr>
        <w:t xml:space="preserve">(iii) Upon acceleration of the Loans, as provided in </w:t>
      </w:r>
      <w:r>
        <w:rPr>
          <w:rFonts w:ascii="Times New Roman" w:hAnsi="Times New Roman"/>
          <w:sz w:val="24"/>
          <w:u w:val="single"/>
        </w:rPr>
        <w:t>Section 8.2(a)</w:t>
      </w:r>
      <w:r>
        <w:rPr>
          <w:rFonts w:ascii="Times New Roman" w:hAnsi="Times New Roman"/>
          <w:sz w:val="24"/>
        </w:rPr>
        <w:t xml:space="preserve"> or </w:t>
      </w:r>
      <w:r>
        <w:rPr>
          <w:rFonts w:ascii="Times New Roman" w:hAnsi="Times New Roman"/>
          <w:sz w:val="24"/>
          <w:u w:val="single"/>
        </w:rPr>
        <w:t>(b)</w:t>
      </w:r>
      <w:r>
        <w:rPr>
          <w:rFonts w:ascii="Times New Roman" w:hAnsi="Times New Roman"/>
          <w:sz w:val="24"/>
        </w:rPr>
        <w:t xml:space="preserve"> hereof, the Administrative Agent, the Issuing Banks and the Lenders shall have all of the post-default rights granted to them, or any of them, as applicable under the Loan Documents and under Applicable Law. </w:t>
      </w:r>
    </w:p>
    <w:p>
      <w:pPr>
        <w:pStyle w:val="TextBody"/>
        <w:bidi w:val="0"/>
        <w:spacing w:before="240" w:after="0"/>
        <w:jc w:val="both"/>
        <w:rPr>
          <w:rFonts w:ascii="Times New Roman" w:hAnsi="Times New Roman"/>
          <w:sz w:val="24"/>
        </w:rPr>
      </w:pPr>
      <w:r>
        <w:rPr>
          <w:rFonts w:ascii="Times New Roman" w:hAnsi="Times New Roman"/>
          <w:sz w:val="24"/>
        </w:rPr>
        <w:t xml:space="preserve">(iv) The rights and remedies of the Administrative Agent, the Issuing Banks and the Lenders hereunder shall be cumulative, and not exclusive. </w:t>
      </w:r>
    </w:p>
    <w:p>
      <w:pPr>
        <w:pStyle w:val="TextBody"/>
        <w:bidi w:val="0"/>
        <w:spacing w:before="240" w:after="0"/>
        <w:jc w:val="both"/>
        <w:rPr>
          <w:rFonts w:ascii="Times New Roman" w:hAnsi="Times New Roman"/>
          <w:sz w:val="24"/>
        </w:rPr>
      </w:pPr>
      <w:r>
        <w:rPr>
          <w:rFonts w:ascii="Times New Roman" w:hAnsi="Times New Roman"/>
          <w:sz w:val="24"/>
        </w:rPr>
        <w:t xml:space="preserve">(v) In the event that the Administrative Agent establishes a cash collateral account as contemplated by this Section 8.2, the Administrative Agent shall invest all funds in demand deposit bank accounts in U.S. financial institutions that are either member banks of the Federal Reserve system or state-chartered banks regulated by the FDIC. The Company hereby acknowledges and agrees that any interest earned on such funds shall be retained by the Administrative Agent as additional collateral for the Obligations. Upon satisfaction in full of all Obligations and the termination of the Commitments, the Administrative Agent shall pay any amounts then held in such account to the Company. </w:t>
      </w:r>
    </w:p>
    <w:p>
      <w:pPr>
        <w:pStyle w:val="TextBody"/>
        <w:bidi w:val="0"/>
        <w:spacing w:before="240" w:after="0"/>
        <w:jc w:val="both"/>
        <w:rPr>
          <w:rFonts w:ascii="Times New Roman" w:hAnsi="Times New Roman"/>
          <w:sz w:val="24"/>
        </w:rPr>
      </w:pPr>
      <w:r>
        <w:rPr>
          <w:rFonts w:ascii="Times New Roman" w:hAnsi="Times New Roman"/>
          <w:sz w:val="24"/>
        </w:rPr>
        <w:t>Section 8.3 </w:t>
      </w:r>
      <w:r>
        <w:rPr>
          <w:rFonts w:ascii="Times New Roman" w:hAnsi="Times New Roman"/>
          <w:sz w:val="24"/>
          <w:u w:val="single"/>
        </w:rPr>
        <w:t>Payments Subsequent to Declaration of Event of Default</w:t>
      </w:r>
      <w:r>
        <w:rPr>
          <w:rFonts w:ascii="Times New Roman" w:hAnsi="Times New Roman"/>
          <w:sz w:val="24"/>
        </w:rPr>
        <w:t xml:space="preserve">. Subsequent to the acceleration of the Loans under </w:t>
      </w:r>
      <w:r>
        <w:rPr>
          <w:rFonts w:ascii="Times New Roman" w:hAnsi="Times New Roman"/>
          <w:sz w:val="24"/>
          <w:u w:val="single"/>
        </w:rPr>
        <w:t>Section 8.2</w:t>
      </w:r>
      <w:r>
        <w:rPr>
          <w:rFonts w:ascii="Times New Roman" w:hAnsi="Times New Roman"/>
          <w:sz w:val="24"/>
        </w:rPr>
        <w:t xml:space="preserve"> hereof, payments and prepayments (but, for the avoidance of doubt, not Cash Collateral) under this Agreement made to the Administrative Agent, the Issuing Banks and the Lenders or otherwise received by any of such Persons shall be paid over to the Administrative Agent (if necessary) and distributed by the Administrative Agent as follows: </w:t>
      </w:r>
      <w:r>
        <w:rPr>
          <w:rFonts w:ascii="Times New Roman" w:hAnsi="Times New Roman"/>
          <w:sz w:val="24"/>
          <w:u w:val="single"/>
        </w:rPr>
        <w:t>first</w:t>
      </w:r>
      <w:r>
        <w:rPr>
          <w:rFonts w:ascii="Times New Roman" w:hAnsi="Times New Roman"/>
          <w:sz w:val="24"/>
        </w:rPr>
        <w:t xml:space="preserve">, to the Administrative Agent’s, Lenders’ and Issuing Banks’ reasonable costs and expenses, if any, incurred in connection with the collection of such payment or prepayment, including, without limitation, all amounts under </w:t>
      </w:r>
      <w:r>
        <w:rPr>
          <w:rFonts w:ascii="Times New Roman" w:hAnsi="Times New Roman"/>
          <w:sz w:val="24"/>
          <w:u w:val="single"/>
        </w:rPr>
        <w:t>Section 12.2(b)</w:t>
      </w:r>
      <w:r>
        <w:rPr>
          <w:rFonts w:ascii="Times New Roman" w:hAnsi="Times New Roman"/>
          <w:sz w:val="24"/>
        </w:rPr>
        <w:t xml:space="preserve"> hereof; </w:t>
      </w:r>
      <w:r>
        <w:rPr>
          <w:rFonts w:ascii="Times New Roman" w:hAnsi="Times New Roman"/>
          <w:sz w:val="24"/>
          <w:u w:val="single"/>
        </w:rPr>
        <w:t>second</w:t>
      </w:r>
      <w:r>
        <w:rPr>
          <w:rFonts w:ascii="Times New Roman" w:hAnsi="Times New Roman"/>
          <w:sz w:val="24"/>
        </w:rPr>
        <w:t xml:space="preserve">, to the Administrative Agent and the Issuing Banks for any fees hereunder or under any of the other Loan Documents then due and payable; </w:t>
      </w:r>
      <w:r>
        <w:rPr>
          <w:rFonts w:ascii="Times New Roman" w:hAnsi="Times New Roman"/>
          <w:sz w:val="24"/>
          <w:u w:val="single"/>
        </w:rPr>
        <w:t>third</w:t>
      </w:r>
      <w:r>
        <w:rPr>
          <w:rFonts w:ascii="Times New Roman" w:hAnsi="Times New Roman"/>
          <w:sz w:val="24"/>
        </w:rPr>
        <w:t xml:space="preserve">, to the Lenders pro rata on the basis of their respective unpaid principal amounts (except as provided in </w:t>
      </w:r>
      <w:r>
        <w:rPr>
          <w:rFonts w:ascii="Times New Roman" w:hAnsi="Times New Roman"/>
          <w:sz w:val="24"/>
          <w:u w:val="single"/>
        </w:rPr>
        <w:t>Section 2.2(e)</w:t>
      </w:r>
      <w:r>
        <w:rPr>
          <w:rFonts w:ascii="Times New Roman" w:hAnsi="Times New Roman"/>
          <w:sz w:val="24"/>
        </w:rPr>
        <w:t xml:space="preserve"> hereof), for the payment of any unpaid interest which may have accrued on the Obligations and any fees hereunder or under any of the other Loan Documents then due and payable; </w:t>
      </w:r>
      <w:r>
        <w:rPr>
          <w:rFonts w:ascii="Times New Roman" w:hAnsi="Times New Roman"/>
          <w:sz w:val="24"/>
          <w:u w:val="single"/>
        </w:rPr>
        <w:t>fourth</w:t>
      </w:r>
      <w:r>
        <w:rPr>
          <w:rFonts w:ascii="Times New Roman" w:hAnsi="Times New Roman"/>
          <w:sz w:val="24"/>
        </w:rPr>
        <w:t xml:space="preserve">, to the Lenders pro rata until all Loans have been paid in full and participations in the Letters of Credit purchased by the Lenders pursuant to </w:t>
      </w:r>
      <w:r>
        <w:rPr>
          <w:rFonts w:ascii="Times New Roman" w:hAnsi="Times New Roman"/>
          <w:sz w:val="24"/>
          <w:u w:val="single"/>
        </w:rPr>
        <w:t>Section 2.13(d)</w:t>
      </w:r>
      <w:r>
        <w:rPr>
          <w:rFonts w:ascii="Times New Roman" w:hAnsi="Times New Roman"/>
          <w:sz w:val="24"/>
        </w:rPr>
        <w:t xml:space="preserve"> hereof shall be paid on a pro rata basis with the Loans), for the payment of the Loans (including the aforementioned obligations under Hedge Agreements and participations in the Letters of Credit); </w:t>
      </w:r>
      <w:r>
        <w:rPr>
          <w:rFonts w:ascii="Times New Roman" w:hAnsi="Times New Roman"/>
          <w:sz w:val="24"/>
          <w:u w:val="single"/>
        </w:rPr>
        <w:t>fifth</w:t>
      </w:r>
      <w:r>
        <w:rPr>
          <w:rFonts w:ascii="Times New Roman" w:hAnsi="Times New Roman"/>
          <w:sz w:val="24"/>
        </w:rPr>
        <w:t xml:space="preserve">, to the Lenders pro rata on the basis of their respective unpaid amounts,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for the payment of any other unpaid Obligations; and </w:t>
      </w:r>
      <w:r>
        <w:rPr>
          <w:rFonts w:ascii="Times New Roman" w:hAnsi="Times New Roman"/>
          <w:sz w:val="24"/>
          <w:u w:val="single"/>
        </w:rPr>
        <w:t>sixth</w:t>
      </w:r>
      <w:r>
        <w:rPr>
          <w:rFonts w:ascii="Times New Roman" w:hAnsi="Times New Roman"/>
          <w:sz w:val="24"/>
        </w:rPr>
        <w:t xml:space="preserve">, to the Company or as otherwise required by Applicable Law. </w:t>
      </w:r>
    </w:p>
    <w:p>
      <w:pPr>
        <w:pStyle w:val="TextBody"/>
        <w:bidi w:val="0"/>
        <w:spacing w:before="240" w:after="0"/>
        <w:jc w:val="center"/>
        <w:rPr>
          <w:rFonts w:ascii="Times New Roman" w:hAnsi="Times New Roman"/>
          <w:sz w:val="24"/>
        </w:rPr>
      </w:pPr>
      <w:r>
        <w:rPr>
          <w:rFonts w:ascii="Times New Roman" w:hAnsi="Times New Roman"/>
          <w:sz w:val="24"/>
        </w:rPr>
        <w:t xml:space="preserve">ARTICLE 9 - THE ADMINISTRATIVE AGENT </w:t>
      </w:r>
    </w:p>
    <w:p>
      <w:pPr>
        <w:pStyle w:val="TextBody"/>
        <w:bidi w:val="0"/>
        <w:spacing w:before="240" w:after="0"/>
        <w:jc w:val="both"/>
        <w:rPr>
          <w:rFonts w:ascii="Times New Roman" w:hAnsi="Times New Roman"/>
          <w:sz w:val="24"/>
        </w:rPr>
      </w:pPr>
      <w:r>
        <w:rPr>
          <w:rFonts w:ascii="Times New Roman" w:hAnsi="Times New Roman"/>
          <w:sz w:val="24"/>
        </w:rPr>
        <w:t>Section 9.1 </w:t>
      </w:r>
      <w:r>
        <w:rPr>
          <w:rFonts w:ascii="Times New Roman" w:hAnsi="Times New Roman"/>
          <w:sz w:val="24"/>
          <w:u w:val="single"/>
        </w:rPr>
        <w:t>Appointment and Authorization</w:t>
      </w:r>
      <w:r>
        <w:rPr>
          <w:rFonts w:ascii="Times New Roman" w:hAnsi="Times New Roman"/>
          <w:sz w:val="24"/>
        </w:rPr>
        <w:t xml:space="preserve">. Each of the Lenders and the Issuing Banks hereby irrevocably appoints Toronto Dominion (Texas)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Banks, and the Borrower shall not have rights as a third party beneficiary of any of such provisions. </w:t>
      </w:r>
    </w:p>
    <w:p>
      <w:pPr>
        <w:pStyle w:val="TextBody"/>
        <w:bidi w:val="0"/>
        <w:spacing w:before="240" w:after="0"/>
        <w:jc w:val="both"/>
        <w:rPr>
          <w:rFonts w:ascii="Times New Roman" w:hAnsi="Times New Roman"/>
          <w:sz w:val="24"/>
        </w:rPr>
      </w:pPr>
      <w:r>
        <w:rPr>
          <w:rFonts w:ascii="Times New Roman" w:hAnsi="Times New Roman"/>
          <w:sz w:val="24"/>
        </w:rPr>
        <w:t>Section 9.2 </w:t>
      </w:r>
      <w:r>
        <w:rPr>
          <w:rFonts w:ascii="Times New Roman" w:hAnsi="Times New Roman"/>
          <w:sz w:val="24"/>
          <w:u w:val="single"/>
        </w:rPr>
        <w:t>Rights as a Lender</w:t>
      </w:r>
      <w:r>
        <w:rPr>
          <w:rFonts w:ascii="Times New Roman" w:hAnsi="Times New Roman"/>
          <w:sz w:val="24"/>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 </w:t>
      </w:r>
    </w:p>
    <w:p>
      <w:pPr>
        <w:pStyle w:val="TextBody"/>
        <w:bidi w:val="0"/>
        <w:spacing w:before="240" w:after="0"/>
        <w:jc w:val="both"/>
        <w:rPr>
          <w:rFonts w:ascii="Times New Roman" w:hAnsi="Times New Roman"/>
          <w:sz w:val="24"/>
        </w:rPr>
      </w:pPr>
      <w:r>
        <w:rPr>
          <w:rFonts w:ascii="Times New Roman" w:hAnsi="Times New Roman"/>
          <w:sz w:val="24"/>
        </w:rPr>
        <w:t>Section 9.3 </w:t>
      </w:r>
      <w:r>
        <w:rPr>
          <w:rFonts w:ascii="Times New Roman" w:hAnsi="Times New Roman"/>
          <w:sz w:val="24"/>
          <w:u w:val="single"/>
        </w:rPr>
        <w:t>Exculpatory Provisions</w:t>
      </w:r>
      <w:r>
        <w:rPr>
          <w:rFonts w:ascii="Times New Roman" w:hAnsi="Times New Roman"/>
          <w:sz w:val="24"/>
        </w:rPr>
        <w:t xml:space="preserve">. The Administrative Agent shall not have any duties or obligations except those expressly set forth herein and in the other Loan Documents. Without limiting the generality of the foregoing,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(i) shall not be subject to any fiduciary or other implied duties, regardless of whether a Default has occurred and is continuing; </w:t>
      </w:r>
    </w:p>
    <w:p>
      <w:pPr>
        <w:pStyle w:val="TextBody"/>
        <w:bidi w:val="0"/>
        <w:spacing w:before="240" w:after="0"/>
        <w:jc w:val="both"/>
        <w:rPr>
          <w:rFonts w:ascii="Times New Roman" w:hAnsi="Times New Roman"/>
          <w:sz w:val="24"/>
        </w:rPr>
      </w:pPr>
      <w:r>
        <w:rPr>
          <w:rFonts w:ascii="Times New Roman" w:hAnsi="Times New Roman"/>
          <w:sz w:val="24"/>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shall be expressly provided for herein or in the other Loan Documents), </w:t>
      </w:r>
      <w:r>
        <w:rPr>
          <w:rFonts w:ascii="Times New Roman" w:hAnsi="Times New Roman"/>
          <w:sz w:val="24"/>
          <w:u w:val="single"/>
        </w:rPr>
        <w:t>provided</w:t>
      </w:r>
      <w:r>
        <w:rPr>
          <w:rFonts w:ascii="Times New Roman" w:hAnsi="Times New Roman"/>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w:t>
      </w:r>
    </w:p>
    <w:p>
      <w:pPr>
        <w:pStyle w:val="TextBody"/>
        <w:bidi w:val="0"/>
        <w:spacing w:before="240" w:after="0"/>
        <w:jc w:val="both"/>
        <w:rPr>
          <w:rFonts w:ascii="Times New Roman" w:hAnsi="Times New Roman"/>
          <w:sz w:val="24"/>
        </w:rPr>
      </w:pPr>
      <w:r>
        <w:rPr>
          <w:rFonts w:ascii="Times New Roman" w:hAnsi="Times New Roman"/>
          <w:sz w:val="24"/>
        </w:rPr>
        <w:t xml:space="preserve">(iii) shall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Administrative Agent or any of its Affiliates in any capacity.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Administrative Agent shall not be liable for any action taken or not taken by it (i) with the consent or at the request of the Majority Lenders (or such other number or percentage of the Lenders as shall be necessary, or as the Administrative Agent shall believe in good faith shall be necessary, under the circumstances as provided in </w:t>
      </w:r>
      <w:r>
        <w:rPr>
          <w:rFonts w:ascii="Times New Roman" w:hAnsi="Times New Roman"/>
          <w:sz w:val="24"/>
          <w:u w:val="single"/>
        </w:rPr>
        <w:t>Sections 12.12</w:t>
      </w:r>
      <w:r>
        <w:rPr>
          <w:rFonts w:ascii="Times New Roman" w:hAnsi="Times New Roman"/>
          <w:sz w:val="24"/>
        </w:rPr>
        <w:t xml:space="preserve"> and </w:t>
      </w:r>
      <w:r>
        <w:rPr>
          <w:rFonts w:ascii="Times New Roman" w:hAnsi="Times New Roman"/>
          <w:sz w:val="24"/>
          <w:u w:val="single"/>
        </w:rPr>
        <w:t>8.2</w:t>
      </w:r>
      <w:r>
        <w:rPr>
          <w:rFonts w:ascii="Times New Roman" w:hAnsi="Times New Roman"/>
          <w:sz w:val="24"/>
        </w:rPr>
        <w:t xml:space="preserve">) or (ii) in the absence of its own gross negligence or willful misconduct. The Administrative Agent shall be deemed not to have knowledge of any Default unless and until notice describing such Default is given to the Administrative Agent by the Company, a Lender, the Swingline Lender or an Issuing Bank. </w:t>
      </w:r>
    </w:p>
    <w:p>
      <w:pPr>
        <w:pStyle w:val="TextBody"/>
        <w:bidi w:val="0"/>
        <w:spacing w:before="240" w:after="0"/>
        <w:jc w:val="both"/>
        <w:rPr>
          <w:rFonts w:ascii="Times New Roman" w:hAnsi="Times New Roman"/>
          <w:sz w:val="24"/>
        </w:rPr>
      </w:pPr>
      <w:r>
        <w:rPr>
          <w:rFonts w:ascii="Times New Roman" w:hAnsi="Times New Roman"/>
          <w:sz w:val="24"/>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hAnsi="Times New Roman"/>
          <w:sz w:val="24"/>
          <w:u w:val="single"/>
        </w:rPr>
        <w:t>Article 3</w:t>
      </w:r>
      <w:r>
        <w:rPr>
          <w:rFonts w:ascii="Times New Roman" w:hAnsi="Times New Roman"/>
          <w:sz w:val="24"/>
        </w:rPr>
        <w:t xml:space="preserve"> or elsewhere herein, other than to confirm receipt of items expressly required to be delivered to the Administrative Agent. </w:t>
      </w:r>
    </w:p>
    <w:p>
      <w:pPr>
        <w:pStyle w:val="TextBody"/>
        <w:bidi w:val="0"/>
        <w:spacing w:before="240" w:after="0"/>
        <w:jc w:val="both"/>
        <w:rPr>
          <w:rFonts w:ascii="Times New Roman" w:hAnsi="Times New Roman"/>
          <w:sz w:val="24"/>
        </w:rPr>
      </w:pPr>
      <w:r>
        <w:rPr>
          <w:rFonts w:ascii="Times New Roman" w:hAnsi="Times New Roman"/>
          <w:sz w:val="24"/>
        </w:rPr>
        <w:t>Section 9.4 </w:t>
      </w:r>
      <w:r>
        <w:rPr>
          <w:rFonts w:ascii="Times New Roman" w:hAnsi="Times New Roman"/>
          <w:sz w:val="24"/>
          <w:u w:val="single"/>
        </w:rPr>
        <w:t>Reliance by Administrative Agent</w:t>
      </w:r>
      <w:r>
        <w:rPr>
          <w:rFonts w:ascii="Times New Roman" w:hAnsi="Times New Roman"/>
          <w:sz w:val="24"/>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both"/>
        <w:rPr>
          <w:rFonts w:ascii="Times New Roman" w:hAnsi="Times New Roman"/>
          <w:sz w:val="24"/>
        </w:rPr>
      </w:pPr>
      <w:r>
        <w:rPr>
          <w:rFonts w:ascii="Times New Roman" w:hAnsi="Times New Roman"/>
          <w:sz w:val="24"/>
        </w:rPr>
        <w:t>Section 9.5 </w:t>
      </w:r>
      <w:r>
        <w:rPr>
          <w:rFonts w:ascii="Times New Roman" w:hAnsi="Times New Roman"/>
          <w:sz w:val="24"/>
          <w:u w:val="single"/>
        </w:rPr>
        <w:t>Resignation of Administrative Agent</w:t>
      </w:r>
      <w:r>
        <w:rPr>
          <w:rFonts w:ascii="Times New Roman" w:hAnsi="Times New Roman"/>
          <w:sz w:val="24"/>
        </w:rPr>
        <w:t>. (i) The Administrative Agent may at any time give notice of its resignation to the Lenders, the Issuing Banks and the Company. Upon receipt of any such notice of resignation, the Majority Lenders shall have the right to appoint a successor, which shall (i) be a bank with (A) an office in the United States, or an Affiliate of a bank with an office in the United States, and (B) combined capital and reserves in excess of $250,000,000 (clauses (A) and (B) together, the “</w:t>
      </w:r>
      <w:r>
        <w:rPr>
          <w:rFonts w:ascii="Times New Roman" w:hAnsi="Times New Roman"/>
          <w:sz w:val="24"/>
          <w:u w:val="single"/>
        </w:rPr>
        <w:t>Agent Qualifications</w:t>
      </w:r>
      <w:r>
        <w:rPr>
          <w:rFonts w:ascii="Times New Roman" w:hAnsi="Times New Roman"/>
          <w:sz w:val="24"/>
        </w:rPr>
        <w:t>”) and (ii) so long as no Event of Default is continuing, be reasonably acceptable to Company. If no such successor shall have been so appointed by the Majority Lenders and shall have accepted such appointment within thirty (30) days after the retiring Administrative Agent gives notice of its resignation (the “</w:t>
      </w:r>
      <w:r>
        <w:rPr>
          <w:rFonts w:ascii="Times New Roman" w:hAnsi="Times New Roman"/>
          <w:sz w:val="24"/>
          <w:u w:val="single"/>
        </w:rPr>
        <w:t>Resignation Effective Date</w:t>
      </w:r>
      <w:r>
        <w:rPr>
          <w:rFonts w:ascii="Times New Roman" w:hAnsi="Times New Roman"/>
          <w:sz w:val="24"/>
        </w:rPr>
        <w:t xml:space="preserve">”), then the retiring Administrative Agent may (but shall not be obligated to), on behalf of the Lenders and the Issuing Banks and in consultation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Company, appoint a successor Administrative Agent meeting the Agent Qualifications. Whether or not a successor has been appointed, such resignation shall become effective in accordance with such notice on the Resignation Effective Date. </w:t>
      </w:r>
    </w:p>
    <w:p>
      <w:pPr>
        <w:pStyle w:val="TextBody"/>
        <w:bidi w:val="0"/>
        <w:spacing w:before="240" w:after="0"/>
        <w:jc w:val="both"/>
        <w:rPr>
          <w:rFonts w:ascii="Times New Roman" w:hAnsi="Times New Roman"/>
          <w:sz w:val="24"/>
        </w:rPr>
      </w:pPr>
      <w:r>
        <w:rPr>
          <w:rFonts w:ascii="Times New Roman" w:hAnsi="Times New Roman"/>
          <w:sz w:val="24"/>
        </w:rPr>
        <w:t>(ii) If the Person serving as Administrative Agent is a Defaulting Lender pursuant to clause (v) of the definition thereof, the Majority Lenders may, to the extent permitted by Applicable Law, by notice in writing to the Company and such Person remove such Person as Administrative Agent and appoint a successor Administrative Agent meeting the Agent Qualifications and which, so long as no Event of Default is continuing, is reasonably acceptable to Company. If no such successor shall have been so appointed by the Majority Lenders and shall have accepted such appointment within thirty (30) days (or such earlier day as shall be agreed by the Majority Lenders) (the “</w:t>
      </w:r>
      <w:r>
        <w:rPr>
          <w:rFonts w:ascii="Times New Roman" w:hAnsi="Times New Roman"/>
          <w:sz w:val="24"/>
          <w:u w:val="single"/>
        </w:rPr>
        <w:t>Removal Effective Date</w:t>
      </w:r>
      <w:r>
        <w:rPr>
          <w:rFonts w:ascii="Times New Roman" w:hAnsi="Times New Roman"/>
          <w:sz w:val="24"/>
        </w:rPr>
        <w:t xml:space="preserve">”), then such removal shall nonetheless become effective in accordance with such notice on the Removal Effective Date. </w:t>
      </w:r>
    </w:p>
    <w:p>
      <w:pPr>
        <w:pStyle w:val="TextBody"/>
        <w:bidi w:val="0"/>
        <w:spacing w:before="240" w:after="0"/>
        <w:jc w:val="both"/>
        <w:rPr>
          <w:rFonts w:ascii="Times New Roman" w:hAnsi="Times New Roman"/>
          <w:sz w:val="24"/>
        </w:rPr>
      </w:pPr>
      <w:r>
        <w:rPr>
          <w:rFonts w:ascii="Times New Roman" w:hAnsi="Times New Roman"/>
          <w:sz w:val="24"/>
        </w:rPr>
        <w:t xml:space="preserve">(iii) With effect from, as applicable, the Resignation Effective Date or the Removal Effective Date (1) the retiring Administrative Agent shall be discharged from its duties and obligations hereunder and under the other Loan Documents (except that in the case of any collateral security held by the Administrative Agent on behalf of the Lenders or the Issuing Banks under any of the Loan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and each Issuing Bank directly, until such time as the Majority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hAnsi="Times New Roman"/>
          <w:sz w:val="24"/>
          <w:u w:val="single"/>
        </w:rPr>
        <w:t>Sections 12.2</w:t>
      </w:r>
      <w:r>
        <w:rPr>
          <w:rFonts w:ascii="Times New Roman" w:hAnsi="Times New Roman"/>
          <w:sz w:val="24"/>
        </w:rPr>
        <w:t xml:space="preserve"> and </w:t>
      </w:r>
      <w:r>
        <w:rPr>
          <w:rFonts w:ascii="Times New Roman" w:hAnsi="Times New Roman"/>
          <w:sz w:val="24"/>
          <w:u w:val="single"/>
        </w:rPr>
        <w:t>12.5</w:t>
      </w:r>
      <w:r>
        <w:rPr>
          <w:rFonts w:ascii="Times New Roman" w:hAnsi="Times New Roman"/>
          <w:sz w:val="24"/>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(iv) Any resignation by Toronto Dominion (Texas) LLC as Administrative Agent pursuant to this Section shall also constitute the resignation of Toronto Dominion as an Issuing Bank and Swingline Lender. If Toronto Dominion resigns as Swingline Lender, it shall retain all the rights of the Swingline Lender provided for hereunder with respect to Swingline Loans made by it and outstanding as of the effective date of such resignation, including the right to require the Lenders to make Revolving Loans (in the form of Base Rate Advances) or fund risk participations in outstanding Swingline Loans pursuant to </w:t>
      </w:r>
      <w:r>
        <w:rPr>
          <w:rFonts w:ascii="Times New Roman" w:hAnsi="Times New Roman"/>
          <w:sz w:val="24"/>
          <w:u w:val="single"/>
        </w:rPr>
        <w:t>Section 2.17(c)</w:t>
      </w:r>
      <w:r>
        <w:rPr>
          <w:rFonts w:ascii="Times New Roman" w:hAnsi="Times New Roman"/>
          <w:sz w:val="24"/>
        </w:rPr>
        <w:t xml:space="preserve">. Upon the acceptance of a successor’s appointment as Administrative Agent hereunder, (i) such successor shall succeed to and become vested with all of the rights, powers, privileges and duties of the retiring Issuing Bank or Swingline Lender, as applicable, (ii) the retiring Issuing Bank and Swingline Lender shall be discharged from all of their respective duties and obligations hereunder or under the other Loan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240" w:after="0"/>
        <w:jc w:val="both"/>
        <w:rPr>
          <w:rFonts w:ascii="Times New Roman" w:hAnsi="Times New Roman"/>
          <w:sz w:val="24"/>
        </w:rPr>
      </w:pPr>
      <w:r>
        <w:rPr>
          <w:rFonts w:ascii="Times New Roman" w:hAnsi="Times New Roman"/>
          <w:sz w:val="24"/>
        </w:rPr>
        <w:t>Section 9.6 </w:t>
      </w:r>
      <w:r>
        <w:rPr>
          <w:rFonts w:ascii="Times New Roman" w:hAnsi="Times New Roman"/>
          <w:sz w:val="24"/>
          <w:u w:val="single"/>
        </w:rPr>
        <w:t>Non-Reliance on Administrative Agent and Other Lenders</w:t>
      </w:r>
      <w:r>
        <w:rPr>
          <w:rFonts w:ascii="Times New Roman" w:hAnsi="Times New Roman"/>
          <w:sz w:val="24"/>
        </w:rPr>
        <w:t xml:space="preserve">. 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both"/>
        <w:rPr>
          <w:rFonts w:ascii="Times New Roman" w:hAnsi="Times New Roman"/>
          <w:sz w:val="24"/>
        </w:rPr>
      </w:pPr>
      <w:r>
        <w:rPr>
          <w:rFonts w:ascii="Times New Roman" w:hAnsi="Times New Roman"/>
          <w:sz w:val="24"/>
        </w:rPr>
        <w:t>Section 9.7 </w:t>
      </w:r>
      <w:r>
        <w:rPr>
          <w:rFonts w:ascii="Times New Roman" w:hAnsi="Times New Roman"/>
          <w:sz w:val="24"/>
          <w:u w:val="single"/>
        </w:rPr>
        <w:t>Indemnification</w:t>
      </w:r>
      <w:r>
        <w:rPr>
          <w:rFonts w:ascii="Times New Roman" w:hAnsi="Times New Roman"/>
          <w:sz w:val="24"/>
        </w:rPr>
        <w:t xml:space="preserve">. The Lenders severally, and not jointly, agree to indemnify the Administrative Agent (to the extent not reimbursed by the Company but without effecting the Company’s obligations with respect thereto) pro rata according to their respective Commitment Ratios, from and against any and all liabilities, obligations, losses (other than the loss of principal, interest and fees hereunder in the event of a bankruptcy or out-of-court ‘work-out’ of the Loans), damages, penalties, actions, judgments, suits, or reasonable out-of-pocket costs, expenses (including, without limitation, fees and disbursements of experts, agents, consultants and counsel), or disbursements of any kind or nature whatsoever which may be imposed on, incurred by or asserted against the Administrative Agent in any way relating to or arising out of this Agreement, any other Loan Document, or any other document contemplated by this Agreement or any other Loan Document or any action taken or omitted by the Administrative Agent under this Agreement, any other Loan Document, or any other document contemplated by this Agreement, except that no Lender shall be liable to the Administrative Agent for any portion of such liabilities, obligations, losses, damages, penalties, actions, judgments, suits, or reasonable out-of-pocket costs, expenses or disbursements resulting from the gross negligence or willful misconduct of the Administrative Agent as determined by a final, non-appealable judicial order of a court having jurisdiction over the subject matter. </w:t>
      </w:r>
    </w:p>
    <w:p>
      <w:pPr>
        <w:pStyle w:val="TextBody"/>
        <w:bidi w:val="0"/>
        <w:spacing w:before="240" w:after="0"/>
        <w:jc w:val="both"/>
        <w:rPr>
          <w:rFonts w:ascii="Times New Roman" w:hAnsi="Times New Roman"/>
          <w:sz w:val="24"/>
        </w:rPr>
      </w:pPr>
      <w:r>
        <w:rPr>
          <w:rFonts w:ascii="Times New Roman" w:hAnsi="Times New Roman"/>
          <w:sz w:val="24"/>
        </w:rPr>
        <w:t>Section 9.8 </w:t>
      </w:r>
      <w:r>
        <w:rPr>
          <w:rFonts w:ascii="Times New Roman" w:hAnsi="Times New Roman"/>
          <w:sz w:val="24"/>
          <w:u w:val="single"/>
        </w:rPr>
        <w:t>No Responsibilities of the Agents</w:t>
      </w:r>
      <w:r>
        <w:rPr>
          <w:rFonts w:ascii="Times New Roman" w:hAnsi="Times New Roman"/>
          <w:sz w:val="24"/>
        </w:rPr>
        <w:t xml:space="preserve">. Notwithstanding any provision to the contrary contained elsewhere herein or in any other Loan Document, the Syndication Agent, the Joint Lead Arrangers and the Joint Bookrunners (as set forth on the cover page hereof) shall not have any duties or responsibilities, nor shall the Syndication Agent or any of the Joint Lead Arrangers or Joint Bookrunners have or be deemed to have any fiduciary relationship with any Lender or participant, and no implied covenants, functions, responsibilities, duties, obligations or liabilities shall be read into this Agreement or any other Loan Document or otherwise exist against the Syndication Agent or any of the Joint Lead Arrangers or Joint Bookrunners. </w:t>
      </w:r>
    </w:p>
    <w:p>
      <w:pPr>
        <w:pStyle w:val="TextBody"/>
        <w:bidi w:val="0"/>
        <w:spacing w:before="240" w:after="0"/>
        <w:jc w:val="both"/>
        <w:rPr>
          <w:rFonts w:ascii="Times New Roman" w:hAnsi="Times New Roman"/>
          <w:sz w:val="24"/>
        </w:rPr>
      </w:pPr>
      <w:r>
        <w:rPr>
          <w:rFonts w:ascii="Times New Roman" w:hAnsi="Times New Roman"/>
          <w:sz w:val="24"/>
        </w:rPr>
        <w:t>Section 9.9 </w:t>
      </w:r>
      <w:r>
        <w:rPr>
          <w:rFonts w:ascii="Times New Roman" w:hAnsi="Times New Roman"/>
          <w:sz w:val="24"/>
          <w:u w:val="single"/>
        </w:rPr>
        <w:t>Lender ERISA Matters</w:t>
      </w:r>
      <w:r>
        <w:rPr>
          <w:rFonts w:ascii="Times New Roman" w:hAnsi="Times New Roman"/>
          <w:sz w:val="24"/>
        </w:rPr>
        <w:t xml:space="preserve">. Each Lender represents and warrants as of the date hereof to the Administrative Agent and each Joint Lead Arranger and their respective Affiliates, and not, for the avoidance of doubt, for the benefit of the Borrower, that such Lender is not and will not be (i) an employee benefit plan subject to Title I of ERISA, (ii) a plan or account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subject to Section 4975 of the Internal Revenue Code; (iii) an entity deemed to hold “plan assets” of any such plans or accounts for purposes of ERISA or the Internal Revenue Code that is using “plan assets” of any such plans or accounts to fund or hold Loans or perform its obligations under this Agreement; or (iv) a “governmental plan” within the meaning of ERISA. </w:t>
      </w:r>
    </w:p>
    <w:p>
      <w:pPr>
        <w:pStyle w:val="TextBody"/>
        <w:bidi w:val="0"/>
        <w:spacing w:before="240" w:after="0"/>
        <w:jc w:val="both"/>
        <w:rPr>
          <w:rFonts w:ascii="Times New Roman" w:hAnsi="Times New Roman"/>
          <w:sz w:val="24"/>
        </w:rPr>
      </w:pPr>
      <w:r>
        <w:rPr>
          <w:rFonts w:ascii="Times New Roman" w:hAnsi="Times New Roman"/>
          <w:sz w:val="24"/>
        </w:rPr>
        <w:t>Section 9.10 </w:t>
      </w:r>
      <w:r>
        <w:rPr>
          <w:rFonts w:ascii="Times New Roman" w:hAnsi="Times New Roman"/>
          <w:sz w:val="24"/>
          <w:u w:val="single"/>
        </w:rPr>
        <w:t>Erroneous Payments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4"/>
          <w:u w:val="single"/>
        </w:rPr>
        <w:t>Payment</w:t>
      </w:r>
      <w:r>
        <w:rPr>
          <w:rFonts w:ascii="Times New Roman" w:hAnsi="Times New Roman"/>
          <w:sz w:val="24"/>
        </w:rPr>
        <w:t xml:space="preserve">”) were erroneously transmitted to such Lender (whether or not known to such Lender), and demands the return of such Payment (or a portion thereof), such Lender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9.10 shall be conclusive, absent manifest error. </w:t>
      </w:r>
    </w:p>
    <w:p>
      <w:pPr>
        <w:pStyle w:val="TextBody"/>
        <w:bidi w:val="0"/>
        <w:spacing w:before="240" w:after="0"/>
        <w:jc w:val="both"/>
        <w:rPr>
          <w:rFonts w:ascii="Times New Roman" w:hAnsi="Times New Roman"/>
          <w:sz w:val="24"/>
        </w:rPr>
      </w:pPr>
      <w:r>
        <w:rPr>
          <w:rFonts w:ascii="Times New Roman" w:hAnsi="Times New Roman"/>
          <w:sz w:val="24"/>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4"/>
          <w:u w:val="single"/>
        </w:rPr>
        <w:t>Payment Notice</w:t>
      </w:r>
      <w:r>
        <w:rPr>
          <w:rFonts w:ascii="Times New Roman" w:hAnsi="Times New Roman"/>
          <w:sz w:val="24"/>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a rate determined by the Administrative Agent in accordance with banking industry rules on interbank compensation from time to time in effect. </w:t>
      </w:r>
    </w:p>
    <w:p>
      <w:pPr>
        <w:pStyle w:val="TextBody"/>
        <w:bidi w:val="0"/>
        <w:spacing w:before="240" w:after="0"/>
        <w:jc w:val="both"/>
        <w:rPr>
          <w:rFonts w:ascii="Times New Roman" w:hAnsi="Times New Roman"/>
          <w:sz w:val="24"/>
        </w:rPr>
      </w:pPr>
      <w:r>
        <w:rPr>
          <w:rFonts w:ascii="Times New Roman" w:hAnsi="Times New Roman"/>
          <w:sz w:val="24"/>
        </w:rPr>
        <w:t xml:space="preserve">(iii) The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(iv) Each party’s obligations under this Section 9.10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240" w:after="0"/>
        <w:jc w:val="center"/>
        <w:rPr>
          <w:rFonts w:ascii="Times New Roman" w:hAnsi="Times New Roman"/>
          <w:sz w:val="24"/>
        </w:rPr>
      </w:pPr>
      <w:r>
        <w:rPr>
          <w:rFonts w:ascii="Times New Roman" w:hAnsi="Times New Roman"/>
          <w:sz w:val="24"/>
        </w:rPr>
        <w:t xml:space="preserve">ARTICLE 10 - CHANGES IN CIRCUMSTANCES </w:t>
      </w:r>
    </w:p>
    <w:p>
      <w:pPr>
        <w:pStyle w:val="TextBody"/>
        <w:bidi w:val="0"/>
        <w:spacing w:before="0" w:after="0"/>
        <w:jc w:val="center"/>
        <w:rPr>
          <w:rFonts w:ascii="Times New Roman" w:hAnsi="Times New Roman"/>
          <w:sz w:val="24"/>
        </w:rPr>
      </w:pPr>
      <w:r>
        <w:rPr>
          <w:rFonts w:ascii="Times New Roman" w:hAnsi="Times New Roman"/>
          <w:sz w:val="24"/>
        </w:rPr>
        <w:t xml:space="preserve">AFFECTING TERM RATE ADVANCES AND INCREASED COSTS </w:t>
      </w:r>
    </w:p>
    <w:p>
      <w:pPr>
        <w:pStyle w:val="TextBody"/>
        <w:bidi w:val="0"/>
        <w:spacing w:before="240" w:after="0"/>
        <w:jc w:val="both"/>
        <w:rPr>
          <w:rFonts w:ascii="Times New Roman" w:hAnsi="Times New Roman"/>
          <w:sz w:val="24"/>
        </w:rPr>
      </w:pPr>
      <w:r>
        <w:rPr>
          <w:rFonts w:ascii="Times New Roman" w:hAnsi="Times New Roman"/>
          <w:sz w:val="24"/>
        </w:rPr>
        <w:t>Section 10.1 </w:t>
      </w:r>
      <w:r>
        <w:rPr>
          <w:rFonts w:ascii="Times New Roman" w:hAnsi="Times New Roman"/>
          <w:sz w:val="24"/>
          <w:u w:val="single"/>
        </w:rPr>
        <w:t>Interest Rate Basis Determination Inadequate or Unfair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(i) Inability to Determine Rates. Subject to clauses (b), (c), (d), (e) and (f) of this Section 10.1, if with respect to any proposed Term Rate Advance or SONIA Rate Advance for any Interest Period, </w:t>
      </w:r>
    </w:p>
    <w:p>
      <w:pPr>
        <w:pStyle w:val="TextBody"/>
        <w:bidi w:val="0"/>
        <w:spacing w:before="120" w:after="0"/>
        <w:jc w:val="both"/>
        <w:rPr>
          <w:rFonts w:ascii="Times New Roman" w:hAnsi="Times New Roman"/>
          <w:sz w:val="24"/>
        </w:rPr>
      </w:pPr>
      <w:r>
        <w:rPr>
          <w:rFonts w:ascii="Times New Roman" w:hAnsi="Times New Roman"/>
          <w:sz w:val="24"/>
        </w:rPr>
        <w:t xml:space="preserve">(a) the Administrative Agent determines (which determination shall be conclusive and binding absent manifest error) that: </w:t>
      </w:r>
    </w:p>
    <w:p>
      <w:pPr>
        <w:pStyle w:val="TextBody"/>
        <w:bidi w:val="0"/>
        <w:spacing w:before="240" w:after="0"/>
        <w:jc w:val="both"/>
        <w:rPr>
          <w:rFonts w:ascii="Times New Roman" w:hAnsi="Times New Roman"/>
          <w:sz w:val="24"/>
        </w:rPr>
      </w:pPr>
      <w:r>
        <w:rPr>
          <w:rFonts w:ascii="Times New Roman" w:hAnsi="Times New Roman"/>
          <w:sz w:val="24"/>
        </w:rPr>
        <w:t xml:space="preserve">(1) if the SONIA Rate is utilized in any calculations hereunder or under any other Loan Document with respect to any Obligations, interest, fees, commissions or other amounts, “the SONIA Rate” cannot be determined pursuant to the definition thereof or (B) if </w:t>
      </w:r>
      <w:r>
        <w:rPr>
          <w:rFonts w:ascii="Times New Roman" w:hAnsi="Times New Roman"/>
          <w:strike/>
          <w:color w:val="FF0000"/>
          <w:sz w:val="24"/>
        </w:rPr>
        <w:t xml:space="preserve">Adjusted </w:t>
      </w:r>
      <w:r>
        <w:rPr>
          <w:rFonts w:ascii="Times New Roman" w:hAnsi="Times New Roman"/>
          <w:sz w:val="24"/>
        </w:rPr>
        <w:t>Term SOFR or any other Term Rate is utilized in any calculations hereunder or under any other Loan Document with respect to any Obligations, interest, fees, commissions or other amounts, “</w:t>
      </w:r>
      <w:r>
        <w:rPr>
          <w:rFonts w:ascii="Times New Roman" w:hAnsi="Times New Roman"/>
          <w:strike/>
          <w:color w:val="FF0000"/>
          <w:sz w:val="24"/>
        </w:rPr>
        <w:t xml:space="preserve">Adjusted </w:t>
      </w:r>
      <w:r>
        <w:rPr>
          <w:rFonts w:ascii="Times New Roman" w:hAnsi="Times New Roman"/>
          <w:sz w:val="24"/>
        </w:rPr>
        <w:t xml:space="preserve">Term SOFR” or such “Term Rate”, as applicable, cannot be determined pursuant to the definition thereof on or prior to the first day of any Interest Period; or </w:t>
      </w:r>
    </w:p>
    <w:p>
      <w:pPr>
        <w:pStyle w:val="TextBody"/>
        <w:bidi w:val="0"/>
        <w:spacing w:before="240" w:after="0"/>
        <w:jc w:val="both"/>
        <w:rPr>
          <w:rFonts w:ascii="Times New Roman" w:hAnsi="Times New Roman"/>
          <w:sz w:val="24"/>
        </w:rPr>
      </w:pPr>
      <w:r>
        <w:rPr>
          <w:rFonts w:ascii="Times New Roman" w:hAnsi="Times New Roman"/>
          <w:sz w:val="24"/>
        </w:rPr>
        <w:t xml:space="preserve">(2) with respect to any such Loan denominated in an Agreed Currency, a fundamental change has occurred in the foreign exchange or interbank markets with respect to such Alternative Currency (including changes in national or international financial, political or economic conditions or currency exchange rates or exchange controls; </w:t>
      </w:r>
    </w:p>
    <w:p>
      <w:pPr>
        <w:pStyle w:val="TextBody"/>
        <w:bidi w:val="0"/>
        <w:spacing w:before="240" w:after="0"/>
        <w:jc w:val="both"/>
        <w:rPr>
          <w:rFonts w:ascii="Times New Roman" w:hAnsi="Times New Roman"/>
          <w:sz w:val="24"/>
        </w:rPr>
      </w:pPr>
      <w:r>
        <w:rPr>
          <w:rFonts w:ascii="Times New Roman" w:hAnsi="Times New Roman"/>
          <w:sz w:val="24"/>
        </w:rPr>
        <w:t xml:space="preserve">(b) with respect to any Term Rate Loan or any request therefor or a conversion thereto or a continuation thereof, the Majority Lenders determine (which determination shall be conclusive and binding absent manifest error) that deposits in the applicable Agreed Currency are not being offered to banks in the applicable offshore interbank market for the applicable Agreed Currency, amount or Interest Period of such Term Rate Loan, and the Majority Lenders have provided notice of such determination to the Administrative Agent; or </w:t>
      </w:r>
    </w:p>
    <w:p>
      <w:pPr>
        <w:pStyle w:val="TextBody"/>
        <w:bidi w:val="0"/>
        <w:spacing w:before="240" w:after="0"/>
        <w:jc w:val="both"/>
        <w:rPr>
          <w:rFonts w:ascii="Times New Roman" w:hAnsi="Times New Roman"/>
          <w:sz w:val="24"/>
        </w:rPr>
      </w:pPr>
      <w:r>
        <w:rPr>
          <w:rFonts w:ascii="Times New Roman" w:hAnsi="Times New Roman"/>
          <w:sz w:val="24"/>
        </w:rPr>
        <w:t xml:space="preserve">(c) the Majority Lenders determine that for any reason in connection with any request for such Loan or a conversion thereto or a continuation thereof that (x) if the SONIA Rate is utilized in any calculations hereunder or under any other Loan Document with respect to any Obligations, interest, fees, commissions or other amounts, the SONIA Rate does not adequately and fairly reflect the cost to such Lenders of making or maintaining such Loans or (y) if </w:t>
      </w:r>
      <w:r>
        <w:rPr>
          <w:rFonts w:ascii="Times New Roman" w:hAnsi="Times New Roman"/>
          <w:strike/>
          <w:color w:val="FF0000"/>
          <w:sz w:val="24"/>
        </w:rPr>
        <w:t>Adjusted</w:t>
      </w:r>
      <w:r>
        <w:rPr>
          <w:rFonts w:ascii="Times New Roman" w:hAnsi="Times New Roman"/>
          <w:sz w:val="24"/>
        </w:rPr>
        <w:t xml:space="preserve"> Term SOFR or if any other Term Rate is utilized in any calculations hereunder or under any other Loan Document with respect to any Obligations, interest, fees, commissions or other amounts, </w:t>
      </w:r>
      <w:r>
        <w:rPr>
          <w:rFonts w:ascii="Times New Roman" w:hAnsi="Times New Roman"/>
          <w:strike/>
          <w:color w:val="FF0000"/>
          <w:sz w:val="24"/>
        </w:rPr>
        <w:t xml:space="preserve">Adjusted </w:t>
      </w:r>
      <w:r>
        <w:rPr>
          <w:rFonts w:ascii="Times New Roman" w:hAnsi="Times New Roman"/>
          <w:sz w:val="24"/>
        </w:rPr>
        <w:t xml:space="preserve">Term SOFR or such Term Rate, as applicable, does not adequately and fairly reflect the cost to such Lenders of making or maintaining such Loan during the applicable Interest Period, and, in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case of (x) or (y), the Majority Lenders have provided notice of such determination to the Administrative Agent, </w:t>
      </w:r>
    </w:p>
    <w:p>
      <w:pPr>
        <w:pStyle w:val="TextBody"/>
        <w:bidi w:val="0"/>
        <w:spacing w:before="240" w:after="0"/>
        <w:jc w:val="both"/>
        <w:rPr>
          <w:rFonts w:ascii="Times New Roman" w:hAnsi="Times New Roman"/>
          <w:sz w:val="24"/>
        </w:rPr>
      </w:pPr>
      <w:r>
        <w:rPr>
          <w:rFonts w:ascii="Times New Roman" w:hAnsi="Times New Roman"/>
          <w:sz w:val="24"/>
        </w:rPr>
        <w:t>then, in each case, the Administrative Agent will promptly so notify the Borrower and each Lender. Upon notice thereof by the Administrative Agent to the Borrower, any obligation of the Lenders to make SONIA Rate Advances or Term Rate Loans, as applicable, in each such Agreed Currency, and any right of any Borrower to convert any Loan in each such Agreed Currency (if applicable) to or continue any Loan as a SONIA Rate Advance or a Term Rate Loan, as applicable, in each such Agreed Currency, shall be suspended (to the extent of the affected SONIA Rate Advances or Term Rate Loans or, in the case of any Term Rate Loans, the affected Interest Periods) until the Administrative Agent (with respect to clause (ii) or (iii), at the instruction of the Majority Lenders) revokes such notice. Upon receipt of such notice, (A) the Borrower may revoke any pending request for a borrowing of, conversion to or continuation of SONIA Rate Advances or Term Rate Loans in each such affected Agreed Currency (to the extent of the affected SONIA Rate Advances or Term Rate Loans or, in the case of Term Rate Loans, the affected Interest Periods) or, failing that, (I) in the case of any request for an affected Term SOFR Borrowing in Dollars, the Borrower will be deemed to have converted any such request into a request for a Borrowing of or conversion to Base Rate Loans in the amount specified therein and (II) in the case of any request for an affected borrowing in an Agreed Currency, then such request shall be ineffective and (B)(I) any outstanding affected SOFR Loans will be deemed to have been converted into Base Rate Loans at the end of the applicable Interest Period and (II) any outstanding affected Loans denominated in an Agreed Currency, at the Borrower’s election, shall either (1) be converted into Base Rate Loans denominated in Dollars (in an amount equal to the Dollar Equivalent of such Agreed Currency) immediately or, in the case of Term Rate Loans, at the end of the applicable Interest Period or (2) be prepaid in full immediately or, in the case of Term Rate Loans, at the end of the applicable Interest Period; provided that if no election is made by the Borrower by the date that is the earlier of (x) three Business Days after receipt by the Borrower of such notice or (y) with respect to a Term Rate Loan, the last day of the current Interest Period, the Borrower shall be deemed to have elected clause (1) above. Upon any such prepayment or conversion, the Borrower shall also pay accrued interest on the amount so prepaid or converted, together with any additional amounts required pursuant to Section 10.05. If the Administrative Agent determines (which determination shall be conclusive and binding absent manifest error) that “</w:t>
      </w:r>
      <w:r>
        <w:rPr>
          <w:rFonts w:ascii="Times New Roman" w:hAnsi="Times New Roman"/>
          <w:strike/>
          <w:color w:val="FF0000"/>
          <w:sz w:val="24"/>
        </w:rPr>
        <w:t xml:space="preserve">Adjusted </w:t>
      </w:r>
      <w:r>
        <w:rPr>
          <w:rFonts w:ascii="Times New Roman" w:hAnsi="Times New Roman"/>
          <w:sz w:val="24"/>
        </w:rPr>
        <w:t xml:space="preserve">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Benchmark Replacement</w:t>
      </w:r>
      <w:r>
        <w:rPr>
          <w:rFonts w:ascii="Times New Roman" w:hAnsi="Times New Roman"/>
          <w:sz w:val="24"/>
        </w:rPr>
        <w:t xml:space="preserve">. Notwithstanding anything to the contrary herein or in any other Loan Document, if a Benchmark Transition Event and its related Benchmark Replacement Date have occurred prior to any setting of any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w:t>
      </w:r>
      <w:r>
        <w:rPr>
          <w:rFonts w:ascii="Times New Roman" w:hAnsi="Times New Roman"/>
          <w:strike/>
          <w:color w:val="FF0000"/>
          <w:sz w:val="24"/>
        </w:rPr>
        <w:t>the definition of “Adjusted Term SOFR” shall be deemed modified to delete the addition of the Term SOFR Adjustment to Term SOFR for any calculation and</w:t>
      </w:r>
      <w:r>
        <w:rPr>
          <w:rFonts w:ascii="Times New Roman" w:hAnsi="Times New Roman"/>
          <w:sz w:val="24"/>
        </w:rPr>
        <w:t xml:space="preserve"> (y) if a Benchmark Replacement is determined in accordance with clause (b) of the definition of “Benchmark Replacement” for such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 If the Benchmark Replacement is based upon Daily Simple SOFR, all interest payments will be payable on a quarterly basis.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Benchmark Replacement Conforming Changes</w:t>
      </w:r>
      <w:r>
        <w:rPr>
          <w:rFonts w:ascii="Times New Roman" w:hAnsi="Times New Roman"/>
          <w:sz w:val="24"/>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Notices; Standards for Decisions and Determinations</w:t>
      </w:r>
      <w:r>
        <w:rPr>
          <w:rFonts w:ascii="Times New Roman" w:hAnsi="Times New Roman"/>
          <w:sz w:val="24"/>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10.1(e) and (y) the commencement of any Benchmark Unavailability Period. Any determination, decision or election that may be made by the Administrative Agent or, if applicable, any Lender (or group of Lenders) pursuant to this Section 10.1,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10.1.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Unavailability of Tenor of Benchmark</w:t>
      </w:r>
      <w:r>
        <w:rPr>
          <w:rFonts w:ascii="Times New Roman" w:hAnsi="Times New Roman"/>
          <w:sz w:val="24"/>
        </w:rPr>
        <w:t xml:space="preserve">. Notwithstanding anything to the contrary herein or in any other Loan Document, at any time (including in connection with the implementation of a Benchmark Replacement), (i) if any then-current Benchmark is a term rate (including the Term SOFR Reference Rate, EURIBOR or TIBOR)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analogous definition) for all Benchmark settings at or after such time to reinstate such previously removed tenor. </w:t>
      </w:r>
    </w:p>
    <w:p>
      <w:pPr>
        <w:pStyle w:val="TextBody"/>
        <w:bidi w:val="0"/>
        <w:spacing w:before="240" w:after="0"/>
        <w:jc w:val="both"/>
        <w:rPr>
          <w:rFonts w:ascii="Times New Roman" w:hAnsi="Times New Roman"/>
          <w:sz w:val="24"/>
        </w:rPr>
      </w:pPr>
      <w:r>
        <w:rPr>
          <w:rFonts w:ascii="Times New Roman" w:hAnsi="Times New Roman"/>
          <w:sz w:val="24"/>
        </w:rPr>
        <w:t>(vi) </w:t>
      </w:r>
      <w:r>
        <w:rPr>
          <w:rFonts w:ascii="Times New Roman" w:hAnsi="Times New Roman"/>
          <w:sz w:val="24"/>
          <w:u w:val="single"/>
        </w:rPr>
        <w:t xml:space="preserve">Benchmark Unavailability Period. </w:t>
      </w:r>
      <w:r>
        <w:rPr>
          <w:rFonts w:ascii="Times New Roman" w:hAnsi="Times New Roman"/>
          <w:sz w:val="24"/>
        </w:rPr>
        <w:t xml:space="preserve">Upon the Borrower’s receipt of notice of the commencement of a Benchmark Unavailability Period with respect to a given Benchmark, (i) the Borrower may revoke any pending request for a borrowing of, conversion to or continuation of SONIA Rate Advances, or request for a borrowing of, conversion to or continuation of Term Rate Loans, in each case, to be made, converted or continued during any Benchmark Unavailability Period denominated in the applicable Currency and, failing that, (A) in the case of any request for any affected borrowing for SOFR Loans, if applicable, the Borrower will be deemed to have converted any such request into a request for a borrowing or conversion to Base Rate Loans in the amount specified therein and (B) in the case of any request for any affected borrowing, in each case, in an Agreed Currency, if applicable, then such request shall be ineffective and (ii)(A) any outstanding affected SOFR Loans, if applicable, will be deemed to have been converted into Base Rate Loans at the end of the applicable Interest Period and (B) any outstanding affected SONIA Advances or Term Rate Loans, in each case, denominated in an Agreed Currency, at the Borrower’s election, shall either (I) be converted into Base Rate Loans denominated in Dollars (in an amount equal to the Dollar Equivalent of such Agreed Currency) immediately or, in the case of Term Rate Loans, at the end of the applicable Interest Period or (II) be prepaid in full immediately or, in the case of Term Rate Loans, at the end of the applicable Interest Period; </w:t>
      </w:r>
      <w:r>
        <w:rPr>
          <w:rFonts w:ascii="Times New Roman" w:hAnsi="Times New Roman"/>
          <w:sz w:val="24"/>
          <w:u w:val="single"/>
        </w:rPr>
        <w:t>provided</w:t>
      </w:r>
      <w:r>
        <w:rPr>
          <w:rFonts w:ascii="Times New Roman" w:hAnsi="Times New Roman"/>
          <w:sz w:val="24"/>
        </w:rPr>
        <w:t xml:space="preserve"> that, with respect to any SONIA Rate Advance, if no election is made by the Borrower by the date that is three Business Days after receipt by the Borrower of such notice, the Borrower shall be deemed to have elected clause (I) above; </w:t>
      </w:r>
      <w:r>
        <w:rPr>
          <w:rFonts w:ascii="Times New Roman" w:hAnsi="Times New Roman"/>
          <w:sz w:val="24"/>
          <w:u w:val="single"/>
        </w:rPr>
        <w:t>provided, further</w:t>
      </w:r>
      <w:r>
        <w:rPr>
          <w:rFonts w:ascii="Times New Roman" w:hAnsi="Times New Roman"/>
          <w:sz w:val="24"/>
        </w:rPr>
        <w:t xml:space="preserve"> that, with respect to any Term Rate Loan, if no election is made by the Borrower by the earlier of (x) the date that is three Business Days after receipt by the Borrower of such notice and (y) the last day of the current Interest Period for the applicable Term Rate Loan, the Borrower shall be deemed to have elected clause (I) above. Upon any such prepayment or conversion, the Borrower shall also pay accrued interest on the amount so prepaid or converted, together with any additional amounts required pursuant to Section 10.05. During a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240" w:after="0"/>
        <w:jc w:val="both"/>
        <w:rPr>
          <w:rFonts w:ascii="Times New Roman" w:hAnsi="Times New Roman"/>
          <w:sz w:val="24"/>
        </w:rPr>
      </w:pPr>
      <w:r>
        <w:rPr>
          <w:rFonts w:ascii="Times New Roman" w:hAnsi="Times New Roman"/>
          <w:sz w:val="24"/>
        </w:rPr>
        <w:t>Section 10.2 </w:t>
      </w:r>
      <w:r>
        <w:rPr>
          <w:rFonts w:ascii="Times New Roman" w:hAnsi="Times New Roman"/>
          <w:sz w:val="24"/>
          <w:u w:val="single"/>
        </w:rPr>
        <w:t>Illegality</w:t>
      </w:r>
      <w:r>
        <w:rPr>
          <w:rFonts w:ascii="Times New Roman" w:hAnsi="Times New Roman"/>
          <w:sz w:val="24"/>
        </w:rPr>
        <w:t>. If any Lender determines that any Applicable Law has made it unlawful, or that any Governmental Authority has asserted that it is unlawful, for any Lender or its applicable lending office to make, maintain or fund Loans whose interest is determined by reference to SONIA or any applicable Term Rate, or to determine or charge interest based upon SONIA or any applicable Term Rate, or, with respect to any Term Rate Loan, any Governmental Authority has imposed material restrictions on the authority of such Lender to purchase or sell, or to take deposits of, any applicable Agreed Currency in the applicable offshore interbank market for the applicable Agreed Currency then, upon notice thereof by such Lender to the Borrower (through the Administrative Agent) (an “</w:t>
      </w:r>
      <w:r>
        <w:rPr>
          <w:rFonts w:ascii="Times New Roman" w:hAnsi="Times New Roman"/>
          <w:sz w:val="24"/>
          <w:u w:val="single"/>
        </w:rPr>
        <w:t>Illegality Notice</w:t>
      </w:r>
      <w:r>
        <w:rPr>
          <w:rFonts w:ascii="Times New Roman" w:hAnsi="Times New Roman"/>
          <w:sz w:val="24"/>
        </w:rPr>
        <w:t xml:space="preserve">”), (a) any obligation of the Lenders to make SONIA Rate Advances or Term Rate Loans, as applicable, and any right of the Borrower to continue SONIA Rate Advances or Term Rate Loans, as applicable, in the affected Agreed Currency or Agreed Currencies, shall be suspended, and (b) if necessary to avoid such illegality, the Administrative Agent shall compute the Base Rate without reference to clause (c) of the definition of “Base Rate”, in each case until each such affected Lender notifies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SONIA Rate Advances or Term Rate Loans denominated in an affected Agreed Currency to Base Rate Loans denominated in Dollars (in an amount equal to the Dollar Equivalent of such Agreed Currency) (in each case, if necessary to avoid such illegality, the Administrative Agent shall compute the Base Rate without reference to clause (c) of the definition of “Base Rate”), (A) with respect to SONIA Rate Advances, on the Payment Date therefor, if all affected Lenders may lawfully continue to maintain such SONIA Rate Advances to such day, or immediately, if any Lender may not lawfully continue to maintain such SONIA Rate Advances to such day or (B) with respect to Term Rate Loans, on the last day of the Interest Period therefor, if all affected Lenders may lawfully continue to maintain such Term Rate Loans, as applicable, to such day, or immediately, if any Lender may not lawfully continue to maintain such Term Rate Loans, as applicable, to such day. Upon any such prepayment or conversion, the Borrower shall also pay accrued interest on the amount so prepaid or converted, together with any additional amounts required pursuant to Section 10.05. </w:t>
      </w:r>
    </w:p>
    <w:p>
      <w:pPr>
        <w:pStyle w:val="TextBody"/>
        <w:bidi w:val="0"/>
        <w:spacing w:before="240" w:after="0"/>
        <w:jc w:val="both"/>
        <w:rPr>
          <w:rFonts w:ascii="Times New Roman" w:hAnsi="Times New Roman"/>
          <w:sz w:val="24"/>
        </w:rPr>
      </w:pPr>
      <w:r>
        <w:rPr>
          <w:rFonts w:ascii="Times New Roman" w:hAnsi="Times New Roman"/>
          <w:sz w:val="24"/>
        </w:rPr>
        <w:t>Section 10.3 </w:t>
      </w:r>
      <w:r>
        <w:rPr>
          <w:rFonts w:ascii="Times New Roman" w:hAnsi="Times New Roman"/>
          <w:sz w:val="24"/>
          <w:u w:val="single"/>
        </w:rPr>
        <w:t>Increased Costs and Additional Amounts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(i) If after the date hereof, the adoption of any Applicable Law, or any change in any Applicable Law (whether adopted before or after the Effective Date), or any interpretation or change in interpretation or administration thereof by any governmental authority, central bank or comparable agency charged with the interpretation or administration thereof or compliance by any Lender with any directive issued after the Effective Date (whether or not having the force of law) of any such authority, central bank or comparable agency: </w:t>
      </w:r>
    </w:p>
    <w:p>
      <w:pPr>
        <w:pStyle w:val="TextBody"/>
        <w:bidi w:val="0"/>
        <w:spacing w:before="240" w:after="0"/>
        <w:jc w:val="both"/>
        <w:rPr>
          <w:rFonts w:ascii="Times New Roman" w:hAnsi="Times New Roman"/>
          <w:sz w:val="24"/>
        </w:rPr>
      </w:pPr>
      <w:r>
        <w:rPr>
          <w:rFonts w:ascii="Times New Roman" w:hAnsi="Times New Roman"/>
          <w:sz w:val="24"/>
        </w:rPr>
        <w:t xml:space="preserve">(a) shall subject any Lender to any Tax with respect to its obligation to make its portion of Term Rate Advances, or its portion of other Advances, or shall change the basis of taxation of payments to any Lender of the principal of or interest on its portion of Term Rate Advances or in respect of any other amounts due under this Agreement, or its obligation to make its portion of Advances (except for changes with respect to Taxes imposed on the revenues or net income of such Lender, and except for any Taxes referred to in Section 10.3(b) hereof); or </w:t>
      </w:r>
    </w:p>
    <w:p>
      <w:pPr>
        <w:pStyle w:val="TextBody"/>
        <w:bidi w:val="0"/>
        <w:spacing w:before="240" w:after="0"/>
        <w:jc w:val="both"/>
        <w:rPr>
          <w:rFonts w:ascii="Times New Roman" w:hAnsi="Times New Roman"/>
          <w:sz w:val="24"/>
        </w:rPr>
      </w:pPr>
      <w:r>
        <w:rPr>
          <w:rFonts w:ascii="Times New Roman" w:hAnsi="Times New Roman"/>
          <w:sz w:val="24"/>
        </w:rPr>
        <w:t xml:space="preserve">(b) shall impose, modify or deem applicable any reserve (including, without limitation, any imposed by the Board, but excluding any included in any percentage which is in effect from time to time under Regulation D of the Board, as such regulation may be amended from time to time, as the maximum reserve requirement applicable with respect to Eurocurrency Liabilities (as such term is defined in Regulation D), whether or not any Lender has any such Eurocurrency Liabilities subject to such reserve requirement at that time), special deposit, capital adequacy or liquidity, assessment or other requirement or condition against assets of, deposits with or for the account of, or commitments or credit extended by, any Lender or shall impose on any Lender or the London interbank borrowing market any other condition affecting its obligation to make its portion of such Term Rate Advances or its portion of existing Advances;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(c) and the result of any of the foregoing is to increase the cost to such Lender of making or maintaining any of its portion of such Term Rate Advances, or to reduce the amount of any sum received or receivable by such Lender under this Agreement or under its Note, if any, with respect thereto, then, within ten (10) days after demand by such Lender, the Borrower agrees to pay to such Lender such additional amount or amounts as will compensate such Lender on an after-tax basis for such increased costs;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enacted, adopted or issued after the date hereof, regardless of the date enacted, adopted or issued. </w:t>
      </w:r>
    </w:p>
    <w:p>
      <w:pPr>
        <w:pStyle w:val="TextBody"/>
        <w:bidi w:val="0"/>
        <w:spacing w:before="240" w:after="0"/>
        <w:jc w:val="both"/>
        <w:rPr>
          <w:rFonts w:ascii="Times New Roman" w:hAnsi="Times New Roman"/>
          <w:sz w:val="24"/>
        </w:rPr>
      </w:pPr>
      <w:r>
        <w:rPr>
          <w:rFonts w:ascii="Times New Roman" w:hAnsi="Times New Roman"/>
          <w:sz w:val="24"/>
        </w:rPr>
        <w:t>(ii) Except as required by Applicable Law, all payments made by the Borrower under this Agreement shall be made free and clear of, and without deduction or withholding for or on account of, any present or future income or other similar taxes, levies, imposts, duties, charges, fees, deductions or withholdings (“</w:t>
      </w:r>
      <w:r>
        <w:rPr>
          <w:rFonts w:ascii="Times New Roman" w:hAnsi="Times New Roman"/>
          <w:sz w:val="24"/>
          <w:u w:val="single"/>
        </w:rPr>
        <w:t>Taxes</w:t>
      </w:r>
      <w:r>
        <w:rPr>
          <w:rFonts w:ascii="Times New Roman" w:hAnsi="Times New Roman"/>
          <w:sz w:val="24"/>
        </w:rPr>
        <w:t xml:space="preserve">”), now or hereafter imposed, levied, collected, withheld or assessed by any governmental authority. If any Taxes are required to be withheld or deducted from any such payment, the Borrower shall pay such additional amounts as may be necessary to ensure that the net amount actually received by a Lender after such withholding or deduction is equal to the amount that the Lender would have received had no such withholding or deduction been required;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Borrower shall not be required to increase any such amounts payable to any Lender if such Lender fails to comply with the requirements of Section 2.12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the Borrower shall not be required to pay any additional amounts in respect of Taxes imposed under FATCA,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Borrower shall not be required to pay any U.S. withholding Taxes imposed on amounts payable to or for the account of any Lender with respect to an applicable interest in a Loan or Commitment pursuant to a law in effect on the date on which (i) such Lender acquires such interest in the Loan or Commitment or (ii) such Lender changes its lending office (including due to the exercise of Lender’s option pursuant to </w:t>
      </w:r>
      <w:r>
        <w:rPr>
          <w:rFonts w:ascii="Times New Roman" w:hAnsi="Times New Roman"/>
          <w:sz w:val="24"/>
          <w:u w:val="single"/>
        </w:rPr>
        <w:t>Section 2.2(d)</w:t>
      </w:r>
      <w:r>
        <w:rPr>
          <w:rFonts w:ascii="Times New Roman" w:hAnsi="Times New Roman"/>
          <w:sz w:val="24"/>
        </w:rPr>
        <w:t xml:space="preserve">), except, in each case, to the extent that, pursuant to this Section 10.3, amounts with respect to such Taxes were payable either to such Lender’s assignor immediately before such Lender became a party hereto or to such Lender immediately before it changed its lending office,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Borrower shall not be required to pay any additional amounts in respect of Taxes imposed on a Lender by reason of any connection between the Lender and the taxing jurisdiction other than a connection that is solely attributable to executing, delivering, performing or enforcing this Agreement and receiving payments hereunder. Whenever any Taxes are payable by the Borrower pursuant to this Section 10.3(b), as promptly as possible thereafter the Borrower shall send to the Administrative Agent for its own account or for the account of such Lender, as the case may be, a certified copy of an original official receipt received by the Borrower showing payment thereof. If the Borrower fails to pay any Taxes, as required by this Section 10.3(b) when due to the appropriate taxing authority or fails to remit to the Administrative Agent the required receipts or other documentary evidence, the Borrower shall indemnify the Administrative Agent and the Lenders for any incremental taxes, interest or penalties that may become payable by the Administrative Agent or any Lender as a result of any such failure. The Borrower shall make any payments required pursuant to the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preceding sentence within thirty (30) days after receipt of written demand therefor from the Administrative Agent or any Lender, as the case may be. The agreements set forth in this Section 10.3 shall survive the termination of this Agreement and the payment of the Obligations. Each Lender will promptly notify the Borrower and the Administrative Agent of any event of which it has knowledge, occurring after the date hereof, which will entitle such Lender to compensation pursuant to this Section 10.3 and will designate a different lending office if such designation will avoid the need for, or reduce the amount of, such compensation and will not, in the reasonable judgment of such Lender made in good faith, be otherwise disadvantageous to such Lender. </w:t>
      </w:r>
    </w:p>
    <w:p>
      <w:pPr>
        <w:pStyle w:val="TextBody"/>
        <w:bidi w:val="0"/>
        <w:spacing w:before="240" w:after="0"/>
        <w:jc w:val="both"/>
        <w:rPr>
          <w:rFonts w:ascii="Times New Roman" w:hAnsi="Times New Roman"/>
          <w:sz w:val="24"/>
        </w:rPr>
      </w:pPr>
      <w:r>
        <w:rPr>
          <w:rFonts w:ascii="Times New Roman" w:hAnsi="Times New Roman"/>
          <w:sz w:val="24"/>
        </w:rPr>
        <w:t xml:space="preserve">(iii) Any Lender claiming compensation under this Section 10.3 shall provide the Borrower with a written certificate setting forth the additional amount or amounts to be paid to it hereunder and calculations therefor in reasonable detail. Such certificate shall be presumptively correct absent manifest error. In determining such amount, such Lender may use any reasonable averaging and attribution methods. Failure or delay on the part of any Lender to demand compensation pursuant to the foregoing provisions of this Section 10.3 shall not constitute a waiver of such Lender’s right to demand such compensation, </w:t>
      </w:r>
      <w:r>
        <w:rPr>
          <w:rFonts w:ascii="Times New Roman" w:hAnsi="Times New Roman"/>
          <w:sz w:val="24"/>
          <w:u w:val="single"/>
        </w:rPr>
        <w:t>provided</w:t>
      </w:r>
      <w:r>
        <w:rPr>
          <w:rFonts w:ascii="Times New Roman" w:hAnsi="Times New Roman"/>
          <w:sz w:val="24"/>
        </w:rPr>
        <w:t xml:space="preserve"> that, other than in respect of Taxes, the Borrower shall not be required to compensate a Lender pursuant to the foregoing provisions of this Section if the circumstances giving rise to such compensation occurred more than six (6) months prior to the date that such Lender notifies the Borrower of such circumstances and of such Lender’s intention to claim compensation therefor (except that, if such circumstances are retroactive, then the six (6) month period referred to above shall be extended to include the period of retroactive effect thereof). If any Lender demands compensation under this Section 10.3, the Borrower may at any time, upon at least five (5) Business Days’ prior notice to such Lender, prepay in full such Lender’s portion of the then outstanding Term Rate Advances, together with accrued interest and fees thereon to the date of prepayment, along with any reimbursement required under </w:t>
      </w:r>
      <w:r>
        <w:rPr>
          <w:rFonts w:ascii="Times New Roman" w:hAnsi="Times New Roman"/>
          <w:sz w:val="24"/>
          <w:u w:val="single"/>
        </w:rPr>
        <w:t>Section 2.9</w:t>
      </w:r>
      <w:r>
        <w:rPr>
          <w:rFonts w:ascii="Times New Roman" w:hAnsi="Times New Roman"/>
          <w:sz w:val="24"/>
        </w:rPr>
        <w:t xml:space="preserve"> hereof and this Section 10.3. Concurrently with prepaying such portion of Term Rate Advances the Borrower may, whether or not then entitled to make such borrowing, borrow a Base Rate Advance, or a Term Rate Advance not so affected, from such Lender, and such Lender shall, if so requested, make such Advance in an amount such that the outstanding principal amount of such Advance shall equal the outstanding principal amount of the affected Term Rate Advance of such Lender immediately prior to such prepayment. </w:t>
      </w:r>
    </w:p>
    <w:p>
      <w:pPr>
        <w:pStyle w:val="TextBody"/>
        <w:bidi w:val="0"/>
        <w:spacing w:before="240" w:after="0"/>
        <w:jc w:val="both"/>
        <w:rPr>
          <w:rFonts w:ascii="Times New Roman" w:hAnsi="Times New Roman"/>
          <w:sz w:val="24"/>
        </w:rPr>
      </w:pPr>
      <w:r>
        <w:rPr>
          <w:rFonts w:ascii="Times New Roman" w:hAnsi="Times New Roman"/>
          <w:sz w:val="24"/>
        </w:rPr>
        <w:t xml:space="preserve">(iv) The Borrower shall pay any present or future stamp, transfer or documentary Taxes or any other excise or property Taxes that may be imposed in connection with the execution, delivery or registration of this Agreement or any other Loan Documents. </w:t>
      </w:r>
    </w:p>
    <w:p>
      <w:pPr>
        <w:pStyle w:val="TextBody"/>
        <w:bidi w:val="0"/>
        <w:spacing w:before="240" w:after="0"/>
        <w:jc w:val="both"/>
        <w:rPr>
          <w:rFonts w:ascii="Times New Roman" w:hAnsi="Times New Roman"/>
          <w:sz w:val="24"/>
        </w:rPr>
      </w:pPr>
      <w:r>
        <w:rPr>
          <w:rFonts w:ascii="Times New Roman" w:hAnsi="Times New Roman"/>
          <w:sz w:val="24"/>
        </w:rPr>
        <w:t xml:space="preserve">(v) If any party receives a refund of any Taxes for which it has been indemnified pursuant to this Section 10.3,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both"/>
        <w:rPr>
          <w:rFonts w:ascii="Times New Roman" w:hAnsi="Times New Roman"/>
          <w:sz w:val="24"/>
        </w:rPr>
      </w:pPr>
      <w:r>
        <w:rPr>
          <w:rFonts w:ascii="Times New Roman" w:hAnsi="Times New Roman"/>
          <w:sz w:val="24"/>
        </w:rPr>
        <w:t>Section 10.4 </w:t>
      </w:r>
      <w:r>
        <w:rPr>
          <w:rFonts w:ascii="Times New Roman" w:hAnsi="Times New Roman"/>
          <w:sz w:val="24"/>
          <w:u w:val="single"/>
        </w:rPr>
        <w:t>Effect On Other Advances</w:t>
      </w:r>
      <w:r>
        <w:rPr>
          <w:rFonts w:ascii="Times New Roman" w:hAnsi="Times New Roman"/>
          <w:sz w:val="24"/>
        </w:rPr>
        <w:t xml:space="preserve">. If notice has been given pursuant to </w:t>
      </w:r>
      <w:r>
        <w:rPr>
          <w:rFonts w:ascii="Times New Roman" w:hAnsi="Times New Roman"/>
          <w:sz w:val="24"/>
          <w:u w:val="single"/>
        </w:rPr>
        <w:t>Section 10.1</w:t>
      </w:r>
      <w:r>
        <w:rPr>
          <w:rFonts w:ascii="Times New Roman" w:hAnsi="Times New Roman"/>
          <w:sz w:val="24"/>
        </w:rPr>
        <w:t xml:space="preserve">, </w:t>
      </w:r>
      <w:r>
        <w:rPr>
          <w:rFonts w:ascii="Times New Roman" w:hAnsi="Times New Roman"/>
          <w:sz w:val="24"/>
          <w:u w:val="single"/>
        </w:rPr>
        <w:t>10.2</w:t>
      </w:r>
      <w:r>
        <w:rPr>
          <w:rFonts w:ascii="Times New Roman" w:hAnsi="Times New Roman"/>
          <w:sz w:val="24"/>
        </w:rPr>
        <w:t xml:space="preserve"> or </w:t>
      </w:r>
      <w:r>
        <w:rPr>
          <w:rFonts w:ascii="Times New Roman" w:hAnsi="Times New Roman"/>
          <w:sz w:val="24"/>
          <w:u w:val="single"/>
        </w:rPr>
        <w:t>10.3</w:t>
      </w:r>
      <w:r>
        <w:rPr>
          <w:rFonts w:ascii="Times New Roman" w:hAnsi="Times New Roman"/>
          <w:sz w:val="24"/>
        </w:rPr>
        <w:t xml:space="preserve"> hereof suspending the obligation of any Lender to make its portion of any Term Rate Advance, or requiring such Lender’s portion of Term Rate Advances to be repaid or prepaid, then, unless and until such Lender notifies the Borrower that the circumstances giving rise to such repayment no longer apply, all amounts which would otherwise be made by such Lender as its portion of Term Rate Advances shall be instead as Base Rate Advances, unless otherwise notified by the Borrower. </w:t>
      </w:r>
    </w:p>
    <w:p>
      <w:pPr>
        <w:pStyle w:val="TextBody"/>
        <w:bidi w:val="0"/>
        <w:spacing w:before="240" w:after="0"/>
        <w:jc w:val="both"/>
        <w:rPr>
          <w:rFonts w:ascii="Times New Roman" w:hAnsi="Times New Roman"/>
          <w:sz w:val="24"/>
        </w:rPr>
      </w:pPr>
      <w:r>
        <w:rPr>
          <w:rFonts w:ascii="Times New Roman" w:hAnsi="Times New Roman"/>
          <w:sz w:val="24"/>
        </w:rPr>
        <w:t>Section 10.5 </w:t>
      </w:r>
      <w:r>
        <w:rPr>
          <w:rFonts w:ascii="Times New Roman" w:hAnsi="Times New Roman"/>
          <w:sz w:val="24"/>
          <w:u w:val="single"/>
        </w:rPr>
        <w:t>Claims for Increased Costs and Taxes; Replacement Lenders</w:t>
      </w:r>
      <w:r>
        <w:rPr>
          <w:rFonts w:ascii="Times New Roman" w:hAnsi="Times New Roman"/>
          <w:sz w:val="24"/>
        </w:rPr>
        <w:t xml:space="preserve">. In the event that any Lender shall (v) decline to make Term Rate Advances pursuant to </w:t>
      </w:r>
      <w:r>
        <w:rPr>
          <w:rFonts w:ascii="Times New Roman" w:hAnsi="Times New Roman"/>
          <w:sz w:val="24"/>
          <w:u w:val="single"/>
        </w:rPr>
        <w:t>Sections 10.1</w:t>
      </w:r>
      <w:r>
        <w:rPr>
          <w:rFonts w:ascii="Times New Roman" w:hAnsi="Times New Roman"/>
          <w:sz w:val="24"/>
        </w:rPr>
        <w:t xml:space="preserve"> and </w:t>
      </w:r>
      <w:r>
        <w:rPr>
          <w:rFonts w:ascii="Times New Roman" w:hAnsi="Times New Roman"/>
          <w:sz w:val="24"/>
          <w:u w:val="single"/>
        </w:rPr>
        <w:t>10.2</w:t>
      </w:r>
      <w:r>
        <w:rPr>
          <w:rFonts w:ascii="Times New Roman" w:hAnsi="Times New Roman"/>
          <w:sz w:val="24"/>
        </w:rPr>
        <w:t xml:space="preserve"> hereof, (w) have notified the Borrower that it is entitled to claim compensation pursuant to </w:t>
      </w:r>
      <w:r>
        <w:rPr>
          <w:rFonts w:ascii="Times New Roman" w:hAnsi="Times New Roman"/>
          <w:sz w:val="24"/>
          <w:u w:val="single"/>
        </w:rPr>
        <w:t>Section 10.3</w:t>
      </w:r>
      <w:r>
        <w:rPr>
          <w:rFonts w:ascii="Times New Roman" w:hAnsi="Times New Roman"/>
          <w:sz w:val="24"/>
        </w:rPr>
        <w:t xml:space="preserve">, </w:t>
      </w:r>
      <w:r>
        <w:rPr>
          <w:rFonts w:ascii="Times New Roman" w:hAnsi="Times New Roman"/>
          <w:sz w:val="24"/>
          <w:u w:val="single"/>
        </w:rPr>
        <w:t>2.8</w:t>
      </w:r>
      <w:r>
        <w:rPr>
          <w:rFonts w:ascii="Times New Roman" w:hAnsi="Times New Roman"/>
          <w:sz w:val="24"/>
        </w:rPr>
        <w:t xml:space="preserve">, </w:t>
      </w:r>
      <w:r>
        <w:rPr>
          <w:rFonts w:ascii="Times New Roman" w:hAnsi="Times New Roman"/>
          <w:sz w:val="24"/>
          <w:u w:val="single"/>
        </w:rPr>
        <w:t>2.9</w:t>
      </w:r>
      <w:r>
        <w:rPr>
          <w:rFonts w:ascii="Times New Roman" w:hAnsi="Times New Roman"/>
          <w:sz w:val="24"/>
        </w:rPr>
        <w:t xml:space="preserve"> or </w:t>
      </w:r>
      <w:r>
        <w:rPr>
          <w:rFonts w:ascii="Times New Roman" w:hAnsi="Times New Roman"/>
          <w:sz w:val="24"/>
          <w:u w:val="single"/>
        </w:rPr>
        <w:t>2.11</w:t>
      </w:r>
      <w:r>
        <w:rPr>
          <w:rFonts w:ascii="Times New Roman" w:hAnsi="Times New Roman"/>
          <w:sz w:val="24"/>
        </w:rPr>
        <w:t xml:space="preserve"> hereof or is unable to complete the form required or is subject to withholding on account of any Tax, (x) not consent to any request for an extension of the Maturity Date pursuant to </w:t>
      </w:r>
      <w:r>
        <w:rPr>
          <w:rFonts w:ascii="Times New Roman" w:hAnsi="Times New Roman"/>
          <w:sz w:val="24"/>
          <w:u w:val="single"/>
        </w:rPr>
        <w:t>Section 2.18</w:t>
      </w:r>
      <w:r>
        <w:rPr>
          <w:rFonts w:ascii="Times New Roman" w:hAnsi="Times New Roman"/>
          <w:sz w:val="24"/>
        </w:rPr>
        <w:t xml:space="preserve"> hereof or (y) become a Defaulting Lender (each such lender being an “</w:t>
      </w:r>
      <w:r>
        <w:rPr>
          <w:rFonts w:ascii="Times New Roman" w:hAnsi="Times New Roman"/>
          <w:sz w:val="24"/>
          <w:u w:val="single"/>
        </w:rPr>
        <w:t>Affected Lender</w:t>
      </w:r>
      <w:r>
        <w:rPr>
          <w:rFonts w:ascii="Times New Roman" w:hAnsi="Times New Roman"/>
          <w:sz w:val="24"/>
        </w:rPr>
        <w:t>”), the Borrower at its own cost and expense may designate a replacement lender (a “</w:t>
      </w:r>
      <w:r>
        <w:rPr>
          <w:rFonts w:ascii="Times New Roman" w:hAnsi="Times New Roman"/>
          <w:sz w:val="24"/>
          <w:u w:val="single"/>
        </w:rPr>
        <w:t>Replacement Lender</w:t>
      </w:r>
      <w:r>
        <w:rPr>
          <w:rFonts w:ascii="Times New Roman" w:hAnsi="Times New Roman"/>
          <w:sz w:val="24"/>
        </w:rPr>
        <w:t xml:space="preserve">”) to assume the Revolving Loan Commitments and the obligations of any such Affected Lender hereunder, and to purchase the outstanding Loans of such Affected Lender and such Affected Lender’s rights hereunder and with respect thereto, and within ten (10) Business Days of such designation the Affected Lender shall (a) sell to such Replacement Lender, without recourse upon, warranty by or expense to such Affected Lender, by way of an Assignment and Assumption substantially in the form of </w:t>
      </w:r>
      <w:r>
        <w:rPr>
          <w:rFonts w:ascii="Times New Roman" w:hAnsi="Times New Roman"/>
          <w:sz w:val="24"/>
          <w:u w:val="single"/>
        </w:rPr>
        <w:t>Exhibit F</w:t>
      </w:r>
      <w:r>
        <w:rPr>
          <w:rFonts w:ascii="Times New Roman" w:hAnsi="Times New Roman"/>
          <w:sz w:val="24"/>
        </w:rPr>
        <w:t xml:space="preserve"> attached hereto, for a purchase price equal to (unless such Lender agrees to a lesser amount) the outstanding principal amount of the Loans of such Affected Lender, plus all interest accrued and unpaid thereon and all other amounts owing to such Affected Lender hereunder, including without limitation, payment by the Borrower of any amount which would be payable to such Affected Lender pursuant to </w:t>
      </w:r>
      <w:r>
        <w:rPr>
          <w:rFonts w:ascii="Times New Roman" w:hAnsi="Times New Roman"/>
          <w:sz w:val="24"/>
          <w:u w:val="single"/>
        </w:rPr>
        <w:t>Section 2.9</w:t>
      </w:r>
      <w:r>
        <w:rPr>
          <w:rFonts w:ascii="Times New Roman" w:hAnsi="Times New Roman"/>
          <w:sz w:val="24"/>
        </w:rPr>
        <w:t xml:space="preserve"> hereof (provided that the administrative fee set forth in </w:t>
      </w:r>
      <w:r>
        <w:rPr>
          <w:rFonts w:ascii="Times New Roman" w:hAnsi="Times New Roman"/>
          <w:sz w:val="24"/>
          <w:u w:val="single"/>
        </w:rPr>
        <w:t>Section 12.4(b)(iv)</w:t>
      </w:r>
      <w:r>
        <w:rPr>
          <w:rFonts w:ascii="Times New Roman" w:hAnsi="Times New Roman"/>
          <w:sz w:val="24"/>
        </w:rPr>
        <w:t xml:space="preserve"> shall not apply to an assignment described in this clause (a)), and (b) assign the Revolving Loan Commitments of such Affected Lender and upon such assumption and purchase by the Replacement Lender, such Replacement Lender shall be deemed to be a “</w:t>
      </w:r>
      <w:r>
        <w:rPr>
          <w:rFonts w:ascii="Times New Roman" w:hAnsi="Times New Roman"/>
          <w:sz w:val="24"/>
          <w:u w:val="single"/>
        </w:rPr>
        <w:t>Lender</w:t>
      </w:r>
      <w:r>
        <w:rPr>
          <w:rFonts w:ascii="Times New Roman" w:hAnsi="Times New Roman"/>
          <w:sz w:val="24"/>
        </w:rPr>
        <w:t>” for purposes of this Agreement and such Affected Lender shall cease to be a “</w:t>
      </w:r>
      <w:r>
        <w:rPr>
          <w:rFonts w:ascii="Times New Roman" w:hAnsi="Times New Roman"/>
          <w:sz w:val="24"/>
          <w:u w:val="single"/>
        </w:rPr>
        <w:t>Lender</w:t>
      </w:r>
      <w:r>
        <w:rPr>
          <w:rFonts w:ascii="Times New Roman" w:hAnsi="Times New Roman"/>
          <w:sz w:val="24"/>
        </w:rPr>
        <w:t xml:space="preserve">” for purposes of this Agreement and shall no longer have any obligations or rights hereunder (other than any obligations or rights which according to this Agreement shall survive the termination of the Revolving Loan Commitments); </w:t>
      </w:r>
      <w:r>
        <w:rPr>
          <w:rFonts w:ascii="Times New Roman" w:hAnsi="Times New Roman"/>
          <w:sz w:val="24"/>
          <w:u w:val="single"/>
        </w:rPr>
        <w:t xml:space="preserve">provided </w:t>
      </w:r>
      <w:r>
        <w:rPr>
          <w:rFonts w:ascii="Times New Roman" w:hAnsi="Times New Roman"/>
          <w:sz w:val="24"/>
        </w:rPr>
        <w:t xml:space="preserve">that the Borrower shall not replace any Defaulting Lender during the continuance of any Default.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11 - [RESERVED] </w:t>
      </w:r>
    </w:p>
    <w:p>
      <w:pPr>
        <w:pStyle w:val="TextBody"/>
        <w:bidi w:val="0"/>
        <w:spacing w:before="240" w:after="0"/>
        <w:jc w:val="center"/>
        <w:rPr>
          <w:rFonts w:ascii="Times New Roman" w:hAnsi="Times New Roman"/>
          <w:sz w:val="24"/>
        </w:rPr>
      </w:pPr>
      <w:r>
        <w:rPr>
          <w:rFonts w:ascii="Times New Roman" w:hAnsi="Times New Roman"/>
          <w:sz w:val="24"/>
        </w:rPr>
        <w:t xml:space="preserve">ARTICLE 12 - MISCELLANEOUS </w:t>
      </w:r>
    </w:p>
    <w:p>
      <w:pPr>
        <w:pStyle w:val="TextBody"/>
        <w:bidi w:val="0"/>
        <w:spacing w:before="240" w:after="0"/>
        <w:jc w:val="both"/>
        <w:rPr>
          <w:rFonts w:ascii="Times New Roman" w:hAnsi="Times New Roman"/>
          <w:sz w:val="24"/>
        </w:rPr>
      </w:pPr>
      <w:r>
        <w:rPr>
          <w:rFonts w:ascii="Times New Roman" w:hAnsi="Times New Roman"/>
          <w:sz w:val="24"/>
        </w:rPr>
        <w:t>Section 12.1 </w:t>
      </w:r>
      <w:r>
        <w:rPr>
          <w:rFonts w:ascii="Times New Roman" w:hAnsi="Times New Roman"/>
          <w:sz w:val="24"/>
          <w:u w:val="single"/>
        </w:rPr>
        <w:t>Notices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Notices Generally</w:t>
      </w:r>
      <w:r>
        <w:rPr>
          <w:rFonts w:ascii="Times New Roman" w:hAnsi="Times New Roman"/>
          <w:sz w:val="24"/>
        </w:rPr>
        <w:t xml:space="preserve">. Except in the case of notices and other communications expressly permitted to be given by telephone (and except as provided in </w:t>
      </w:r>
      <w:r>
        <w:rPr>
          <w:rFonts w:ascii="Times New Roman" w:hAnsi="Times New Roman"/>
          <w:sz w:val="24"/>
          <w:u w:val="single"/>
        </w:rPr>
        <w:t>subsection (b)</w:t>
      </w:r>
      <w:r>
        <w:rPr>
          <w:rFonts w:ascii="Times New Roman" w:hAnsi="Times New Roman"/>
          <w:sz w:val="24"/>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 </w:t>
      </w:r>
    </w:p>
    <w:p>
      <w:pPr>
        <w:pStyle w:val="TextBody"/>
        <w:bidi w:val="0"/>
        <w:spacing w:before="240" w:after="0"/>
        <w:jc w:val="both"/>
        <w:rPr>
          <w:rFonts w:ascii="Times New Roman" w:hAnsi="Times New Roman"/>
          <w:sz w:val="24"/>
        </w:rPr>
      </w:pPr>
      <w:r>
        <w:rPr>
          <w:rFonts w:ascii="Times New Roman" w:hAnsi="Times New Roman"/>
          <w:sz w:val="24"/>
        </w:rPr>
        <w:t xml:space="preserve">(a) if to the Borrower, the Administrative Agent, the Swingline Lender or any Issuing Bank, to the address, telecopier number, electronic mail address or telephone number specified for such Person on </w:t>
      </w:r>
      <w:r>
        <w:rPr>
          <w:rFonts w:ascii="Times New Roman" w:hAnsi="Times New Roman"/>
          <w:sz w:val="24"/>
          <w:u w:val="single"/>
        </w:rPr>
        <w:t>Schedule 5</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 xml:space="preserve">(b) if to any other Lender, to the address, telecopier number, electronic mail address or telephone number specified to the Administrative Agent (including, as appropriate, notices delivered solely to the Person designated by a Lender for the delivery of notices that may contain material non-public information relating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sz w:val="24"/>
          <w:u w:val="single"/>
        </w:rPr>
        <w:t>subsection (b)</w:t>
      </w:r>
      <w:r>
        <w:rPr>
          <w:rFonts w:ascii="Times New Roman" w:hAnsi="Times New Roman"/>
          <w:sz w:val="24"/>
        </w:rPr>
        <w:t xml:space="preserve"> below, shall be effective as provided in such </w:t>
      </w:r>
      <w:r>
        <w:rPr>
          <w:rFonts w:ascii="Times New Roman" w:hAnsi="Times New Roman"/>
          <w:sz w:val="24"/>
          <w:u w:val="single"/>
        </w:rPr>
        <w:t>subsection (b)</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Electronic Communications</w:t>
      </w:r>
      <w:r>
        <w:rPr>
          <w:rFonts w:ascii="Times New Roman" w:hAnsi="Times New Roman"/>
          <w:sz w:val="24"/>
        </w:rPr>
        <w:t xml:space="preserve">. Notices and other communications to the Lenders and the Issuing Banks hereunder may be delivered or furnished by electronic communication (including e-mail and Internet or intranet websites) pursuant to procedures approved by the Administrative Agent and the Company, </w:t>
      </w:r>
      <w:r>
        <w:rPr>
          <w:rFonts w:ascii="Times New Roman" w:hAnsi="Times New Roman"/>
          <w:sz w:val="24"/>
          <w:u w:val="single"/>
        </w:rPr>
        <w:t>provided</w:t>
      </w:r>
      <w:r>
        <w:rPr>
          <w:rFonts w:ascii="Times New Roman" w:hAnsi="Times New Roman"/>
          <w:sz w:val="24"/>
        </w:rPr>
        <w:t xml:space="preserve"> that the foregoing shall not apply to notices to any Lender, the Swingline Lender or the Issuing Banks pursuant to </w:t>
      </w:r>
      <w:r>
        <w:rPr>
          <w:rFonts w:ascii="Times New Roman" w:hAnsi="Times New Roman"/>
          <w:sz w:val="24"/>
          <w:u w:val="single"/>
        </w:rPr>
        <w:t>Article 2</w:t>
      </w:r>
      <w:r>
        <w:rPr>
          <w:rFonts w:ascii="Times New Roman" w:hAnsi="Times New Roman"/>
          <w:sz w:val="24"/>
        </w:rPr>
        <w:t xml:space="preserve"> if such Lender, Swingline Lender or such Issuing Bank, as applicable, has notified the Administrative Agent and the Company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hAnsi="Times New Roman"/>
          <w:sz w:val="24"/>
          <w:u w:val="single"/>
        </w:rPr>
        <w:t>provided</w:t>
      </w:r>
      <w:r>
        <w:rPr>
          <w:rFonts w:ascii="Times New Roman" w:hAnsi="Times New Roman"/>
          <w:sz w:val="24"/>
        </w:rPr>
        <w:t xml:space="preserve"> that approval of such procedures may be limited to particular notices or communications. </w:t>
      </w:r>
    </w:p>
    <w:p>
      <w:pPr>
        <w:pStyle w:val="TextBody"/>
        <w:bidi w:val="0"/>
        <w:spacing w:before="240" w:after="0"/>
        <w:jc w:val="both"/>
        <w:rPr>
          <w:rFonts w:ascii="Times New Roman" w:hAnsi="Times New Roman"/>
          <w:sz w:val="24"/>
        </w:rPr>
      </w:pPr>
      <w:r>
        <w:rPr>
          <w:rFonts w:ascii="Times New Roman" w:hAnsi="Times New Roman"/>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4"/>
          <w:u w:val="single"/>
        </w:rPr>
        <w:t>provided</w:t>
      </w:r>
      <w:r>
        <w:rPr>
          <w:rFonts w:ascii="Times New Roman" w:hAnsi="Times New Roman"/>
          <w:sz w:val="24"/>
        </w:rPr>
        <w:t xml:space="preserve"> that if such notice or other communication is not sent during the normal business hours of the recipient, such notice or communication shall be deemed to have been sent at the opening of business on the next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The Platform</w:t>
      </w:r>
      <w:r>
        <w:rPr>
          <w:rFonts w:ascii="Times New Roman" w:hAnsi="Times New Roman"/>
          <w:sz w:val="24"/>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4"/>
          <w:u w:val="single"/>
        </w:rPr>
        <w:t>Agent Parties</w:t>
      </w:r>
      <w:r>
        <w:rPr>
          <w:rFonts w:ascii="Times New Roman" w:hAnsi="Times New Roman"/>
          <w:sz w:val="24"/>
        </w:rPr>
        <w:t xml:space="preserve">”) have any liability to the Borrower, any Lender, any Issuing Bank or any other Person for losses, claims, damages, liabilities or expenses of any kind (whether in tort, contract or otherwise) arising out of the Company’s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no event shall any Agent Party have any liability to the Borrower, any Lender, any Issuing Bank or any other Person for indirect, special, incidental, consequential or punitive damages (as opposed to direct or actual damages).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Change of Address, Etc</w:t>
      </w:r>
      <w:r>
        <w:rPr>
          <w:rFonts w:ascii="Times New Roman" w:hAnsi="Times New Roman"/>
          <w:sz w:val="24"/>
        </w:rPr>
        <w:t xml:space="preserve">. The Borrower, the Administrative Agent, the Swingline Lender and each Issuing Bank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Swingline Lender and the Issuing Banks.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Reliance by Administrative Agent, Issuing Banks and Lenders</w:t>
      </w:r>
      <w:r>
        <w:rPr>
          <w:rFonts w:ascii="Times New Roman" w:hAnsi="Times New Roman"/>
          <w:sz w:val="24"/>
        </w:rPr>
        <w:t xml:space="preserve">. The Administrative Agent, the Swingline Lender, the Issuing Banks and the Lenders shall be entitled to rely and act upon any notices purportedly given by or on behalf of the Company even if (i) such notices were not made in a manner specified herein, were incomplete or were not preceded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followed by any other form of notice specified herein, or (ii) the terms thereof, as understood by the recipient, varied from any confirmation thereof. The Company shall indemnify the Administrative Agent, the Swingline Lender, each Issuing Bank, each Lender and the Related Parties of each of them from all losses, costs, expenses and liabilities resulting from the reliance by such Person on each notice purportedly given by or on behalf of the Company. All telephonic notices to and other telephonic communications with the Administrative Agent may be recorded by the Administrative Agent, and each of the parties hereto hereby consents to such recording. </w:t>
      </w:r>
    </w:p>
    <w:p>
      <w:pPr>
        <w:pStyle w:val="TextBody"/>
        <w:bidi w:val="0"/>
        <w:spacing w:before="240" w:after="0"/>
        <w:jc w:val="both"/>
        <w:rPr>
          <w:rFonts w:ascii="Times New Roman" w:hAnsi="Times New Roman"/>
          <w:sz w:val="24"/>
        </w:rPr>
      </w:pPr>
      <w:r>
        <w:rPr>
          <w:rFonts w:ascii="Times New Roman" w:hAnsi="Times New Roman"/>
          <w:sz w:val="24"/>
        </w:rPr>
        <w:t>Section 12.2 </w:t>
      </w:r>
      <w:r>
        <w:rPr>
          <w:rFonts w:ascii="Times New Roman" w:hAnsi="Times New Roman"/>
          <w:sz w:val="24"/>
          <w:u w:val="single"/>
        </w:rPr>
        <w:t>Expenses</w:t>
      </w:r>
      <w:r>
        <w:rPr>
          <w:rFonts w:ascii="Times New Roman" w:hAnsi="Times New Roman"/>
          <w:sz w:val="24"/>
        </w:rPr>
        <w:t xml:space="preserve">. The Borrower will promptly pay, or reimburse: </w:t>
      </w:r>
    </w:p>
    <w:p>
      <w:pPr>
        <w:pStyle w:val="TextBody"/>
        <w:bidi w:val="0"/>
        <w:spacing w:before="240" w:after="0"/>
        <w:jc w:val="both"/>
        <w:rPr>
          <w:rFonts w:ascii="Times New Roman" w:hAnsi="Times New Roman"/>
          <w:sz w:val="24"/>
        </w:rPr>
      </w:pPr>
      <w:r>
        <w:rPr>
          <w:rFonts w:ascii="Times New Roman" w:hAnsi="Times New Roman"/>
          <w:sz w:val="24"/>
        </w:rPr>
        <w:t xml:space="preserve">(i) all reasonable and documented out-of-pocket expenses of the Administrative Agent in connection with the preparation, negotiation, execution and delivery of this Agreement and the other Loan Documents, and the transactions contemplated hereunder and thereunder any amendments, waivers and consents associated therewith, including, without limitation, the reasonable and documented fees and disbursements of Shearman &amp; Sterling LLP, special counsel for the Administrative Agent; and </w:t>
      </w:r>
    </w:p>
    <w:p>
      <w:pPr>
        <w:pStyle w:val="TextBody"/>
        <w:bidi w:val="0"/>
        <w:spacing w:before="240" w:after="0"/>
        <w:jc w:val="both"/>
        <w:rPr>
          <w:rFonts w:ascii="Times New Roman" w:hAnsi="Times New Roman"/>
          <w:sz w:val="24"/>
        </w:rPr>
      </w:pPr>
      <w:r>
        <w:rPr>
          <w:rFonts w:ascii="Times New Roman" w:hAnsi="Times New Roman"/>
          <w:sz w:val="24"/>
        </w:rPr>
        <w:t xml:space="preserve">(ii) all documented out-of-pocket costs and expenses of the Administrative Agent, the Lenders, the Swingline Lender and the Issuing Banks of enforcement under this Agreement or the other Loan Documents and all documented out-of-pocket costs and expenses of collection if an Event of Default occurs in the payment of the Notes, which in each case shall include, without limitation, reasonable fees and out-of-pocket expenses of one counsel for the Administrative Agent, the Swingline Lender and the Issuing Banks and one counsel for all of the Lenders. </w:t>
      </w:r>
    </w:p>
    <w:p>
      <w:pPr>
        <w:pStyle w:val="TextBody"/>
        <w:bidi w:val="0"/>
        <w:spacing w:before="240" w:after="0"/>
        <w:jc w:val="both"/>
        <w:rPr>
          <w:rFonts w:ascii="Times New Roman" w:hAnsi="Times New Roman"/>
          <w:sz w:val="24"/>
        </w:rPr>
      </w:pPr>
      <w:r>
        <w:rPr>
          <w:rFonts w:ascii="Times New Roman" w:hAnsi="Times New Roman"/>
          <w:sz w:val="24"/>
        </w:rPr>
        <w:t>Section 12.3 </w:t>
      </w:r>
      <w:r>
        <w:rPr>
          <w:rFonts w:ascii="Times New Roman" w:hAnsi="Times New Roman"/>
          <w:sz w:val="24"/>
          <w:u w:val="single"/>
        </w:rPr>
        <w:t>Waivers</w:t>
      </w:r>
      <w:r>
        <w:rPr>
          <w:rFonts w:ascii="Times New Roman" w:hAnsi="Times New Roman"/>
          <w:sz w:val="24"/>
        </w:rPr>
        <w:t xml:space="preserve">. The rights and remedies of the Administrative Agent, the Lenders and the Issuing Banks under this Agreement and the other Loan Documents shall be cumulative and not exclusive of any rights or remedies which they would otherwise have. No failure or delay by the Administrative Agent, the Majority Lenders, the Lenders, the Swingline Lender and the Issuing Banks, or any of them, in exercising any right, shall operate as a waiver of such right. No waiver of any provision of this Agreement or consent to any departure by the Company or any of its Subsidiaries therefrom shall in any event be effective unless the same shall be permitted by </w:t>
      </w:r>
      <w:r>
        <w:rPr>
          <w:rFonts w:ascii="Times New Roman" w:hAnsi="Times New Roman"/>
          <w:sz w:val="24"/>
          <w:u w:val="single"/>
        </w:rPr>
        <w:t>Section 12.13</w:t>
      </w:r>
      <w:r>
        <w:rPr>
          <w:rFonts w:ascii="Times New Roman" w:hAnsi="Times New Roman"/>
          <w:sz w:val="24"/>
        </w:rPr>
        <w:t xml:space="preserve">,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or any Lender may have had notice or knowledge of such Default at the time. </w:t>
      </w:r>
    </w:p>
    <w:p>
      <w:pPr>
        <w:pStyle w:val="TextBody"/>
        <w:bidi w:val="0"/>
        <w:spacing w:before="240" w:after="0"/>
        <w:jc w:val="both"/>
        <w:rPr>
          <w:rFonts w:ascii="Times New Roman" w:hAnsi="Times New Roman"/>
          <w:sz w:val="24"/>
        </w:rPr>
      </w:pPr>
      <w:r>
        <w:rPr>
          <w:rFonts w:ascii="Times New Roman" w:hAnsi="Times New Roman"/>
          <w:sz w:val="24"/>
        </w:rPr>
        <w:t>Section 12.4 </w:t>
      </w:r>
      <w:r>
        <w:rPr>
          <w:rFonts w:ascii="Times New Roman" w:hAnsi="Times New Roman"/>
          <w:sz w:val="24"/>
          <w:u w:val="single"/>
        </w:rPr>
        <w:t>Assignment and Participation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Successors and Assigns Generally</w:t>
      </w:r>
      <w:r>
        <w:rPr>
          <w:rFonts w:ascii="Times New Roman" w:hAnsi="Times New Roman"/>
          <w:sz w:val="24"/>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the Swingline Lender, each Issuing Bank and each Lender and no Lender may assign or otherwise transfer any of its rights or obligations hereunder except (i) to an assignee in accordance with the provisions of </w:t>
      </w:r>
      <w:r>
        <w:rPr>
          <w:rFonts w:ascii="Times New Roman" w:hAnsi="Times New Roman"/>
          <w:sz w:val="24"/>
          <w:u w:val="single"/>
        </w:rPr>
        <w:t>subsection (b)</w:t>
      </w:r>
      <w:r>
        <w:rPr>
          <w:rFonts w:ascii="Times New Roman" w:hAnsi="Times New Roman"/>
          <w:sz w:val="24"/>
        </w:rPr>
        <w:t xml:space="preserve"> of this Section, (ii) by way of participation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provisions of </w:t>
      </w:r>
      <w:r>
        <w:rPr>
          <w:rFonts w:ascii="Times New Roman" w:hAnsi="Times New Roman"/>
          <w:sz w:val="24"/>
          <w:u w:val="single"/>
        </w:rPr>
        <w:t>subsection (d)</w:t>
      </w:r>
      <w:r>
        <w:rPr>
          <w:rFonts w:ascii="Times New Roman" w:hAnsi="Times New Roman"/>
          <w:sz w:val="24"/>
        </w:rPr>
        <w:t xml:space="preserve"> of this Section, (iii) by way of pledge or assignment of a security interest subject to the restrictions of </w:t>
      </w:r>
      <w:r>
        <w:rPr>
          <w:rFonts w:ascii="Times New Roman" w:hAnsi="Times New Roman"/>
          <w:sz w:val="24"/>
          <w:u w:val="single"/>
        </w:rPr>
        <w:t>subsection (f)</w:t>
      </w:r>
      <w:r>
        <w:rPr>
          <w:rFonts w:ascii="Times New Roman" w:hAnsi="Times New Roman"/>
          <w:sz w:val="24"/>
        </w:rPr>
        <w:t xml:space="preserve"> of this Section, or (iv) to an SPC in accordance with the provisions of </w:t>
      </w:r>
      <w:r>
        <w:rPr>
          <w:rFonts w:ascii="Times New Roman" w:hAnsi="Times New Roman"/>
          <w:sz w:val="24"/>
          <w:u w:val="single"/>
        </w:rPr>
        <w:t>subsection (g)</w:t>
      </w:r>
      <w:r>
        <w:rPr>
          <w:rFonts w:ascii="Times New Roman" w:hAnsi="Times New Roman"/>
          <w:sz w:val="24"/>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sz w:val="24"/>
          <w:u w:val="single"/>
        </w:rPr>
        <w:t>subsection (d)</w:t>
      </w:r>
      <w:r>
        <w:rPr>
          <w:rFonts w:ascii="Times New Roman" w:hAnsi="Times New Roman"/>
          <w:sz w:val="24"/>
        </w:rPr>
        <w:t xml:space="preserve"> of this Section and, to the extent expressly contemplated hereby, the Related Parties of each of the Administrative Agent, the Swingline Lender, the Issuing Banks and the Lenders) any legal or equitable right, remedy or claim under or by reason of this Agreement.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Assignments by Lenders</w:t>
      </w:r>
      <w:r>
        <w:rPr>
          <w:rFonts w:ascii="Times New Roman" w:hAnsi="Times New Roman"/>
          <w:sz w:val="24"/>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hAnsi="Times New Roman"/>
          <w:sz w:val="24"/>
          <w:u w:val="single"/>
        </w:rPr>
        <w:t>subsection (b)</w:t>
      </w:r>
      <w:r>
        <w:rPr>
          <w:rFonts w:ascii="Times New Roman" w:hAnsi="Times New Roman"/>
          <w:sz w:val="24"/>
        </w:rPr>
        <w:t xml:space="preserve">, participations in L/C Obligations and Swingline Loans) at the time owing to it); </w:t>
      </w:r>
      <w:r>
        <w:rPr>
          <w:rFonts w:ascii="Times New Roman" w:hAnsi="Times New Roman"/>
          <w:sz w:val="24"/>
          <w:u w:val="single"/>
        </w:rPr>
        <w:t>provided</w:t>
      </w:r>
      <w:r>
        <w:rPr>
          <w:rFonts w:ascii="Times New Roman" w:hAnsi="Times New Roman"/>
          <w:sz w:val="24"/>
        </w:rPr>
        <w:t xml:space="preserve"> that any such assignment shall be subject to the following conditions: </w:t>
      </w:r>
    </w:p>
    <w:p>
      <w:pPr>
        <w:pStyle w:val="TextBody"/>
        <w:bidi w:val="0"/>
        <w:spacing w:before="240" w:after="0"/>
        <w:jc w:val="both"/>
        <w:rPr>
          <w:rFonts w:ascii="Times New Roman" w:hAnsi="Times New Roman"/>
          <w:sz w:val="24"/>
        </w:rPr>
      </w:pPr>
      <w:r>
        <w:rPr>
          <w:rFonts w:ascii="Times New Roman" w:hAnsi="Times New Roman"/>
          <w:sz w:val="24"/>
        </w:rPr>
        <w:t xml:space="preserve">(a) Minimum Amounts. </w:t>
      </w:r>
    </w:p>
    <w:p>
      <w:pPr>
        <w:pStyle w:val="TextBody"/>
        <w:bidi w:val="0"/>
        <w:spacing w:before="240" w:after="0"/>
        <w:jc w:val="both"/>
        <w:rPr>
          <w:rFonts w:ascii="Times New Roman" w:hAnsi="Times New Roman"/>
          <w:sz w:val="24"/>
        </w:rPr>
      </w:pPr>
      <w:r>
        <w:rPr>
          <w:rFonts w:ascii="Times New Roman" w:hAnsi="Times New Roman"/>
          <w:sz w:val="24"/>
        </w:rPr>
        <w:t xml:space="preserve">(1) in the case of an assignment of the entire remaining amount of the assigning Lender’s Commitment and the Loans at the time owing to it or in the case of an assignment to a Lender, an Affiliate of a Lender, no minimum amount need be assigned; and </w:t>
      </w:r>
    </w:p>
    <w:p>
      <w:pPr>
        <w:pStyle w:val="TextBody"/>
        <w:bidi w:val="0"/>
        <w:spacing w:before="240" w:after="0"/>
        <w:jc w:val="both"/>
        <w:rPr>
          <w:rFonts w:ascii="Times New Roman" w:hAnsi="Times New Roman"/>
          <w:sz w:val="24"/>
        </w:rPr>
      </w:pPr>
      <w:r>
        <w:rPr>
          <w:rFonts w:ascii="Times New Roman" w:hAnsi="Times New Roman"/>
          <w:sz w:val="24"/>
        </w:rPr>
        <w:t xml:space="preserve">(2) in any case not described in </w:t>
      </w:r>
      <w:r>
        <w:rPr>
          <w:rFonts w:ascii="Times New Roman" w:hAnsi="Times New Roman"/>
          <w:sz w:val="24"/>
          <w:u w:val="single"/>
        </w:rPr>
        <w:t>subsection (b)(i)(A)</w:t>
      </w:r>
      <w:r>
        <w:rPr>
          <w:rFonts w:ascii="Times New Roman" w:hAnsi="Times New Roman"/>
          <w:sz w:val="24"/>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Proportionate Amounts</w:t>
      </w:r>
      <w:r>
        <w:rPr>
          <w:rFonts w:ascii="Times New Roman" w:hAnsi="Times New Roman"/>
          <w:sz w:val="24"/>
        </w:rPr>
        <w:t xml:space="preserve">. Each partial assignment shall be made as an assignment of a proportionate part of all the assigning Lender’s rights and obligations under this Agreement with respect to the Loans or the Commitment assigned except that this clause (ii) shall not apply to the Swingline Lender’s rights and obligations in respect of Swingline Loans;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Required Consents</w:t>
      </w:r>
      <w:r>
        <w:rPr>
          <w:rFonts w:ascii="Times New Roman" w:hAnsi="Times New Roman"/>
          <w:sz w:val="24"/>
        </w:rPr>
        <w:t xml:space="preserve">. No consent shall be required for any assignment except to the extent required by </w:t>
      </w:r>
      <w:r>
        <w:rPr>
          <w:rFonts w:ascii="Times New Roman" w:hAnsi="Times New Roman"/>
          <w:sz w:val="24"/>
          <w:u w:val="single"/>
        </w:rPr>
        <w:t>subsection (b)(i)(B)</w:t>
      </w:r>
      <w:r>
        <w:rPr>
          <w:rFonts w:ascii="Times New Roman" w:hAnsi="Times New Roman"/>
          <w:sz w:val="24"/>
        </w:rPr>
        <w:t xml:space="preserve"> of this Section and, in addition: </w:t>
      </w:r>
    </w:p>
    <w:p>
      <w:pPr>
        <w:pStyle w:val="TextBody"/>
        <w:bidi w:val="0"/>
        <w:spacing w:before="240" w:after="0"/>
        <w:jc w:val="both"/>
        <w:rPr>
          <w:rFonts w:ascii="Times New Roman" w:hAnsi="Times New Roman"/>
          <w:sz w:val="24"/>
        </w:rPr>
      </w:pPr>
      <w:r>
        <w:rPr>
          <w:rFonts w:ascii="Times New Roman" w:hAnsi="Times New Roman"/>
          <w:sz w:val="24"/>
        </w:rPr>
        <w:t xml:space="preserve">(1) the consent of the Company (such consent not to be unreasonably withheld or delayed) shall be required unless (1) an Event of Default has occurred and is continuing at the time of such assignment or (2) such assignment is to a Lender or an Affiliate of a Lender;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(2) the consent of the Administrative Agent (such consent not to be unreasonably withheld or delayed) shall be required if such assignment is to a Person that is not a Lender or an Affiliate of such Lender; and </w:t>
      </w:r>
    </w:p>
    <w:p>
      <w:pPr>
        <w:pStyle w:val="TextBody"/>
        <w:bidi w:val="0"/>
        <w:spacing w:before="240" w:after="0"/>
        <w:jc w:val="both"/>
        <w:rPr>
          <w:rFonts w:ascii="Times New Roman" w:hAnsi="Times New Roman"/>
          <w:sz w:val="24"/>
        </w:rPr>
      </w:pPr>
      <w:r>
        <w:rPr>
          <w:rFonts w:ascii="Times New Roman" w:hAnsi="Times New Roman"/>
          <w:sz w:val="24"/>
        </w:rPr>
        <w:t xml:space="preserve">(3) the consent of each Issuing Bank and the Swingline Lender (such consent not to be unreasonably withheld or delayed) shall be required for each assignment of Commitments.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Assignment and Assumption</w:t>
      </w:r>
      <w:r>
        <w:rPr>
          <w:rFonts w:ascii="Times New Roman" w:hAnsi="Times New Roman"/>
          <w:sz w:val="24"/>
        </w:rPr>
        <w:t xml:space="preserve">. The parties to each assignment shall execute and deliver to the Administrative Agent an Assignment and Assumption, together with a processing and recordation fee in the amount of $3,500;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Administrative Agent may, in its sole discretion, elect to waive such processing and recordation fee in the case of any assignment. The assignee, if it is not a Lender, shall deliver to the Administrative Agent an administrative questionnaire in form and substance reasonably satisfactory to the Administrative Agent.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No Assignment to Certain Persons</w:t>
      </w:r>
      <w:r>
        <w:rPr>
          <w:rFonts w:ascii="Times New Roman" w:hAnsi="Times New Roman"/>
          <w:sz w:val="24"/>
        </w:rPr>
        <w:t xml:space="preserve">. No such assignment shall be made (A) to the Company or any of the Company’s Affiliates, or (B) to any Defaulting Lender or any of its Subsidiaries, or any Person who, upon becoming a Lender hereunder, would constitute any of the foregoing Persons described in this clause (B), or (C) to a natural person.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Certain Additional Payments</w:t>
      </w:r>
      <w:r>
        <w:rPr>
          <w:rFonts w:ascii="Times New Roman" w:hAnsi="Times New Roman"/>
          <w:sz w:val="24"/>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 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under this Agreement then due and owing by such Defaulting Lender to the Administrative Agent, any Issuing Bank or any Lender hereunder (and interest accrued thereon) and (y) acquire (and fund as appropriate) its full pro rata share of all Loans and participations in Letters of Credit and Swingline Loans in accordance with its Commitment Ratio.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both"/>
        <w:rPr>
          <w:rFonts w:ascii="Times New Roman" w:hAnsi="Times New Roman"/>
          <w:sz w:val="24"/>
        </w:rPr>
      </w:pPr>
      <w:r>
        <w:rPr>
          <w:rFonts w:ascii="Times New Roman" w:hAnsi="Times New Roman"/>
          <w:sz w:val="24"/>
        </w:rPr>
        <w:t xml:space="preserve">Subject to acceptance and recording thereof by the Administrative Agent pursuant to </w:t>
      </w:r>
      <w:r>
        <w:rPr>
          <w:rFonts w:ascii="Times New Roman" w:hAnsi="Times New Roman"/>
          <w:sz w:val="24"/>
          <w:u w:val="single"/>
        </w:rPr>
        <w:t>subsection</w:t>
      </w:r>
      <w:r>
        <w:rPr>
          <w:rFonts w:ascii="Times New Roman" w:hAnsi="Times New Roman"/>
          <w:sz w:val="24"/>
        </w:rPr>
        <w:t xml:space="preserve">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4"/>
          <w:u w:val="single"/>
        </w:rPr>
        <w:t>Sections 10.3</w:t>
      </w:r>
      <w:r>
        <w:rPr>
          <w:rFonts w:ascii="Times New Roman" w:hAnsi="Times New Roman"/>
          <w:sz w:val="24"/>
        </w:rPr>
        <w:t xml:space="preserve">, 10.2 and </w:t>
      </w:r>
      <w:r>
        <w:rPr>
          <w:rFonts w:ascii="Times New Roman" w:hAnsi="Times New Roman"/>
          <w:sz w:val="24"/>
          <w:u w:val="single"/>
        </w:rPr>
        <w:t>10.5</w:t>
      </w:r>
      <w:r>
        <w:rPr>
          <w:rFonts w:ascii="Times New Roman" w:hAnsi="Times New Roman"/>
          <w:sz w:val="24"/>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hAnsi="Times New Roman"/>
          <w:sz w:val="24"/>
          <w:u w:val="single"/>
        </w:rPr>
        <w:t>subsection (d)</w:t>
      </w:r>
      <w:r>
        <w:rPr>
          <w:rFonts w:ascii="Times New Roman" w:hAnsi="Times New Roman"/>
          <w:sz w:val="24"/>
        </w:rPr>
        <w:t xml:space="preserve"> of this Section.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Register</w:t>
      </w:r>
      <w:r>
        <w:rPr>
          <w:rFonts w:ascii="Times New Roman" w:hAnsi="Times New Roman"/>
          <w:sz w:val="24"/>
        </w:rPr>
        <w:t>. The Administrative Agent, acting solely for this purpose as an agent of the Company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Times New Roman" w:hAnsi="Times New Roman"/>
          <w:sz w:val="24"/>
          <w:u w:val="single"/>
        </w:rPr>
        <w:t>Register</w:t>
      </w:r>
      <w:r>
        <w:rPr>
          <w:rFonts w:ascii="Times New Roman" w:hAnsi="Times New Roman"/>
          <w:sz w:val="24"/>
        </w:rPr>
        <w:t xml:space="preserve">”).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This Section 12.4(c) shall be construed so that the Obligations are at all times maintained in “registered form” within the meaning of Sections 163(f), 871(h)(2) and 881(c)(2) of the Code and any related regulations (and any other relevant or successor provisions of the Code or Treasury Regulations promulgated thereunder). The Register shall be available for inspection by the Company and any Lender, as to its Commitments only, at any reasonable time and from time to time upon reasonable prior notice.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Participations</w:t>
      </w:r>
      <w:r>
        <w:rPr>
          <w:rFonts w:ascii="Times New Roman" w:hAnsi="Times New Roman"/>
          <w:sz w:val="24"/>
        </w:rPr>
        <w:t>. Any Lender may at any time, without the consent of, or notice to, the Borrower or the Administrative Agent or any Issuing Bank, sell participations to any Person (other than a natural person, a Defaulting Lender or the Company or any of the Company’s Affiliates) (each, a “</w:t>
      </w:r>
      <w:r>
        <w:rPr>
          <w:rFonts w:ascii="Times New Roman" w:hAnsi="Times New Roman"/>
          <w:sz w:val="24"/>
          <w:u w:val="single"/>
        </w:rPr>
        <w:t>Participant</w:t>
      </w:r>
      <w:r>
        <w:rPr>
          <w:rFonts w:ascii="Times New Roman" w:hAnsi="Times New Roman"/>
          <w:sz w:val="24"/>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hAnsi="Times New Roman"/>
          <w:sz w:val="24"/>
          <w:u w:val="single"/>
        </w:rPr>
        <w:t>provided</w:t>
      </w:r>
      <w:r>
        <w:rPr>
          <w:rFonts w:ascii="Times New Roman" w:hAnsi="Times New Roman"/>
          <w:sz w:val="24"/>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Issuing Banks shall continue to deal solely and directly with such Lender in connection with such Lender’s rights and obligations under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4"/>
          <w:u w:val="single"/>
        </w:rPr>
        <w:t>provided</w:t>
      </w:r>
      <w:r>
        <w:rPr>
          <w:rFonts w:ascii="Times New Roman" w:hAnsi="Times New Roman"/>
          <w:sz w:val="24"/>
        </w:rPr>
        <w:t xml:space="preserve"> that such agreement or instrument may provide that such Lender will not, without the consent of the Participant, agree to any amendment, waiver or other modification described in clauses (ii)(A),(B) or (C) of </w:t>
      </w:r>
      <w:r>
        <w:rPr>
          <w:rFonts w:ascii="Times New Roman" w:hAnsi="Times New Roman"/>
          <w:sz w:val="24"/>
          <w:u w:val="single"/>
        </w:rPr>
        <w:t>Section 12.12(a)</w:t>
      </w:r>
      <w:r>
        <w:rPr>
          <w:rFonts w:ascii="Times New Roman" w:hAnsi="Times New Roman"/>
          <w:sz w:val="24"/>
        </w:rPr>
        <w:t xml:space="preserve"> that affects such Participant. Subject to subsection (e) of this Section, the Borrower agrees that each Participant shall be entitled to the benefits of Section 10.3 to the same extent as if it were a Lender and had acquired its interest by assignment pursuant to </w:t>
      </w:r>
      <w:r>
        <w:rPr>
          <w:rFonts w:ascii="Times New Roman" w:hAnsi="Times New Roman"/>
          <w:sz w:val="24"/>
          <w:u w:val="single"/>
        </w:rPr>
        <w:t>subsection (b)</w:t>
      </w:r>
      <w:r>
        <w:rPr>
          <w:rFonts w:ascii="Times New Roman" w:hAnsi="Times New Roman"/>
          <w:sz w:val="24"/>
        </w:rPr>
        <w:t xml:space="preserve">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 Participant shall not be entitled to receive any greater payment under Section 10.3 than the applicable Lender would have been entitled to receive with respect to the participation sold to such Participant. A Participant that would be a foreign Lender if it were a Lender shall not be entitled to the benefits of Section 2.12 unless the Company is notified of the participation sold to such Participant and such Participant agrees, for the benefit of the Company, to comply with Section 2.12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sz w:val="24"/>
          <w:u w:val="single"/>
        </w:rPr>
        <w:t>Participant</w:t>
      </w:r>
      <w:r>
        <w:rPr>
          <w:rFonts w:ascii="Times New Roman" w:hAnsi="Times New Roman"/>
          <w:sz w:val="24"/>
        </w:rPr>
        <w:t xml:space="preserve"> </w:t>
      </w:r>
      <w:r>
        <w:rPr>
          <w:rFonts w:ascii="Times New Roman" w:hAnsi="Times New Roman"/>
          <w:sz w:val="24"/>
          <w:u w:val="single"/>
        </w:rPr>
        <w:t>Register</w:t>
      </w:r>
      <w:r>
        <w:rPr>
          <w:rFonts w:ascii="Times New Roman" w:hAnsi="Times New Roman"/>
          <w:sz w:val="24"/>
        </w:rPr>
        <w:t xml:space="preserve">”); provided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each Lender that sells a participation shall make a copy of the Participant Register available for the Borrower and the Administrative Agent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the Borrower, the Lenders and the Administrative Agent shall treat each Person whose name is recorded in the Participant Register as the owner of such participation for all purposes of this Agreement, notwithstanding any notice to the contrary.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Certain Pledges</w:t>
      </w:r>
      <w:r>
        <w:rPr>
          <w:rFonts w:ascii="Times New Roman" w:hAnsi="Times New Roman"/>
          <w:sz w:val="24"/>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banking authority; </w:t>
      </w:r>
      <w:r>
        <w:rPr>
          <w:rFonts w:ascii="Times New Roman" w:hAnsi="Times New Roman"/>
          <w:sz w:val="24"/>
          <w:u w:val="single"/>
        </w:rPr>
        <w:t>provided</w:t>
      </w:r>
      <w:r>
        <w:rPr>
          <w:rFonts w:ascii="Times New Roman" w:hAnsi="Times New Roman"/>
          <w:sz w:val="24"/>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both"/>
        <w:rPr>
          <w:rFonts w:ascii="Times New Roman" w:hAnsi="Times New Roman"/>
          <w:sz w:val="24"/>
        </w:rPr>
      </w:pPr>
      <w:r>
        <w:rPr>
          <w:rFonts w:ascii="Times New Roman" w:hAnsi="Times New Roman"/>
          <w:sz w:val="24"/>
        </w:rPr>
        <w:t>(vi) Notwithstanding anything to the contrary contained herein, any Lender (a “</w:t>
      </w:r>
      <w:r>
        <w:rPr>
          <w:rFonts w:ascii="Times New Roman" w:hAnsi="Times New Roman"/>
          <w:sz w:val="24"/>
          <w:u w:val="single"/>
        </w:rPr>
        <w:t>Granting Lender</w:t>
      </w:r>
      <w:r>
        <w:rPr>
          <w:rFonts w:ascii="Times New Roman" w:hAnsi="Times New Roman"/>
          <w:sz w:val="24"/>
        </w:rPr>
        <w:t>”) may grant to a special purpose funding vehicle (an “</w:t>
      </w:r>
      <w:r>
        <w:rPr>
          <w:rFonts w:ascii="Times New Roman" w:hAnsi="Times New Roman"/>
          <w:sz w:val="24"/>
          <w:u w:val="single"/>
        </w:rPr>
        <w:t>SPC</w:t>
      </w:r>
      <w:r>
        <w:rPr>
          <w:rFonts w:ascii="Times New Roman" w:hAnsi="Times New Roman"/>
          <w:sz w:val="24"/>
        </w:rPr>
        <w:t xml:space="preserve">”) sponsored by such Granting Lender, identified as such in writing from time to time by the Granting Lender to the Administrative Agent and the Borrower, the option to provide to the Borrower all or any part of any Advance that such Granting Lender would otherwise be obligated to make to the Borrower pursuant to this Agreement; </w:t>
      </w:r>
      <w:r>
        <w:rPr>
          <w:rFonts w:ascii="Times New Roman" w:hAnsi="Times New Roman"/>
          <w:sz w:val="24"/>
          <w:u w:val="single"/>
        </w:rPr>
        <w:t>provided</w:t>
      </w:r>
      <w:r>
        <w:rPr>
          <w:rFonts w:ascii="Times New Roman" w:hAnsi="Times New Roman"/>
          <w:sz w:val="24"/>
        </w:rPr>
        <w:t xml:space="preserve"> that (i) nothing herein shall constitute a commitment by any SPC to make any Advance and (ii) if an SPC elects not to exercise such option or otherwise fails to provide all or any part of such Advance, the Granting Lender shall be obligated to make such Advance pursuant to the terms hereof. The Loans by an SPC hereunder shall be Revolving Loans of the Granting Lender to the same extent, and as if, such Loans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solely in its capacity as a party hereto and to any other Loan Document,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12.4,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SPC may (i) with notice to, but without the prior written consent of, the Borrower and the Administrative Agent and without paying any processing fee therefor, assign all or a portion of its interests in any Advances to the Granting Lender or to any financial institutions (consented to by the Borrower and the Administrative Agent) providing liquidity and/or credit support to or for the account of such SPC to support the funding or maintenance of Advances and (ii) disclose on a confidential basis any non-public information relating to its Advances to any rating agency, commercial paper dealer or provider of any surety, guarantee or credit or liquidity enhancement to such SPC. This Section 12.4(f) may not be amended without the written consent of any SPC which has been designated in writing as provided in the first sentence hereof and holds any outstanding Loans. The designation by a Granting Lender of an SPC to fund Advances shall be deemed to be a representation, warranty, covenant and agreement by such Granting Lender to the Borrower and all other parties hereunder that (A) the funding and maintaining of such Advances by such SPC shall not constitute a “prohibited transaction” (as such term is defined in Section 406 of ERISA or Section 4975 of the Code), and (B) such designation, funding and maintenance would not result in any interest requiring registration under the Securities Act of 1933, as amended, or qualification under any state securities law. The SPC shall from time to time provide to the Borrower the tax and other forms required pursuant to </w:t>
      </w:r>
      <w:r>
        <w:rPr>
          <w:rFonts w:ascii="Times New Roman" w:hAnsi="Times New Roman"/>
          <w:sz w:val="24"/>
          <w:u w:val="single"/>
        </w:rPr>
        <w:t>Section 2.12</w:t>
      </w:r>
      <w:r>
        <w:rPr>
          <w:rFonts w:ascii="Times New Roman" w:hAnsi="Times New Roman"/>
          <w:sz w:val="24"/>
        </w:rPr>
        <w:t xml:space="preserve"> hereof with respect to such SPC as though such SPC were a Lender hereunder. In no event shall the Borrower or any Lender other than the Granting Lender be obligated hereunder to pay any additional amounts under any provision of this Agreement (pursuant to Article 10 hereof or otherwise) by reason of a Granting Lender’s designation of an SPC or the funding or maintenance of Advances by such SPC, in excess of amounts which the Borrower would have been obligated to pay if such Granting Lender had not made such designation and such Granting Lender were itself funding and maintaining such Advances. The Administrative Agent shall register the interest of any SPC in an Advance from time to time on the Register maintained pursuant to </w:t>
      </w:r>
      <w:r>
        <w:rPr>
          <w:rFonts w:ascii="Times New Roman" w:hAnsi="Times New Roman"/>
          <w:sz w:val="24"/>
          <w:u w:val="single"/>
        </w:rPr>
        <w:t>Section 12.4(c)</w:t>
      </w:r>
      <w:r>
        <w:rPr>
          <w:rFonts w:ascii="Times New Roman" w:hAnsi="Times New Roman"/>
          <w:sz w:val="24"/>
        </w:rPr>
        <w:t xml:space="preserve"> hereof. </w:t>
      </w:r>
    </w:p>
    <w:p>
      <w:pPr>
        <w:pStyle w:val="TextBody"/>
        <w:bidi w:val="0"/>
        <w:spacing w:before="240" w:after="0"/>
        <w:jc w:val="both"/>
        <w:rPr>
          <w:rFonts w:ascii="Times New Roman" w:hAnsi="Times New Roman"/>
          <w:sz w:val="24"/>
        </w:rPr>
      </w:pPr>
      <w:r>
        <w:rPr>
          <w:rFonts w:ascii="Times New Roman" w:hAnsi="Times New Roman"/>
          <w:sz w:val="24"/>
        </w:rPr>
        <w:t>(vii) </w:t>
      </w:r>
      <w:r>
        <w:rPr>
          <w:rFonts w:ascii="Times New Roman" w:hAnsi="Times New Roman"/>
          <w:sz w:val="24"/>
          <w:u w:val="single"/>
        </w:rPr>
        <w:t>Resignation as Issuing Bank or Swingline Lender after Assignment</w:t>
      </w:r>
      <w:r>
        <w:rPr>
          <w:rFonts w:ascii="Times New Roman" w:hAnsi="Times New Roman"/>
          <w:sz w:val="24"/>
        </w:rPr>
        <w:t xml:space="preserve">. Notwithstanding anything to the contrary contained herein, if at any time Toronto Dominion assigns all of its Revolving Loan Commitment and Loans pursuant to </w:t>
      </w:r>
      <w:r>
        <w:rPr>
          <w:rFonts w:ascii="Times New Roman" w:hAnsi="Times New Roman"/>
          <w:sz w:val="24"/>
          <w:u w:val="single"/>
        </w:rPr>
        <w:t>subsection (b)</w:t>
      </w:r>
      <w:r>
        <w:rPr>
          <w:rFonts w:ascii="Times New Roman" w:hAnsi="Times New Roman"/>
          <w:sz w:val="24"/>
        </w:rPr>
        <w:t xml:space="preserve"> above, Toronto Dominion may, (i) upon thirty (30) days’ notice to the Company and the Lenders, resign as Issuing Bank and (ii) (i) upon thirty (30) days’ notice to the Company, resign as Swingline Lender. In the event of any such resignation as Issuing Bank or Swingline Lender, the Company shall be entitled to appoint from among the Lenders a successor Issuing Bank or Swingline Lender hereunder;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failure by the Company to appoint any such successor shall affect the resignation of Toronto Dominion as Issuing Bank or Swingline Lender, as the case may be. If Toronto Dominion resigns as Issuing Bank, it shall retain all the rights, powers, privileges and duties of an Issuing Bank hereunder with respect to all Letters of Credit outstanding as of the effective date of its resignation as Issuing Bank and all L/C Obligations with respect thereto (including the right to require the Lenders to make Base Rate Advances or fund risk participations in Unreimbursed Amounts pursuant to </w:t>
      </w:r>
      <w:r>
        <w:rPr>
          <w:rFonts w:ascii="Times New Roman" w:hAnsi="Times New Roman"/>
          <w:sz w:val="24"/>
          <w:u w:val="single"/>
        </w:rPr>
        <w:t>Section 2.13(c)</w:t>
      </w:r>
      <w:r>
        <w:rPr>
          <w:rFonts w:ascii="Times New Roman" w:hAnsi="Times New Roman"/>
          <w:sz w:val="24"/>
        </w:rPr>
        <w:t xml:space="preserve">). If Toronto Dominion resigns as Swingline Lender, it shall retain all the rights of the Swingline Lender provided for hereunder with respect to Swingline Loans made by it and outstanding as of the effective date of such resignation, including the right to require the Lenders to make Revolving Loans (in the form of Base Rate Advances) or fund risk participations in outstanding Swingline Loans pursuant to </w:t>
      </w:r>
      <w:r>
        <w:rPr>
          <w:rFonts w:ascii="Times New Roman" w:hAnsi="Times New Roman"/>
          <w:sz w:val="24"/>
          <w:u w:val="single"/>
        </w:rPr>
        <w:t>Section 2.17(c)</w:t>
      </w:r>
      <w:r>
        <w:rPr>
          <w:rFonts w:ascii="Times New Roman" w:hAnsi="Times New Roman"/>
          <w:sz w:val="24"/>
        </w:rPr>
        <w:t xml:space="preserve">. Upon the appointment of a successor Issuing Bank or Swingline Lender, (a) such successor shall succeed to and become vested with all of the rights, powers, privileges and duties of the retiring Issuing Bank or Swingline Lender, and (b) the successor Issuing Bank shall issue letters of credit in substitution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for the Letters of Credit, if any, outstanding at the time of such succession or make other arrangements satisfactory to Toronto Dominion to effectively assume the obligations of Toronto Dominion with respect to such Letters of Credit. </w:t>
      </w:r>
    </w:p>
    <w:p>
      <w:pPr>
        <w:pStyle w:val="TextBody"/>
        <w:bidi w:val="0"/>
        <w:spacing w:before="240" w:after="0"/>
        <w:jc w:val="both"/>
        <w:rPr>
          <w:rFonts w:ascii="Times New Roman" w:hAnsi="Times New Roman"/>
          <w:sz w:val="24"/>
        </w:rPr>
      </w:pPr>
      <w:r>
        <w:rPr>
          <w:rFonts w:ascii="Times New Roman" w:hAnsi="Times New Roman"/>
          <w:sz w:val="24"/>
        </w:rPr>
        <w:t>Section 12.5 </w:t>
      </w:r>
      <w:r>
        <w:rPr>
          <w:rFonts w:ascii="Times New Roman" w:hAnsi="Times New Roman"/>
          <w:sz w:val="24"/>
          <w:u w:val="single"/>
        </w:rPr>
        <w:t>Indemnity</w:t>
      </w:r>
      <w:r>
        <w:rPr>
          <w:rFonts w:ascii="Times New Roman" w:hAnsi="Times New Roman"/>
          <w:sz w:val="24"/>
        </w:rPr>
        <w:t>. The Borrower agrees to indemnify and hold harmless each Lender, the Administrative Agent, the Issuing Banks and each of their respective Affiliates, employees, representatives, shareholders, partners, agents, officers and directors (any of the foregoing shall be an “</w:t>
      </w:r>
      <w:r>
        <w:rPr>
          <w:rFonts w:ascii="Times New Roman" w:hAnsi="Times New Roman"/>
          <w:sz w:val="24"/>
          <w:u w:val="single"/>
        </w:rPr>
        <w:t>Indemnitee</w:t>
      </w:r>
      <w:r>
        <w:rPr>
          <w:rFonts w:ascii="Times New Roman" w:hAnsi="Times New Roman"/>
          <w:sz w:val="24"/>
        </w:rPr>
        <w:t xml:space="preserve">”) from and against any and all claims, liabilities, obligations, losses, damages, actions, reasonable and documented external attorneys’ fees and expenses (as such fees and expenses are reasonably incurred), penalties, judgments, suits, reasonable and documented out-of-pocket costs and demands by any third party, including the costs of investigating and defending such claims, whether or not the Company or the Person seeking indemnification is the prevailing party (a) resulting from any breach or alleged breach by the Company of any representation or warranty made hereunder or under any Loan Document; or (b) otherwise arising out of (i) the Commitments or otherwise under this Agreement, any Loan Document or any transaction contemplated hereby or thereby, including, without limitation, the use of the proceeds of Loans hereunder in any fashion by the Borrower or the performance of its obligations under the Loan Documents, (ii) allegations of any participation by a Lender, the Administrative Agent, an Issuing Bank or any of them, in the affairs of the Company or any of its Subsidiaries, or allegations that any of them has any joint liability with the Company for any reason and (iii) any claims against the Lenders, the Administrative Agent, the Issuing Banks or any of them, by any shareholder or other investor in or lender to the Borrower, by any brokers or finders or investment advisers or investment bankers retained by the Borrower or by any other third party, arising out of the Commitments or otherwise under this Agreement, except to the extent that (A) the </w:t>
      </w:r>
      <w:r>
        <w:rPr>
          <w:rFonts w:ascii="Times New Roman" w:hAnsi="Times New Roman"/>
          <w:strike/>
          <w:color w:val="FF0000"/>
          <w:sz w:val="24"/>
        </w:rPr>
        <w:t xml:space="preserve">Person </w:t>
      </w:r>
      <w:r>
        <w:rPr>
          <w:rFonts w:ascii="Times New Roman" w:hAnsi="Times New Roman"/>
          <w:color w:val="0000FF"/>
          <w:sz w:val="24"/>
          <w:u w:val="single"/>
          <w:bdr w:val="double" w:sz="2" w:space="1" w:color="000000"/>
        </w:rPr>
        <w:t>Indemnitee</w:t>
      </w:r>
      <w:r>
        <w:rPr>
          <w:rFonts w:ascii="Times New Roman" w:hAnsi="Times New Roman"/>
          <w:sz w:val="24"/>
        </w:rPr>
        <w:t xml:space="preserve"> seeking indemnification hereunder is determined in such case to have acted with gross negligence or willful misconduct, in any case, by a final, non-appealable judicial order of a court of competent jurisdiction or (B) such claims are for lost profits, foreseeable and unforeseeable, consequential, special, incidental or indirect damages or punitive damages. Upon receipt of notice in writing of any actual or prospective claim, litigation, investigation or proceeding for which indemnification is provided pursuant to the immediately preceding sentence (a “</w:t>
      </w:r>
      <w:r>
        <w:rPr>
          <w:rFonts w:ascii="Times New Roman" w:hAnsi="Times New Roman"/>
          <w:sz w:val="24"/>
          <w:u w:val="single"/>
        </w:rPr>
        <w:t>Relevant Proceeding</w:t>
      </w:r>
      <w:r>
        <w:rPr>
          <w:rFonts w:ascii="Times New Roman" w:hAnsi="Times New Roman"/>
          <w:sz w:val="24"/>
        </w:rPr>
        <w:t xml:space="preserve">”), the recipient shall promptly notify the Administrative Agent (which shall promptly notify the other parties hereto) thereof, and the Company and the Lenders agree to consult, to the extent appropriate, with a view to minimizing the cost to the Company of its obligations hereunder. The Company shall be entitled, to the extent feasible, to participate in any Relevant Proceeding and shall be entitled to assume the defense thereof with counsel of the Company’s choice;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counsel shall be reasonably satisfactory to such of the Indemnitees as are parties thereto;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however, that, after the Company has assumed the defense of any Relevant Proceeding, it will not settle, compromise or consent to the entry of any order adjudicating or otherwise disposing of any claims against any Indemnitee (1) if such settlement, compromise or order involves the payment of money damages, except if the Company agrees, as between the Company and such Indemnitee, to pay such money damages, and, if not simultaneously paid, to furnish such Indemnitee with satisfactory evidence of its ability to pay the same, and (2) if such settlement, compromise or order involves any relief against such Indemnitee other than the payment of money damages, except with the prior written consent of such Indemnitee (which consent shall not be unreasonably withheld). Notwithstanding the Company’s election to assume the defense of such Relevant Proceeding, such of the Indemnitees as are parties thereto shall have the right to employ separate counsel and to participate in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defense of such action or proceeding at the expense of such Indemnitee. The obligations of the Company under this Section 12.5 are in addition to, and shall not otherwise limit, any liabilities which the Company might otherwise have in connection with any warranties or similar obligations of the Company in any other Loan Document. Notwithstanding the foregoing, this Section 12.5 shall not apply with respect to Taxes other than any Taxes that represent losses, claims, damages, etc. arising from any non-Tax claim. </w:t>
      </w:r>
    </w:p>
    <w:p>
      <w:pPr>
        <w:pStyle w:val="TextBody"/>
        <w:bidi w:val="0"/>
        <w:spacing w:before="240" w:after="0"/>
        <w:jc w:val="both"/>
        <w:rPr>
          <w:rFonts w:ascii="Times New Roman" w:hAnsi="Times New Roman"/>
          <w:sz w:val="24"/>
        </w:rPr>
      </w:pPr>
      <w:r>
        <w:rPr>
          <w:rFonts w:ascii="Times New Roman" w:hAnsi="Times New Roman"/>
          <w:sz w:val="24"/>
        </w:rPr>
        <w:t>Section 12.6 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12.7 </w:t>
      </w:r>
      <w:r>
        <w:rPr>
          <w:rFonts w:ascii="Times New Roman" w:hAnsi="Times New Roman"/>
          <w:sz w:val="24"/>
          <w:u w:val="single"/>
        </w:rPr>
        <w:t>Counterparts</w:t>
      </w:r>
      <w:r>
        <w:rPr>
          <w:rFonts w:ascii="Times New Roman" w:hAnsi="Times New Roman"/>
          <w:sz w:val="24"/>
        </w:rPr>
        <w:t xml:space="preserve">. This Agreement may be executed in any number of counterparts, each of which shall be deemed to be an original, but all such separate counterparts shall together constitute one and the same instrument.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Requests for Advances,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sz w:val="24"/>
          <w:u w:val="single"/>
        </w:rPr>
        <w:t>provided</w:t>
      </w:r>
      <w:r>
        <w:rPr>
          <w:rFonts w:ascii="Times New Roman" w:hAnsi="Times New Roman"/>
          <w:sz w:val="24"/>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240" w:after="0"/>
        <w:jc w:val="both"/>
        <w:rPr>
          <w:rFonts w:ascii="Times New Roman" w:hAnsi="Times New Roman"/>
          <w:sz w:val="24"/>
        </w:rPr>
      </w:pPr>
      <w:r>
        <w:rPr>
          <w:rFonts w:ascii="Times New Roman" w:hAnsi="Times New Roman"/>
          <w:sz w:val="24"/>
        </w:rPr>
        <w:t>Section 12.8 </w:t>
      </w:r>
      <w:r>
        <w:rPr>
          <w:rFonts w:ascii="Times New Roman" w:hAnsi="Times New Roman"/>
          <w:sz w:val="24"/>
          <w:u w:val="single"/>
        </w:rPr>
        <w:t>Governing Law; Jurisdiction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Governing Law</w:t>
      </w:r>
      <w:r>
        <w:rPr>
          <w:rFonts w:ascii="Times New Roman" w:hAnsi="Times New Roman"/>
          <w:sz w:val="24"/>
        </w:rPr>
        <w:t xml:space="preserve">. This Agreement and the Notes shall be construed in accordance with and governed by the internal laws of the State of New York applicable to agreements made and to be performed the State of New York.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Jurisdiction</w:t>
      </w:r>
      <w:r>
        <w:rPr>
          <w:rFonts w:ascii="Times New Roman" w:hAnsi="Times New Roman"/>
          <w:sz w:val="24"/>
        </w:rPr>
        <w:t xml:space="preserve">. The Borrower irrevocably and unconditionally agrees that it will not commence any action, litigation or proceeding of any kind or description, whether in law or equity, whether in contract or in tort or otherwise, against the Administrative Agent, any Lender, any Issuing Bank,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Lender or any Issuing Bank may otherwise have to bring any action or proceeding relating to this Agreement or any other Loan Document against the Borrower or its properties in the courts of any jurisdiction.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Waiver of Venue</w:t>
      </w:r>
      <w:r>
        <w:rPr>
          <w:rFonts w:ascii="Times New Roman" w:hAnsi="Times New Roman"/>
          <w:sz w:val="24"/>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Service of Process</w:t>
      </w:r>
      <w:r>
        <w:rPr>
          <w:rFonts w:ascii="Times New Roman" w:hAnsi="Times New Roman"/>
          <w:sz w:val="24"/>
        </w:rPr>
        <w:t xml:space="preserve">. Each party hereto irrevocably consents to service of process in the manner provided for notices in </w:t>
      </w:r>
      <w:r>
        <w:rPr>
          <w:rFonts w:ascii="Times New Roman" w:hAnsi="Times New Roman"/>
          <w:sz w:val="24"/>
          <w:u w:val="single"/>
        </w:rPr>
        <w:t>Section 12.1</w:t>
      </w:r>
      <w:r>
        <w:rPr>
          <w:rFonts w:ascii="Times New Roman" w:hAnsi="Times New Roman"/>
          <w:sz w:val="24"/>
        </w:rPr>
        <w:t xml:space="preserve">. Nothing in this Agreement will affect the right of any party hereto to serve process in any other manner permitted by applicable law. </w:t>
      </w:r>
    </w:p>
    <w:p>
      <w:pPr>
        <w:pStyle w:val="TextBody"/>
        <w:bidi w:val="0"/>
        <w:spacing w:before="240" w:after="0"/>
        <w:jc w:val="both"/>
        <w:rPr>
          <w:rFonts w:ascii="Times New Roman" w:hAnsi="Times New Roman"/>
          <w:sz w:val="24"/>
        </w:rPr>
      </w:pPr>
      <w:r>
        <w:rPr>
          <w:rFonts w:ascii="Times New Roman" w:hAnsi="Times New Roman"/>
          <w:sz w:val="24"/>
        </w:rPr>
        <w:t>Section 12.9 </w:t>
      </w:r>
      <w:r>
        <w:rPr>
          <w:rFonts w:ascii="Times New Roman" w:hAnsi="Times New Roman"/>
          <w:sz w:val="24"/>
          <w:u w:val="single"/>
        </w:rPr>
        <w:t>Severability</w:t>
      </w:r>
      <w:r>
        <w:rPr>
          <w:rFonts w:ascii="Times New Roman" w:hAnsi="Times New Roman"/>
          <w:sz w:val="24"/>
        </w:rPr>
        <w:t xml:space="preserve">. To the extent permitted by law, any provision of this Agreement which is prohibited or unenforceable in any jurisdiction shall be ineffective to the extent of such prohibition or unenforceability without invalidating the remaining provisions hereof in that jurisdiction or affecting the validity or enforceability of such provision in any other jurisdiction. </w:t>
      </w:r>
    </w:p>
    <w:p>
      <w:pPr>
        <w:pStyle w:val="TextBody"/>
        <w:bidi w:val="0"/>
        <w:spacing w:before="240" w:after="0"/>
        <w:jc w:val="both"/>
        <w:rPr>
          <w:rFonts w:ascii="Times New Roman" w:hAnsi="Times New Roman"/>
          <w:sz w:val="24"/>
        </w:rPr>
      </w:pPr>
      <w:r>
        <w:rPr>
          <w:rFonts w:ascii="Times New Roman" w:hAnsi="Times New Roman"/>
          <w:sz w:val="24"/>
        </w:rPr>
        <w:t>Section 12.10 </w:t>
      </w:r>
      <w:r>
        <w:rPr>
          <w:rFonts w:ascii="Times New Roman" w:hAnsi="Times New Roman"/>
          <w:sz w:val="24"/>
          <w:u w:val="single"/>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(i) In no event shall the amount of interest due or payable hereunder or under the Notes exceed the maximum rate of interest allowed by Applicable Law, and in the event any such payment is inadvertently made by the Borrower or inadvertently received by the Administrative Agent or any Lender, then such excess sum shall be credited as a payment of principal, unless, if no Event of Default shall have occurred and be continuing, the Borrower shall notify the Administrative Agent or such Lender, in writing, that it elects to have such excess sum returned forthwith. It is the express intent hereof that the Borrower not pay and the Administrative Agent and the Lenders not receive, directly or indirectly in any manner whatsoever, interest in excess of that which may legally be paid by the Borrower under Applicable Law. </w:t>
      </w:r>
    </w:p>
    <w:p>
      <w:pPr>
        <w:pStyle w:val="TextBody"/>
        <w:bidi w:val="0"/>
        <w:spacing w:before="240" w:after="0"/>
        <w:jc w:val="both"/>
        <w:rPr>
          <w:rFonts w:ascii="Times New Roman" w:hAnsi="Times New Roman"/>
          <w:sz w:val="24"/>
        </w:rPr>
      </w:pPr>
      <w:r>
        <w:rPr>
          <w:rFonts w:ascii="Times New Roman" w:hAnsi="Times New Roman"/>
          <w:sz w:val="24"/>
        </w:rPr>
        <w:t xml:space="preserve">(ii) Notwithstanding the use by the Lenders of the Base Rate and the Term Rate as reference rates for the determination of interest on the Loans, the Lenders shall be under no obligation to obtain funds from any particular source in order to charge interest to the Borrower at interest rates related to such reference rates. </w:t>
      </w:r>
    </w:p>
    <w:p>
      <w:pPr>
        <w:pStyle w:val="TextBody"/>
        <w:bidi w:val="0"/>
        <w:spacing w:before="240" w:after="0"/>
        <w:jc w:val="both"/>
        <w:rPr>
          <w:rFonts w:ascii="Times New Roman" w:hAnsi="Times New Roman"/>
          <w:sz w:val="24"/>
        </w:rPr>
      </w:pPr>
      <w:r>
        <w:rPr>
          <w:rFonts w:ascii="Times New Roman" w:hAnsi="Times New Roman"/>
          <w:sz w:val="24"/>
        </w:rPr>
        <w:t>Section 12.11 </w:t>
      </w:r>
      <w:r>
        <w:rPr>
          <w:rFonts w:ascii="Times New Roman" w:hAnsi="Times New Roman"/>
          <w:sz w:val="24"/>
          <w:u w:val="single"/>
        </w:rPr>
        <w:t>Table of Contents and Headings</w:t>
      </w:r>
      <w:r>
        <w:rPr>
          <w:rFonts w:ascii="Times New Roman" w:hAnsi="Times New Roman"/>
          <w:sz w:val="24"/>
        </w:rPr>
        <w:t xml:space="preserve">. The Table of Contents and the headings of the various subdivisions used in this Agreement are for convenience only and shall not in any way modify or amend any of the terms or provisions hereof, nor be used in connection with the interpretation of any provision hereof. </w:t>
      </w:r>
    </w:p>
    <w:p>
      <w:pPr>
        <w:pStyle w:val="TextBody"/>
        <w:bidi w:val="0"/>
        <w:spacing w:before="240" w:after="0"/>
        <w:jc w:val="both"/>
        <w:rPr>
          <w:rFonts w:ascii="Times New Roman" w:hAnsi="Times New Roman"/>
          <w:sz w:val="24"/>
        </w:rPr>
      </w:pPr>
      <w:r>
        <w:rPr>
          <w:rFonts w:ascii="Times New Roman" w:hAnsi="Times New Roman"/>
          <w:sz w:val="24"/>
        </w:rPr>
        <w:t>Section 12.12 </w:t>
      </w:r>
      <w:r>
        <w:rPr>
          <w:rFonts w:ascii="Times New Roman" w:hAnsi="Times New Roman"/>
          <w:sz w:val="24"/>
          <w:u w:val="single"/>
        </w:rPr>
        <w:t>Amendment and Waiver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(i) Neither this Agreement nor any Loan Document nor any term hereof or thereof may be amended orally, nor may any provision hereof or thereof be waived orally but only by an instrument in writing signed by or at the written direction of: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(a) except as set forth in (ii) and (iii) below, the Majority Lenders and, in the case of any amendment, by the Company; </w:t>
      </w:r>
    </w:p>
    <w:p>
      <w:pPr>
        <w:pStyle w:val="TextBody"/>
        <w:bidi w:val="0"/>
        <w:spacing w:before="240" w:after="0"/>
        <w:jc w:val="both"/>
        <w:rPr>
          <w:rFonts w:ascii="Times New Roman" w:hAnsi="Times New Roman"/>
          <w:sz w:val="24"/>
        </w:rPr>
      </w:pPr>
      <w:r>
        <w:rPr>
          <w:rFonts w:ascii="Times New Roman" w:hAnsi="Times New Roman"/>
          <w:sz w:val="24"/>
        </w:rPr>
        <w:t xml:space="preserve">(b) with respect to (A) any increase in the amount of any Lender’s portion of the Commitments or Commitment Ratios or any extension of any Lender’s Commitments, (B) any reduction in the rate of, or postponement in the payment of any interest or fees due hereunder or the payment thereof to any Lender without a corresponding payment of such interest or fee amount by the Borrower, (C) (1) any waiver of any Default due to the failure by the Borrower to pay any sum due to any of the Lenders hereunder or (2) any reduction in the principal amount of the Loans or the L/C Obligations without a corresponding payment, (D) any release of the Borrower from this Agreement, except in connection with a merger, sale or other disposition otherwise permitted hereunder (in which case, such release shall require no further approval by the Lenders), (E) any amendment to the pro rata treatment of the Lenders or the order of payment set forth in </w:t>
      </w:r>
      <w:r>
        <w:rPr>
          <w:rFonts w:ascii="Times New Roman" w:hAnsi="Times New Roman"/>
          <w:sz w:val="24"/>
          <w:u w:val="single"/>
        </w:rPr>
        <w:t>Section 8.3</w:t>
      </w:r>
      <w:r>
        <w:rPr>
          <w:rFonts w:ascii="Times New Roman" w:hAnsi="Times New Roman"/>
          <w:sz w:val="24"/>
        </w:rPr>
        <w:t xml:space="preserve"> hereof, (F) any amendment of this Section 12.12, of the definition of Majority Lenders, or of any Section herein to the extent that such Section requires action by all Lenders or the Issuing Banks, (G) any subordination of the Loans in full to any other Indebtedness, (H) any extension of the Maturity Date or any other scheduled maturity of any Loan or the time for payment thereof (other than in accordance with </w:t>
      </w:r>
      <w:r>
        <w:rPr>
          <w:rFonts w:ascii="Times New Roman" w:hAnsi="Times New Roman"/>
          <w:sz w:val="24"/>
          <w:u w:val="single"/>
        </w:rPr>
        <w:t>Section 2.18</w:t>
      </w:r>
      <w:r>
        <w:rPr>
          <w:rFonts w:ascii="Times New Roman" w:hAnsi="Times New Roman"/>
          <w:sz w:val="24"/>
        </w:rPr>
        <w:t xml:space="preserve">), the affected Lenders and in the case of an amendment, the Company, and, if applicable, the Swingline Lender or Issuing Banks (it being understood that, for purposes of this Section 12.12(a)(ii), changes to provisions of the Loan Documents that relate only to one or more of the Revolving Loans shall be deemed to “affect” only the Lenders holding such Loans); and </w:t>
      </w:r>
    </w:p>
    <w:p>
      <w:pPr>
        <w:pStyle w:val="TextBody"/>
        <w:bidi w:val="0"/>
        <w:spacing w:before="240" w:after="0"/>
        <w:jc w:val="both"/>
        <w:rPr>
          <w:rFonts w:ascii="Times New Roman" w:hAnsi="Times New Roman"/>
          <w:sz w:val="24"/>
        </w:rPr>
      </w:pPr>
      <w:r>
        <w:rPr>
          <w:rFonts w:ascii="Times New Roman" w:hAnsi="Times New Roman"/>
          <w:sz w:val="24"/>
        </w:rPr>
        <w:t xml:space="preserve">(c) (x) no amendment, waiver or consent shall, unless in writing and signed by the Administrative Agent in addition to the Lenders required above to take such action, affect the rights or duties of the Administrative Agent under this Agreement or any other Loan Document, (y) no amendment, waiver or consent shall, unless in writing and signed by each Swingline Lender, in addition to the Lenders required above to take such action, affect the rights or obligations of the Swingline Lender under this Agreement, and (z) no amendment, waiver or consent shall, unless in writing and signed by the Issuing Banks in addition to the Lenders required above to take such action, adversely affect the rights or obligations of the Issuing Banks in their capacities as such under this Agreement. </w:t>
      </w:r>
    </w:p>
    <w:p>
      <w:pPr>
        <w:pStyle w:val="TextBody"/>
        <w:bidi w:val="0"/>
        <w:spacing w:before="240" w:after="0"/>
        <w:jc w:val="both"/>
        <w:rPr>
          <w:rFonts w:ascii="Times New Roman" w:hAnsi="Times New Roman"/>
          <w:sz w:val="24"/>
        </w:rPr>
      </w:pPr>
      <w:r>
        <w:rPr>
          <w:rFonts w:ascii="Times New Roman" w:hAnsi="Times New Roman"/>
          <w:sz w:val="24"/>
        </w:rPr>
        <w:t xml:space="preserve">(ii) Notwithstanding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nor amounts owed to such Lender reduced or the final maturity thereof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w:t>
      </w:r>
    </w:p>
    <w:p>
      <w:pPr>
        <w:pStyle w:val="TextBody"/>
        <w:bidi w:val="0"/>
        <w:spacing w:before="240" w:after="0"/>
        <w:jc w:val="both"/>
        <w:rPr>
          <w:rFonts w:ascii="Times New Roman" w:hAnsi="Times New Roman"/>
          <w:sz w:val="24"/>
        </w:rPr>
      </w:pPr>
      <w:r>
        <w:rPr>
          <w:rFonts w:ascii="Times New Roman" w:hAnsi="Times New Roman"/>
          <w:sz w:val="24"/>
        </w:rPr>
        <w:t>(iii) In connection with any proposed amendment, modification, waiver or termination (a “</w:t>
      </w:r>
      <w:r>
        <w:rPr>
          <w:rFonts w:ascii="Times New Roman" w:hAnsi="Times New Roman"/>
          <w:sz w:val="24"/>
          <w:u w:val="single"/>
        </w:rPr>
        <w:t>Proposed Change</w:t>
      </w:r>
      <w:r>
        <w:rPr>
          <w:rFonts w:ascii="Times New Roman" w:hAnsi="Times New Roman"/>
          <w:sz w:val="24"/>
        </w:rPr>
        <w:t xml:space="preserve">”) requiring the consent of all Lenders, if the consent of Majority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Lenders is obtained, but the consent of the other Lenders whose consent is required is not obtained (any such Lender whose consent is not obtained being referred to as a “</w:t>
      </w:r>
      <w:r>
        <w:rPr>
          <w:rFonts w:ascii="Times New Roman" w:hAnsi="Times New Roman"/>
          <w:sz w:val="24"/>
          <w:u w:val="single"/>
        </w:rPr>
        <w:t>Non-Consenting Lender</w:t>
      </w:r>
      <w:r>
        <w:rPr>
          <w:rFonts w:ascii="Times New Roman" w:hAnsi="Times New Roman"/>
          <w:sz w:val="24"/>
        </w:rPr>
        <w:t xml:space="preserve">”), then, at the Company’s request (and at the Company’s sole cost and expense), a Replacement Lender selected by the Company and reasonably acceptable to the Administrative Agent, shall have the right to purchase from such Non-Consenting Lenders, and such Non-Consenting Lenders agree that they shall, upon the Company’s request, sell and assign to such Person, all of the Revolving Loan Commitments and all outstanding Loans of such Non-Consenting Lenders for an amount equal to the principal balance of all Loans held by the Non-Consenting Lenders and all accrued interest and fees and other amounts due (including without limitation amounts due to such Non-Consenting Lender pursuant to </w:t>
      </w:r>
      <w:r>
        <w:rPr>
          <w:rFonts w:ascii="Times New Roman" w:hAnsi="Times New Roman"/>
          <w:sz w:val="24"/>
          <w:u w:val="single"/>
        </w:rPr>
        <w:t>Section 2.9</w:t>
      </w:r>
      <w:r>
        <w:rPr>
          <w:rFonts w:ascii="Times New Roman" w:hAnsi="Times New Roman"/>
          <w:sz w:val="24"/>
        </w:rPr>
        <w:t xml:space="preserve"> hereof) or outstanding to such Non-Consenting Lender through the date of sale, such purchase and sale to be consummated pursuant to an executed Assignment and Assumption substantially in the form on </w:t>
      </w:r>
      <w:r>
        <w:rPr>
          <w:rFonts w:ascii="Times New Roman" w:hAnsi="Times New Roman"/>
          <w:sz w:val="24"/>
          <w:u w:val="single"/>
        </w:rPr>
        <w:t>Exhibit F</w:t>
      </w:r>
      <w:r>
        <w:rPr>
          <w:rFonts w:ascii="Times New Roman" w:hAnsi="Times New Roman"/>
          <w:sz w:val="24"/>
        </w:rPr>
        <w:t xml:space="preserve"> attached hereto. Upon execution of any Assignment and Assumption pursuant to this Section 12.12(c), (i) the Replacement Lender shall be entitled to vote on any pending waiver, amendment or consent in lieu of the Non-Consenting Lender replaced by such Replacement Lender, (ii) such Replacement Lender shall be deemed to be a “</w:t>
      </w:r>
      <w:r>
        <w:rPr>
          <w:rFonts w:ascii="Times New Roman" w:hAnsi="Times New Roman"/>
          <w:sz w:val="24"/>
          <w:u w:val="single"/>
        </w:rPr>
        <w:t>Lender</w:t>
      </w:r>
      <w:r>
        <w:rPr>
          <w:rFonts w:ascii="Times New Roman" w:hAnsi="Times New Roman"/>
          <w:sz w:val="24"/>
        </w:rPr>
        <w:t>” for purposes of this Agreement and (iii) such Non-Consenting Lender shall cease to be a “</w:t>
      </w:r>
      <w:r>
        <w:rPr>
          <w:rFonts w:ascii="Times New Roman" w:hAnsi="Times New Roman"/>
          <w:sz w:val="24"/>
          <w:u w:val="single"/>
        </w:rPr>
        <w:t>Lender</w:t>
      </w:r>
      <w:r>
        <w:rPr>
          <w:rFonts w:ascii="Times New Roman" w:hAnsi="Times New Roman"/>
          <w:sz w:val="24"/>
        </w:rPr>
        <w:t xml:space="preserve">” for purposes of this Agreement and shall no longer have any obligations or rights hereunder (other than any obligations or rights which according to this Agreement shall survive the termination of the Revolving Loan Commitments). </w:t>
      </w:r>
    </w:p>
    <w:p>
      <w:pPr>
        <w:pStyle w:val="TextBody"/>
        <w:bidi w:val="0"/>
        <w:spacing w:before="240" w:after="0"/>
        <w:jc w:val="both"/>
        <w:rPr>
          <w:rFonts w:ascii="Times New Roman" w:hAnsi="Times New Roman"/>
          <w:sz w:val="24"/>
        </w:rPr>
      </w:pPr>
      <w:r>
        <w:rPr>
          <w:rFonts w:ascii="Times New Roman" w:hAnsi="Times New Roman"/>
          <w:sz w:val="24"/>
        </w:rPr>
        <w:t>Section 12.13 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12.14 </w:t>
      </w:r>
      <w:r>
        <w:rPr>
          <w:rFonts w:ascii="Times New Roman" w:hAnsi="Times New Roman"/>
          <w:sz w:val="24"/>
          <w:u w:val="single"/>
        </w:rPr>
        <w:t>Entire Agreement</w:t>
      </w:r>
      <w:r>
        <w:rPr>
          <w:rFonts w:ascii="Times New Roman" w:hAnsi="Times New Roman"/>
          <w:sz w:val="24"/>
        </w:rPr>
        <w:t xml:space="preserve">. Except as otherwise expressly provided herein, this Agreement, the other Loan Documents and the other documents described or contemplated herein or therein will embody the entire agreement and understanding among the parties hereto and thereto and supersede all prior agreements and understandings relating to the subject matter hereof and thereof. </w:t>
      </w:r>
    </w:p>
    <w:p>
      <w:pPr>
        <w:pStyle w:val="TextBody"/>
        <w:bidi w:val="0"/>
        <w:spacing w:before="240" w:after="0"/>
        <w:jc w:val="both"/>
        <w:rPr>
          <w:rFonts w:ascii="Times New Roman" w:hAnsi="Times New Roman"/>
          <w:sz w:val="24"/>
        </w:rPr>
      </w:pPr>
      <w:r>
        <w:rPr>
          <w:rFonts w:ascii="Times New Roman" w:hAnsi="Times New Roman"/>
          <w:sz w:val="24"/>
        </w:rPr>
        <w:t>Section 12.15 </w:t>
      </w:r>
      <w:r>
        <w:rPr>
          <w:rFonts w:ascii="Times New Roman" w:hAnsi="Times New Roman"/>
          <w:sz w:val="24"/>
          <w:u w:val="single"/>
        </w:rPr>
        <w:t>Other Relationships; No Fiduciary Relationships</w:t>
      </w:r>
      <w:r>
        <w:rPr>
          <w:rFonts w:ascii="Times New Roman" w:hAnsi="Times New Roman"/>
          <w:sz w:val="24"/>
        </w:rPr>
        <w:t xml:space="preserve">. No relationship created hereunder or under any other Loan Document shall in any way affect the ability of the Administrative Agent, each Issuing Bank and each Lender to enter into or maintain business relationships with the Company or any Affiliate thereof beyond the relationships specifically contemplated by this Agreement and the other Loan Documents. </w:t>
      </w:r>
      <w:r>
        <w:rPr>
          <w:rFonts w:ascii="Times New Roman" w:hAnsi="Times New Roman"/>
          <w:color w:val="0000FF"/>
          <w:sz w:val="24"/>
          <w:u w:val="single"/>
          <w:bdr w:val="double" w:sz="2" w:space="1" w:color="000000"/>
        </w:rPr>
        <w:t>The Administrative Agent, each Issuing Bank and each Lender and their respective Affiliates may be engaged in a broad range of transactions that involve economic interests that differ from those of the Company and its respective Affiliates, and none of the Administrative Agent, any Issuing Bank nor any Lender has any obligation to disclose any of such interests to the Company or any of its respective Affiliates.</w:t>
      </w:r>
      <w:r>
        <w:rPr>
          <w:rFonts w:ascii="Times New Roman" w:hAnsi="Times New Roman"/>
          <w:sz w:val="24"/>
        </w:rPr>
        <w:t xml:space="preserve"> The Company agrees that in connection with all aspects of the transactions contemplated hereby and any communications in connection therewith, the Company, its Subsidiaries and their respective Affiliates, on the one hand, and the Administrative Agent, the Lenders, the Issuing Banks and their respective Affiliates, on the other hand, will have a business relationship that does not create, by implication or otherwise, any fiduciary duty on the part of the Administrative Agent, any Lender, any Issuing Bank or any of their respective Affiliates, and no such duty will be deemed to have arisen in connection with any such transactions or communications. The Company acknowledges that certain of the Lenders or their respective Affiliates are the administrative agent and/or a lender under the Existing Credit Agreements, and that the rights and obligations that the Company and its Affiliates have under any other agreement with any Lender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(including the loan documentation relating to the Existing Credit Agreements) that currently or hereinafter may exist are, and shall be, separate and distinct from the rights and obligations of the parties pursuant to this Agreement. </w:t>
      </w:r>
    </w:p>
    <w:p>
      <w:pPr>
        <w:pStyle w:val="TextBody"/>
        <w:bidi w:val="0"/>
        <w:spacing w:before="240" w:after="0"/>
        <w:jc w:val="both"/>
        <w:rPr>
          <w:rFonts w:ascii="Times New Roman" w:hAnsi="Times New Roman"/>
          <w:sz w:val="24"/>
        </w:rPr>
      </w:pPr>
      <w:r>
        <w:rPr>
          <w:rFonts w:ascii="Times New Roman" w:hAnsi="Times New Roman"/>
          <w:sz w:val="24"/>
        </w:rPr>
        <w:t>Section 12.16 </w:t>
      </w:r>
      <w:r>
        <w:rPr>
          <w:rFonts w:ascii="Times New Roman" w:hAnsi="Times New Roman"/>
          <w:sz w:val="24"/>
          <w:u w:val="single"/>
        </w:rPr>
        <w:t>Directly or Indirectly</w:t>
      </w:r>
      <w:r>
        <w:rPr>
          <w:rFonts w:ascii="Times New Roman" w:hAnsi="Times New Roman"/>
          <w:sz w:val="24"/>
        </w:rPr>
        <w:t xml:space="preserve">. If any provision in this Agreement refers to any action taken or to be taken by any Person, or which such Person is prohibited from taking, such provision shall be applicable whether such action is taken directly or indirectly by such Person, whether or not expressly specified in such provision. </w:t>
      </w:r>
    </w:p>
    <w:p>
      <w:pPr>
        <w:pStyle w:val="TextBody"/>
        <w:bidi w:val="0"/>
        <w:spacing w:before="240" w:after="0"/>
        <w:jc w:val="both"/>
        <w:rPr>
          <w:rFonts w:ascii="Times New Roman" w:hAnsi="Times New Roman"/>
          <w:sz w:val="24"/>
        </w:rPr>
      </w:pPr>
      <w:r>
        <w:rPr>
          <w:rFonts w:ascii="Times New Roman" w:hAnsi="Times New Roman"/>
          <w:sz w:val="24"/>
        </w:rPr>
        <w:t>Section 12.17 </w:t>
      </w:r>
      <w:r>
        <w:rPr>
          <w:rFonts w:ascii="Times New Roman" w:hAnsi="Times New Roman"/>
          <w:sz w:val="24"/>
          <w:u w:val="single"/>
        </w:rPr>
        <w:t>Reliance on and Survival of Various Provisions</w:t>
      </w:r>
      <w:r>
        <w:rPr>
          <w:rFonts w:ascii="Times New Roman" w:hAnsi="Times New Roman"/>
          <w:sz w:val="24"/>
        </w:rPr>
        <w:t xml:space="preserve">. All covenants, agreements, statements, representations and warranties made by the Company herein or in any certificate delivered pursuant hereto shall (a) be deemed to have been relied upon by the Administrative Agent, each of the Lenders, the Swingline Lender and each Issuing Bank notwithstanding any investigation heretofore or hereafter made by them and (b) survive the execution and delivery of this Agreement and shall continue in full force and effect so long as any Loans are outstanding and unpaid. Any right to indemnification hereunder, including, without limitation, rights pursuant to </w:t>
      </w:r>
      <w:r>
        <w:rPr>
          <w:rFonts w:ascii="Times New Roman" w:hAnsi="Times New Roman"/>
          <w:sz w:val="24"/>
          <w:u w:val="single"/>
        </w:rPr>
        <w:t>Sections 2.9</w:t>
      </w:r>
      <w:r>
        <w:rPr>
          <w:rFonts w:ascii="Times New Roman" w:hAnsi="Times New Roman"/>
          <w:sz w:val="24"/>
        </w:rPr>
        <w:t xml:space="preserve">, </w:t>
      </w:r>
      <w:r>
        <w:rPr>
          <w:rFonts w:ascii="Times New Roman" w:hAnsi="Times New Roman"/>
          <w:sz w:val="24"/>
          <w:u w:val="single"/>
        </w:rPr>
        <w:t>2.11</w:t>
      </w:r>
      <w:r>
        <w:rPr>
          <w:rFonts w:ascii="Times New Roman" w:hAnsi="Times New Roman"/>
          <w:sz w:val="24"/>
        </w:rPr>
        <w:t xml:space="preserve">, </w:t>
      </w:r>
      <w:r>
        <w:rPr>
          <w:rFonts w:ascii="Times New Roman" w:hAnsi="Times New Roman"/>
          <w:sz w:val="24"/>
          <w:u w:val="single"/>
        </w:rPr>
        <w:t>10.3</w:t>
      </w:r>
      <w:r>
        <w:rPr>
          <w:rFonts w:ascii="Times New Roman" w:hAnsi="Times New Roman"/>
          <w:sz w:val="24"/>
        </w:rPr>
        <w:t xml:space="preserve">, </w:t>
      </w:r>
      <w:r>
        <w:rPr>
          <w:rFonts w:ascii="Times New Roman" w:hAnsi="Times New Roman"/>
          <w:sz w:val="24"/>
          <w:u w:val="single"/>
        </w:rPr>
        <w:t>12.2</w:t>
      </w:r>
      <w:r>
        <w:rPr>
          <w:rFonts w:ascii="Times New Roman" w:hAnsi="Times New Roman"/>
          <w:sz w:val="24"/>
        </w:rPr>
        <w:t xml:space="preserve"> and </w:t>
      </w:r>
      <w:r>
        <w:rPr>
          <w:rFonts w:ascii="Times New Roman" w:hAnsi="Times New Roman"/>
          <w:sz w:val="24"/>
          <w:u w:val="single"/>
        </w:rPr>
        <w:t>12.5</w:t>
      </w:r>
      <w:r>
        <w:rPr>
          <w:rFonts w:ascii="Times New Roman" w:hAnsi="Times New Roman"/>
          <w:sz w:val="24"/>
        </w:rPr>
        <w:t xml:space="preserve"> hereof, shall survive the termination of this Agreement and the payment and performance of all Obligations. </w:t>
      </w:r>
    </w:p>
    <w:p>
      <w:pPr>
        <w:pStyle w:val="TextBody"/>
        <w:bidi w:val="0"/>
        <w:spacing w:before="240" w:after="0"/>
        <w:jc w:val="both"/>
        <w:rPr>
          <w:rFonts w:ascii="Times New Roman" w:hAnsi="Times New Roman"/>
          <w:sz w:val="24"/>
        </w:rPr>
      </w:pPr>
      <w:r>
        <w:rPr>
          <w:rFonts w:ascii="Times New Roman" w:hAnsi="Times New Roman"/>
          <w:sz w:val="24"/>
        </w:rPr>
        <w:t>Section 12.18 </w:t>
      </w:r>
      <w:r>
        <w:rPr>
          <w:rFonts w:ascii="Times New Roman" w:hAnsi="Times New Roman"/>
          <w:sz w:val="24"/>
          <w:u w:val="single"/>
        </w:rPr>
        <w:t>Senior Debt</w:t>
      </w:r>
      <w:r>
        <w:rPr>
          <w:rFonts w:ascii="Times New Roman" w:hAnsi="Times New Roman"/>
          <w:sz w:val="24"/>
        </w:rPr>
        <w:t xml:space="preserve">. The Obligations are intended by the parties hereto to be senior in right of payment to any Indebtedness of the Company that by its terms is subordinated to any other Indebtedness of the Company. </w:t>
      </w:r>
    </w:p>
    <w:p>
      <w:pPr>
        <w:pStyle w:val="TextBody"/>
        <w:bidi w:val="0"/>
        <w:spacing w:before="240" w:after="0"/>
        <w:jc w:val="both"/>
        <w:rPr>
          <w:rFonts w:ascii="Times New Roman" w:hAnsi="Times New Roman"/>
          <w:sz w:val="24"/>
        </w:rPr>
      </w:pPr>
      <w:r>
        <w:rPr>
          <w:rFonts w:ascii="Times New Roman" w:hAnsi="Times New Roman"/>
          <w:sz w:val="24"/>
        </w:rPr>
        <w:t>Section 12.19 </w:t>
      </w:r>
      <w:r>
        <w:rPr>
          <w:rFonts w:ascii="Times New Roman" w:hAnsi="Times New Roman"/>
          <w:sz w:val="24"/>
          <w:u w:val="single"/>
        </w:rPr>
        <w:t>Obligations</w:t>
      </w:r>
      <w:r>
        <w:rPr>
          <w:rFonts w:ascii="Times New Roman" w:hAnsi="Times New Roman"/>
          <w:sz w:val="24"/>
        </w:rPr>
        <w:t xml:space="preserve">. The obligations of the Administrative Agent, each of the Lenders and each of the Issuing Banks hereunder are several, not joint. </w:t>
      </w:r>
    </w:p>
    <w:p>
      <w:pPr>
        <w:pStyle w:val="TextBody"/>
        <w:bidi w:val="0"/>
        <w:spacing w:before="240" w:after="0"/>
        <w:jc w:val="both"/>
        <w:rPr>
          <w:rFonts w:ascii="Times New Roman" w:hAnsi="Times New Roman"/>
          <w:sz w:val="24"/>
        </w:rPr>
      </w:pPr>
      <w:r>
        <w:rPr>
          <w:rFonts w:ascii="Times New Roman" w:hAnsi="Times New Roman"/>
          <w:sz w:val="24"/>
        </w:rPr>
        <w:t>Section 12.20 </w:t>
      </w:r>
      <w:r>
        <w:rPr>
          <w:rFonts w:ascii="Times New Roman" w:hAnsi="Times New Roman"/>
          <w:sz w:val="24"/>
          <w:u w:val="single"/>
        </w:rPr>
        <w:t>Confidentiality</w:t>
      </w:r>
      <w:r>
        <w:rPr>
          <w:rFonts w:ascii="Times New Roman" w:hAnsi="Times New Roman"/>
          <w:sz w:val="24"/>
        </w:rPr>
        <w:t xml:space="preserve">. The Administrative Agent, the Lenders, the Swingline Lender and the Issuing Banks shall hold confidentially all non-public and proprietary information and all other information designated by the Company as confidential, in each case, obtained from the Company or its Affiliates pursuant to the requirements of this Agreement in accordance with their customary procedures for handling confidential information of this nature and in accordance with safe and sound lending practices;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Administrative Agent, the Lenders, the Swingline Lender and the Issuing Banks may make disclosure of any such information (a) to their examiners, Affiliates, outside auditors, counsel, consultants, appraisers, agents, other professional advisors, any credit insurance provider relating to the Borrower and its obligations and any direct or indirect contractual counterparty in swap agreements or such counterparty’s professional advisor in connection with this Agreement or as reasonably required by any proposed syndicate member or any proposed transferee or participant in connection with the contemplated transfer of any Note or participation therein (including, without limitation, any pledgee referred to in </w:t>
      </w:r>
      <w:r>
        <w:rPr>
          <w:rFonts w:ascii="Times New Roman" w:hAnsi="Times New Roman"/>
          <w:sz w:val="24"/>
          <w:u w:val="single"/>
        </w:rPr>
        <w:t>Section 12.4(e)</w:t>
      </w:r>
      <w:r>
        <w:rPr>
          <w:rFonts w:ascii="Times New Roman" w:hAnsi="Times New Roman"/>
          <w:sz w:val="24"/>
        </w:rPr>
        <w:t xml:space="preserve"> hereof), in each case, so long as any such Person (other than any examiners) receiving such information is advised of the provisions of this Section 12.20 and agrees to be bound thereby, (b) as required or requested by any governmental authority or self-regulatory body or representative thereof or in connection with the enforcement hereof or of any Loan Document or related document, or (c) pursuant to legal process or with respect to any litigation between or among the Company and any of the Administrative Agent, the Lenders, the Swingline Lender or the Issuing Banks. In no event shall the Administrative Agent, any Lender, the Swingline Lender or any Issuing Bank be obligated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required to return any materials furnished to it by the Company. The foregoing provisions shall not apply to the Administrative Agent, any Lender, the Swingline Lender or any Issuing Bank with respect to information that (i) is or becomes generally available to the public (other than through the Administrative Agent, such Lender, the Swingline Lender or such Issuing Bank), (ii) is already in the possession of the Administrative Agent, such Lender, the Swingline Lender or such Issuing Bank on a non-confidential basis, or (iii) comes into the possession of the Administrative Agent, such Lender, the Swingline Lender or such Issuing Bank from a source other than the Company or its Affiliates in a manner not known to the Administrative Agent, such Lender, the Swingline Lender or such Issuing Bank to involve a breach of a duty of confidentiality owing to the Company or its Affiliates. For the avoidance of doubt, nothing in this Section 12.20 shall prohibit any Person from voluntarily disclosing or providing any information within the scope of this Section 12.20 to any governmental, regulatory or self-regulatory organization (any such entity, a “</w:t>
      </w:r>
      <w:r>
        <w:rPr>
          <w:rFonts w:ascii="Times New Roman" w:hAnsi="Times New Roman"/>
          <w:sz w:val="24"/>
          <w:u w:val="single"/>
        </w:rPr>
        <w:t>Regulatory</w:t>
      </w:r>
      <w:r>
        <w:rPr>
          <w:rFonts w:ascii="Times New Roman" w:hAnsi="Times New Roman"/>
          <w:sz w:val="24"/>
        </w:rPr>
        <w:t xml:space="preserve"> </w:t>
      </w:r>
      <w:r>
        <w:rPr>
          <w:rFonts w:ascii="Times New Roman" w:hAnsi="Times New Roman"/>
          <w:sz w:val="24"/>
          <w:u w:val="single"/>
        </w:rPr>
        <w:t>Authority</w:t>
      </w:r>
      <w:r>
        <w:rPr>
          <w:rFonts w:ascii="Times New Roman" w:hAnsi="Times New Roman"/>
          <w:sz w:val="24"/>
        </w:rPr>
        <w:t xml:space="preserve">”) to the extent that any such prohibition on disclosure set forth in this Section 12.20 shall be prohibited by the laws or regulations applicable to such Regulatory Authority. </w:t>
      </w:r>
    </w:p>
    <w:p>
      <w:pPr>
        <w:pStyle w:val="TextBody"/>
        <w:bidi w:val="0"/>
        <w:spacing w:before="240" w:after="0"/>
        <w:jc w:val="both"/>
        <w:rPr>
          <w:rFonts w:ascii="Times New Roman" w:hAnsi="Times New Roman"/>
          <w:sz w:val="24"/>
        </w:rPr>
      </w:pPr>
      <w:r>
        <w:rPr>
          <w:rFonts w:ascii="Times New Roman" w:hAnsi="Times New Roman"/>
          <w:sz w:val="24"/>
        </w:rPr>
        <w:t>Section 12.21 </w:t>
      </w:r>
      <w:r>
        <w:rPr>
          <w:rFonts w:ascii="Times New Roman" w:hAnsi="Times New Roman"/>
          <w:sz w:val="24"/>
          <w:u w:val="single"/>
        </w:rPr>
        <w:t>Judgment</w:t>
      </w:r>
      <w:r>
        <w:rPr>
          <w:rFonts w:ascii="Times New Roman" w:hAnsi="Times New Roman"/>
          <w:sz w:val="24"/>
        </w:rPr>
        <w:t xml:space="preserve">. (i)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Administrative Agent could purchase Dollars with such other currency at the Administrative Agent’s principal office in London at 11:00 A.M. (London time) on the Business Day preceding that on which final judgment is given. </w:t>
      </w:r>
    </w:p>
    <w:p>
      <w:pPr>
        <w:pStyle w:val="TextBody"/>
        <w:bidi w:val="0"/>
        <w:spacing w:before="240" w:after="0"/>
        <w:jc w:val="both"/>
        <w:rPr>
          <w:rFonts w:ascii="Times New Roman" w:hAnsi="Times New Roman"/>
          <w:sz w:val="24"/>
        </w:rPr>
      </w:pPr>
      <w:r>
        <w:rPr>
          <w:rFonts w:ascii="Times New Roman" w:hAnsi="Times New Roman"/>
          <w:sz w:val="24"/>
        </w:rPr>
        <w:t xml:space="preserve">(ii) If for the purposes of obtaining judgment in any court it is necessary to convert a sum due hereunder in an Alternative Currency into Dollars, the parties agree to the fullest extent that they may effectively do so, that the rate of exchange used shall be that at which in accordance with normal banking procedures the Administrative Agent could purchase such Alternative Currency with Dollars at the Administrative Agent’s principal office in London at 11:00 A.M. (London time) on the Business Day preceding that on which final judgment is given. </w:t>
      </w:r>
    </w:p>
    <w:p>
      <w:pPr>
        <w:pStyle w:val="TextBody"/>
        <w:bidi w:val="0"/>
        <w:spacing w:before="240" w:after="0"/>
        <w:jc w:val="both"/>
        <w:rPr>
          <w:rFonts w:ascii="Times New Roman" w:hAnsi="Times New Roman"/>
          <w:sz w:val="24"/>
        </w:rPr>
      </w:pPr>
      <w:r>
        <w:rPr>
          <w:rFonts w:ascii="Times New Roman" w:hAnsi="Times New Roman"/>
          <w:sz w:val="24"/>
        </w:rPr>
        <w:t>(iii) The obligation of the Borrower in respect of any sum due from it in any currency (the “</w:t>
      </w:r>
      <w:r>
        <w:rPr>
          <w:rFonts w:ascii="Times New Roman" w:hAnsi="Times New Roman"/>
          <w:sz w:val="24"/>
          <w:u w:val="single"/>
        </w:rPr>
        <w:t>Primary Currency</w:t>
      </w:r>
      <w:r>
        <w:rPr>
          <w:rFonts w:ascii="Times New Roman" w:hAnsi="Times New Roman"/>
          <w:sz w:val="24"/>
        </w:rPr>
        <w:t xml:space="preserve">”) to any Lender or the Administrative Agent hereunder shall, notwithstanding any judgment in any other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the applicable Primary Currency with such other currency; if the amount of the applicable Primary Currency so purchased is less than such sum due to such Lender or the Administrative Agent (as the case may be) in the applicable Primary Currency, the Borrower agrees, as a separate obligation and notwithstanding any such judgment, to indemnify such Lender or the Administrative Agent (as the case may be) against such loss, and if the amount of the applicable Primary Currency so purchased exceeds such sum due to any Lender or the Administrative Agent (as the case may be) in the applicable Primary Currency, such Lender or the Administrative Agent (as the case may be) agrees to remit to the Borrower such excess. </w:t>
      </w:r>
    </w:p>
    <w:p>
      <w:pPr>
        <w:pStyle w:val="TextBody"/>
        <w:bidi w:val="0"/>
        <w:spacing w:before="240" w:after="0"/>
        <w:jc w:val="both"/>
        <w:rPr>
          <w:rFonts w:ascii="Times New Roman" w:hAnsi="Times New Roman"/>
          <w:sz w:val="24"/>
        </w:rPr>
      </w:pPr>
      <w:r>
        <w:rPr>
          <w:rFonts w:ascii="Times New Roman" w:hAnsi="Times New Roman"/>
          <w:sz w:val="24"/>
        </w:rPr>
        <w:t>Section 12.22 </w:t>
      </w:r>
      <w:r>
        <w:rPr>
          <w:rFonts w:ascii="Times New Roman" w:hAnsi="Times New Roman"/>
          <w:sz w:val="24"/>
          <w:u w:val="single"/>
        </w:rPr>
        <w:t>Substitution of Currency</w:t>
      </w:r>
      <w:r>
        <w:rPr>
          <w:rFonts w:ascii="Times New Roman" w:hAnsi="Times New Roman"/>
          <w:sz w:val="24"/>
        </w:rPr>
        <w:t xml:space="preserve">. If a change in any Alternative Currency occurs pursuant to any applicable law, rule or regulation of any governmental, monetary or multi-national authority, this Agreement (including, without limitation, the definition of Term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Rate) will be amended to the extent determined by the Administrative Agent (acting reasonably and in consultation with the Company) to be necessary to reflect the change in currency and to put the Lenders and the Borrower in the same position, so far as possible, that they would have been in if no change in such Alternative Currency had occurred. </w:t>
      </w:r>
    </w:p>
    <w:p>
      <w:pPr>
        <w:pStyle w:val="TextBody"/>
        <w:bidi w:val="0"/>
        <w:spacing w:before="240" w:after="0"/>
        <w:jc w:val="both"/>
        <w:rPr>
          <w:rFonts w:ascii="Times New Roman" w:hAnsi="Times New Roman"/>
          <w:sz w:val="24"/>
        </w:rPr>
      </w:pPr>
      <w:r>
        <w:rPr>
          <w:rFonts w:ascii="Times New Roman" w:hAnsi="Times New Roman"/>
          <w:sz w:val="24"/>
        </w:rPr>
        <w:t>Section 12.23 </w:t>
      </w:r>
      <w:r>
        <w:rPr>
          <w:rFonts w:ascii="Times New Roman" w:hAnsi="Times New Roman"/>
          <w:sz w:val="24"/>
          <w:u w:val="single"/>
        </w:rPr>
        <w:t>Right of Set-off</w:t>
      </w:r>
      <w:r>
        <w:rPr>
          <w:rFonts w:ascii="Times New Roman" w:hAnsi="Times New Roman"/>
          <w:sz w:val="24"/>
        </w:rPr>
        <w:t xml:space="preserve">. If an Event of Default shall have occurred and be continuing, each Lender, each Issuing Bank,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Bank or any such Affiliate, to or for the credit or the account of the Borrower against any and all of the obligations of the Borrower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of the Borrower may be contingent or unmatured or are owed to a branch, office or Affiliate of such Lender or such Issuing Bank different from the branch, office or Affiliate holding such deposit or obligated on such indebtedness; </w:t>
      </w:r>
      <w:r>
        <w:rPr>
          <w:rFonts w:ascii="Times New Roman" w:hAnsi="Times New Roman"/>
          <w:sz w:val="24"/>
          <w:u w:val="single"/>
        </w:rPr>
        <w:t>provided</w:t>
      </w:r>
      <w:r>
        <w:rPr>
          <w:rFonts w:ascii="Times New Roman" w:hAnsi="Times New Roman"/>
          <w:sz w:val="24"/>
        </w:rPr>
        <w:t xml:space="preserve"> that in the event that any Defaulting Lender shall exercise any such right of setoff, (x) all amounts so set off shall be paid over immediately to the Administrative Agent for further application in accordance with the provisions of Section 2.16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Advances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 w:hAnsi="Times New Roman"/>
          <w:sz w:val="24"/>
          <w:u w:val="single"/>
        </w:rPr>
        <w:t>provided</w:t>
      </w:r>
      <w:r>
        <w:rPr>
          <w:rFonts w:ascii="Times New Roman" w:hAnsi="Times New Roman"/>
          <w:sz w:val="24"/>
        </w:rPr>
        <w:t xml:space="preserve"> that the failure to give such notice shall not affect the validity of such setoff and application. </w:t>
      </w:r>
    </w:p>
    <w:p>
      <w:pPr>
        <w:pStyle w:val="TextBody"/>
        <w:bidi w:val="0"/>
        <w:spacing w:before="240" w:after="0"/>
        <w:jc w:val="both"/>
        <w:rPr>
          <w:rFonts w:ascii="Times New Roman" w:hAnsi="Times New Roman"/>
          <w:sz w:val="24"/>
        </w:rPr>
      </w:pPr>
      <w:r>
        <w:rPr>
          <w:rFonts w:ascii="Times New Roman" w:hAnsi="Times New Roman"/>
          <w:sz w:val="24"/>
        </w:rPr>
        <w:t>Section 12.24 </w:t>
      </w:r>
      <w:r>
        <w:rPr>
          <w:rFonts w:ascii="Times New Roman" w:hAnsi="Times New Roman"/>
          <w:sz w:val="24"/>
          <w:u w:val="single"/>
        </w:rPr>
        <w:t>Acknowledgement and Consent to Bail-In of Affected Financial Institutions</w:t>
      </w:r>
      <w:r>
        <w:rPr>
          <w:rFonts w:ascii="Times New Roman" w:hAnsi="Times New Roman"/>
          <w:sz w:val="24"/>
        </w:rPr>
        <w:t xml:space="preserve">. Notwithstanding anything to the contrary in this Agreement,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both"/>
        <w:rPr>
          <w:rFonts w:ascii="Times New Roman" w:hAnsi="Times New Roman"/>
          <w:sz w:val="24"/>
        </w:rPr>
      </w:pPr>
      <w:r>
        <w:rPr>
          <w:rFonts w:ascii="Times New Roman" w:hAnsi="Times New Roman"/>
          <w:sz w:val="24"/>
        </w:rPr>
        <w:t xml:space="preserve">(i) the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both"/>
        <w:rPr>
          <w:rFonts w:ascii="Times New Roman" w:hAnsi="Times New Roman"/>
          <w:sz w:val="24"/>
        </w:rPr>
      </w:pPr>
      <w:r>
        <w:rPr>
          <w:rFonts w:ascii="Times New Roman" w:hAnsi="Times New Roman"/>
          <w:sz w:val="24"/>
        </w:rPr>
        <w:t xml:space="preserve">(ii) the effects of any Bail-In Action on any such liability, including, if applicable: </w:t>
      </w:r>
    </w:p>
    <w:p>
      <w:pPr>
        <w:pStyle w:val="TextBody"/>
        <w:bidi w:val="0"/>
        <w:spacing w:before="240" w:after="0"/>
        <w:jc w:val="both"/>
        <w:rPr>
          <w:rFonts w:ascii="Times New Roman" w:hAnsi="Times New Roman"/>
          <w:sz w:val="24"/>
        </w:rPr>
      </w:pPr>
      <w:r>
        <w:rPr>
          <w:rFonts w:ascii="Times New Roman" w:hAnsi="Times New Roman"/>
          <w:sz w:val="24"/>
        </w:rPr>
        <w:t xml:space="preserve">(a) a reduction in full or in part or cancellation of any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w:t>
      </w:r>
    </w:p>
    <w:p>
      <w:pPr>
        <w:pStyle w:val="TextBody"/>
        <w:bidi w:val="0"/>
        <w:spacing w:before="240" w:after="0"/>
        <w:jc w:val="both"/>
        <w:rPr>
          <w:rFonts w:ascii="Times New Roman" w:hAnsi="Times New Roman"/>
          <w:sz w:val="24"/>
        </w:rPr>
      </w:pPr>
      <w:r>
        <w:rPr>
          <w:rFonts w:ascii="Times New Roman" w:hAnsi="Times New Roman"/>
          <w:sz w:val="24"/>
        </w:rPr>
        <w:t xml:space="preserve">(c) the variation of the terms of such liability in connection with the exercise of the Write-Down and Conversion Powers of any applicable Resolution Authority. </w:t>
      </w:r>
    </w:p>
    <w:p>
      <w:pPr>
        <w:pStyle w:val="TextBody"/>
        <w:bidi w:val="0"/>
        <w:spacing w:before="240" w:after="0"/>
        <w:jc w:val="both"/>
        <w:rPr>
          <w:rFonts w:ascii="Times New Roman" w:hAnsi="Times New Roman"/>
          <w:sz w:val="24"/>
        </w:rPr>
      </w:pPr>
      <w:r>
        <w:rPr>
          <w:rFonts w:ascii="Times New Roman" w:hAnsi="Times New Roman"/>
          <w:sz w:val="24"/>
        </w:rPr>
        <w:t>Section 12.25 </w:t>
      </w:r>
      <w:r>
        <w:rPr>
          <w:rFonts w:ascii="Times New Roman" w:hAnsi="Times New Roman"/>
          <w:sz w:val="24"/>
          <w:u w:val="single"/>
        </w:rPr>
        <w:t>USA Patriot Act and Beneficial Ownership Regulation</w:t>
      </w:r>
      <w:r>
        <w:rPr>
          <w:rFonts w:ascii="Times New Roman" w:hAnsi="Times New Roman"/>
          <w:sz w:val="24"/>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hAnsi="Times New Roman"/>
          <w:sz w:val="24"/>
          <w:u w:val="single"/>
        </w:rPr>
        <w:t>Act</w:t>
      </w:r>
      <w:r>
        <w:rPr>
          <w:rFonts w:ascii="Times New Roman" w:hAnsi="Times New Roman"/>
          <w:sz w:val="24"/>
        </w:rPr>
        <w:t xml:space="preserve">”) and the Beneficial Ownership Regulation,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and the Beneficial Ownership Regulation. </w:t>
      </w:r>
    </w:p>
    <w:p>
      <w:pPr>
        <w:pStyle w:val="TextBody"/>
        <w:bidi w:val="0"/>
        <w:spacing w:before="240" w:after="0"/>
        <w:jc w:val="center"/>
        <w:rPr>
          <w:rFonts w:ascii="Times New Roman" w:hAnsi="Times New Roman"/>
          <w:sz w:val="24"/>
        </w:rPr>
      </w:pPr>
      <w:r>
        <w:rPr>
          <w:rFonts w:ascii="Times New Roman" w:hAnsi="Times New Roman"/>
          <w:sz w:val="24"/>
        </w:rPr>
        <w:t xml:space="preserve">ARTICLE 13 - WAIVER OF JURY TRIAL </w:t>
      </w:r>
    </w:p>
    <w:p>
      <w:pPr>
        <w:pStyle w:val="TextBody"/>
        <w:bidi w:val="0"/>
        <w:spacing w:before="240" w:after="0"/>
        <w:jc w:val="both"/>
        <w:rPr>
          <w:rFonts w:ascii="Times New Roman" w:hAnsi="Times New Roman"/>
          <w:sz w:val="24"/>
        </w:rPr>
      </w:pPr>
      <w:r>
        <w:rPr>
          <w:rFonts w:ascii="Times New Roman" w:hAnsi="Times New Roman"/>
          <w:sz w:val="24"/>
        </w:rPr>
        <w:t>Section 13.1 </w:t>
      </w:r>
      <w:r>
        <w:rPr>
          <w:rFonts w:ascii="Times New Roman" w:hAnsi="Times New Roman"/>
          <w:sz w:val="24"/>
          <w:u w:val="single"/>
        </w:rPr>
        <w:t>Waiver of Jury Trial</w:t>
      </w:r>
      <w:r>
        <w:rPr>
          <w:rFonts w:ascii="Times New Roman" w:hAnsi="Times New Roman"/>
          <w:sz w:val="24"/>
        </w:rPr>
        <w:t xml:space="preserve">. EACH OF THE COMPANY AND THE ADMINISTRATIVE AGENT, THE ISSUING BANKS AND THE LENDERS, HEREBY AGREE, TO THE EXTENT PERMITTED BY LAW, TO WAIVE AND HEREBY WAIVE THE RIGHT TO A TRIAL BY JURY IN ANY COURT AND IN ANY ACTION OR PROCEEDING OF ANY TYPE IN WHICH THE COMPANY, ANY OF THE LENDERS, THE ADMINISTRATIVE AGENT, THE SWINGLINE LENDER, ANY OF THE ISSUING BANKS, OR ANY OF THEIR RESPECTIVE SUCCESSORS OR ASSIGNS IS A PARTY, AS TO ALL MATTERS AND THINGS ARISING DIRECTLY OR INDIRECTLY OUT OF THIS AGREEMENT, ANY OF THE NOTES OR THE OTHER LOAN DOCUMENTS AND THE RELATIONS AMONG THE PARTIES LISTED IN THIS SECTION 13.1. EXCEPT AS PROHIBITED BY LAW, EACH PARTY TO THIS AGREEMENT WAIVES ANY RIGHTS IT MAY HAVE TO CLAIM OR RECOVER IN ANY LITIGATION REFERRED TO IN THIS SECTION, ANY SPECIAL, EXEMPLARY, PUNITIVE OR CONSEQUENTIAL DAMAGES OR ANY DAMAGES OTHER THAN, OR IN ADDITION TO, ACTUAL DAMAGES. EACH PARTY TO THIS AGREEMENT (A) CERTIFIES THAT NO REPRESENTATIVE, AGENT OR ATTORNEY OF THE ADMINISTRATIVE AGENT, THE SWINGLINE LENDER, ANY ISSUING BANK OR ANY LENDER HAS REPRESENTED, EXPRESSLY OR OTHERWISE, THAT THE ADMINISTRATIVE AGENT, ANY ISSUING BANK, THE SWINGLINE LENDER OR ANY LENDER WOULD NOT, IN THE EVENT OF LITIGATION, SEEK TO ENFORCE THE FOREGOING WAIVERS AND (B) ACKNOWLEDGES THAT IT HAS BEEN INDUCED TO ENTER INTO THIS AGREEMENT AND EACH OTHER LOAN DOCUMENT BY, AMONG OTHER THINGS, THE MUTUAL WAIVERS AND CERTIFICATIONS IN THIS SECTION. THE PROVISIONS OF THIS SECTION HAVE BEEN FULLY DISCLOSED BY AND TO THE PARTIES AND THE PROVISIONS SHALL BE SUBJECT TO NO EXCEPTIONS. NO PARTY HAS IN ANY WAY AGREED WITH OR REPRESENTED TO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OTHER PARTY THAT THE PROVISIONS OF THIS SECTION WILL NOT BE FULLY ENFORCED IN ALL INSTANCES. </w:t>
      </w:r>
    </w:p>
    <w:p>
      <w:pPr>
        <w:pStyle w:val="TextBody"/>
        <w:bidi w:val="0"/>
        <w:spacing w:before="240" w:after="0"/>
        <w:jc w:val="center"/>
        <w:rPr>
          <w:rFonts w:ascii="Times New Roman" w:hAnsi="Times New Roman"/>
          <w:sz w:val="24"/>
        </w:rPr>
      </w:pPr>
      <w:r>
        <w:rPr>
          <w:rFonts w:ascii="Times New Roman" w:hAnsi="Times New Roman"/>
          <w:sz w:val="24"/>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-115- </w:t>
      </w:r>
    </w:p>
    <w:p>
      <w:pPr>
        <w:pStyle w:val="TextBody"/>
        <w:bidi w:val="0"/>
        <w:spacing w:before="0" w:after="0"/>
        <w:jc w:val="right"/>
        <w:rPr>
          <w:rFonts w:ascii="Times New Roman" w:hAnsi="Times New Roman"/>
          <w:b/>
          <w:sz w:val="24"/>
        </w:rPr>
      </w:pPr>
      <w:bookmarkStart w:id="4" w:name="Exhibit109.htm"/>
      <w:bookmarkStart w:id="5" w:name="ksExhibit109"/>
      <w:bookmarkEnd w:id="4"/>
      <w:bookmarkEnd w:id="5"/>
      <w:r>
        <w:rPr>
          <w:rFonts w:ascii="Times New Roman" w:hAnsi="Times New Roman"/>
          <w:b/>
          <w:sz w:val="24"/>
        </w:rPr>
        <w:t xml:space="preserve">Exhibit 10.9 </w:t>
      </w:r>
      <w:r>
        <w:br w:type="page"/>
      </w:r>
    </w:p>
    <w:p>
      <w:pPr>
        <w:pStyle w:val="TextBody"/>
        <w:bidi w:val="0"/>
        <w:spacing w:before="360" w:after="0"/>
        <w:jc w:val="right"/>
        <w:rPr>
          <w:rFonts w:ascii="Times New Roman" w:hAnsi="Times New Roman"/>
          <w:b/>
          <w:i/>
          <w:sz w:val="24"/>
        </w:rPr>
      </w:pPr>
      <w:r>
        <w:rPr>
          <w:rFonts w:ascii="Times New Roman" w:hAnsi="Times New Roman"/>
          <w:b/>
          <w:i/>
          <w:sz w:val="24"/>
        </w:rPr>
        <w:t xml:space="preserve">Execution Version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3 TO THE </w:t>
      </w:r>
    </w:p>
    <w:p>
      <w:pPr>
        <w:pStyle w:val="TextBody"/>
        <w:bidi w:val="0"/>
        <w:spacing w:before="0" w:after="0"/>
        <w:jc w:val="center"/>
        <w:rPr>
          <w:rFonts w:ascii="Times New Roman" w:hAnsi="Times New Roman"/>
          <w:b/>
          <w:sz w:val="24"/>
        </w:rPr>
      </w:pPr>
      <w:r>
        <w:rPr>
          <w:rFonts w:ascii="Times New Roman" w:hAnsi="Times New Roman"/>
          <w:b/>
          <w:sz w:val="24"/>
        </w:rPr>
        <w:t xml:space="preserve">SECOND AMENDED AND RESTATED TERM LOAN AGREEMENT </w:t>
      </w:r>
    </w:p>
    <w:p>
      <w:pPr>
        <w:pStyle w:val="TextBody"/>
        <w:bidi w:val="0"/>
        <w:spacing w:before="240" w:after="0"/>
        <w:jc w:val="right"/>
        <w:rPr>
          <w:rFonts w:ascii="Times New Roman" w:hAnsi="Times New Roman"/>
          <w:sz w:val="24"/>
        </w:rPr>
      </w:pPr>
      <w:r>
        <w:rPr>
          <w:rFonts w:ascii="Times New Roman" w:hAnsi="Times New Roman"/>
          <w:sz w:val="24"/>
        </w:rPr>
        <w:t xml:space="preserve">Dated as of May 7, 2026 </w:t>
      </w:r>
    </w:p>
    <w:p>
      <w:pPr>
        <w:pStyle w:val="TextBody"/>
        <w:bidi w:val="0"/>
        <w:spacing w:before="240" w:after="0"/>
        <w:jc w:val="both"/>
        <w:rPr>
          <w:rFonts w:ascii="Times New Roman" w:hAnsi="Times New Roman"/>
          <w:sz w:val="24"/>
        </w:rPr>
      </w:pPr>
      <w:r>
        <w:rPr>
          <w:rFonts w:ascii="Times New Roman" w:hAnsi="Times New Roman"/>
          <w:b/>
          <w:sz w:val="24"/>
        </w:rPr>
        <w:t xml:space="preserve">AMENDMENT NO. 3 TO THE SECOND AMENDED AND RESTATED TERM LOAN AGREEMENT </w:t>
      </w:r>
      <w:r>
        <w:rPr>
          <w:rFonts w:ascii="Times New Roman" w:hAnsi="Times New Roman"/>
          <w:sz w:val="24"/>
        </w:rPr>
        <w:t>(this “</w:t>
      </w:r>
      <w:r>
        <w:rPr>
          <w:rFonts w:ascii="Times New Roman" w:hAnsi="Times New Roman"/>
          <w:sz w:val="24"/>
          <w:u w:val="single"/>
        </w:rPr>
        <w:t>Amendment</w:t>
      </w:r>
      <w:r>
        <w:rPr>
          <w:rFonts w:ascii="Times New Roman" w:hAnsi="Times New Roman"/>
          <w:sz w:val="24"/>
        </w:rPr>
        <w:t xml:space="preserve">”) by and among </w:t>
      </w:r>
      <w:r>
        <w:rPr>
          <w:rFonts w:ascii="Times New Roman" w:hAnsi="Times New Roman"/>
          <w:b/>
          <w:sz w:val="24"/>
        </w:rPr>
        <w:t>AMERICAN TOWER CORPORATION</w:t>
      </w:r>
      <w:r>
        <w:rPr>
          <w:rFonts w:ascii="Times New Roman" w:hAnsi="Times New Roman"/>
          <w:sz w:val="24"/>
        </w:rPr>
        <w:t>, a Delaware corporation (the “</w:t>
      </w:r>
      <w:r>
        <w:rPr>
          <w:rFonts w:ascii="Times New Roman" w:hAnsi="Times New Roman"/>
          <w:sz w:val="24"/>
          <w:u w:val="single"/>
        </w:rPr>
        <w:t>Borrower</w:t>
      </w:r>
      <w:r>
        <w:rPr>
          <w:rFonts w:ascii="Times New Roman" w:hAnsi="Times New Roman"/>
          <w:sz w:val="24"/>
        </w:rPr>
        <w:t>”), the financial institutions party hereto (collectively, the “</w:t>
      </w:r>
      <w:r>
        <w:rPr>
          <w:rFonts w:ascii="Times New Roman" w:hAnsi="Times New Roman"/>
          <w:sz w:val="24"/>
          <w:u w:val="single"/>
        </w:rPr>
        <w:t>Lenders</w:t>
      </w:r>
      <w:r>
        <w:rPr>
          <w:rFonts w:ascii="Times New Roman" w:hAnsi="Times New Roman"/>
          <w:sz w:val="24"/>
        </w:rPr>
        <w:t xml:space="preserve">”), and </w:t>
      </w:r>
      <w:r>
        <w:rPr>
          <w:rFonts w:ascii="Times New Roman" w:hAnsi="Times New Roman"/>
          <w:b/>
          <w:sz w:val="24"/>
        </w:rPr>
        <w:t>MIZUHO BANK, LTD.</w:t>
      </w:r>
      <w:r>
        <w:rPr>
          <w:rFonts w:ascii="Times New Roman" w:hAnsi="Times New Roman"/>
          <w:sz w:val="24"/>
        </w:rPr>
        <w:t>, as administrative agent for the Lenders (in such capacity, the “</w:t>
      </w:r>
      <w:r>
        <w:rPr>
          <w:rFonts w:ascii="Times New Roman" w:hAnsi="Times New Roman"/>
          <w:sz w:val="24"/>
          <w:u w:val="single"/>
        </w:rPr>
        <w:t>Administrative Agent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b/>
          <w:sz w:val="24"/>
        </w:rPr>
        <w:t>PRELIMINARY STATEMENTS: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(1) The Borrower, the lenders from time to time party thereto and the Administrative Agent are parties to a Second Amended and Restated Term Loan Agreement dated as of December 8, 2021 (as amended by Amendment No. 1 to Second Amended and Restated Term Loan Agreement, dated as of June 29, 2023, Amendment No. 2 to Second Amended and Restated Term Loan Agreement, dated as of January 28, 2025, and as further amended, supplemented or otherwise modified through the date hereof, the “</w:t>
      </w:r>
      <w:r>
        <w:rPr>
          <w:rFonts w:ascii="Times New Roman" w:hAnsi="Times New Roman"/>
          <w:sz w:val="24"/>
          <w:u w:val="single"/>
        </w:rPr>
        <w:t>Credit Agreement</w:t>
      </w:r>
      <w:r>
        <w:rPr>
          <w:rFonts w:ascii="Times New Roman" w:hAnsi="Times New Roman"/>
          <w:sz w:val="24"/>
        </w:rPr>
        <w:t xml:space="preserve">”). Capitalized terms not otherwise defined in this Amendment have the same meanings as specified in the Credit Agreement. </w:t>
      </w:r>
    </w:p>
    <w:p>
      <w:pPr>
        <w:pStyle w:val="TextBody"/>
        <w:bidi w:val="0"/>
        <w:spacing w:before="240" w:after="0"/>
        <w:jc w:val="both"/>
        <w:rPr>
          <w:rFonts w:ascii="Times New Roman" w:hAnsi="Times New Roman"/>
          <w:sz w:val="24"/>
        </w:rPr>
      </w:pPr>
      <w:r>
        <w:rPr>
          <w:rFonts w:ascii="Times New Roman" w:hAnsi="Times New Roman"/>
          <w:sz w:val="24"/>
        </w:rPr>
        <w:t>(2) The parties hereto desire to make the amendments to the Credit Agreement set forth below on the terms as hereinafter set forth (the Credit Agreement as so amended, the “</w:t>
      </w:r>
      <w:r>
        <w:rPr>
          <w:rFonts w:ascii="Times New Roman" w:hAnsi="Times New Roman"/>
          <w:sz w:val="24"/>
          <w:u w:val="single"/>
        </w:rPr>
        <w:t>Amended Credit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NOW, THEREFORE, in consideration of the foregoing and for other good and valuable consideration, the receipt and sufficiency of all of which are hereby acknowledged, the parties hereto hereby agree as follows: </w:t>
      </w:r>
    </w:p>
    <w:p>
      <w:pPr>
        <w:pStyle w:val="TextBody"/>
        <w:bidi w:val="0"/>
        <w:spacing w:before="240" w:after="0"/>
        <w:jc w:val="both"/>
        <w:rPr>
          <w:rFonts w:ascii="Times New Roman" w:hAnsi="Times New Roman"/>
          <w:sz w:val="24"/>
        </w:rPr>
      </w:pPr>
      <w:r>
        <w:rPr>
          <w:rFonts w:ascii="Times New Roman" w:hAnsi="Times New Roman"/>
          <w:sz w:val="24"/>
        </w:rPr>
        <w:t>SECTION 1. </w:t>
      </w:r>
      <w:r>
        <w:rPr>
          <w:rFonts w:ascii="Times New Roman" w:hAnsi="Times New Roman"/>
          <w:sz w:val="24"/>
          <w:u w:val="single"/>
        </w:rPr>
        <w:t>Certain Amendments to Credit Agreement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the parties hereto agrees that, effective on and as of the Amendment Effective Date (as defined below), the Credit Agreement shall be amended to delete the stricken text (indicated textually in the same manner as the following example: </w:t>
      </w:r>
      <w:r>
        <w:rPr>
          <w:rFonts w:ascii="Times New Roman" w:hAnsi="Times New Roman"/>
          <w:strike/>
          <w:color w:val="FF0000"/>
          <w:sz w:val="24"/>
        </w:rPr>
        <w:t>stricken text</w:t>
      </w:r>
      <w:r>
        <w:rPr>
          <w:rFonts w:ascii="Times New Roman" w:hAnsi="Times New Roman"/>
          <w:sz w:val="24"/>
        </w:rPr>
        <w:t xml:space="preserve">) and to add the </w:t>
      </w:r>
      <w:r>
        <w:rPr>
          <w:rFonts w:ascii="Times New Roman" w:hAnsi="Times New Roman"/>
          <w:color w:val="0000FF"/>
          <w:sz w:val="24"/>
          <w:u w:val="single"/>
          <w:bdr w:val="double" w:sz="2" w:space="1" w:color="000000"/>
        </w:rPr>
        <w:t>double-underlined text</w:t>
      </w:r>
      <w:r>
        <w:rPr>
          <w:rFonts w:ascii="Times New Roman" w:hAnsi="Times New Roman"/>
          <w:sz w:val="24"/>
        </w:rPr>
        <w:t xml:space="preserve"> (indicated textually in the same manner as the following example: double -underlined text) as set forth in Exhibit A hereto. </w:t>
      </w:r>
    </w:p>
    <w:p>
      <w:pPr>
        <w:pStyle w:val="TextBody"/>
        <w:bidi w:val="0"/>
        <w:spacing w:before="240" w:after="0"/>
        <w:jc w:val="both"/>
        <w:rPr>
          <w:rFonts w:ascii="Times New Roman" w:hAnsi="Times New Roman"/>
          <w:sz w:val="24"/>
        </w:rPr>
      </w:pPr>
      <w:r>
        <w:rPr>
          <w:rFonts w:ascii="Times New Roman" w:hAnsi="Times New Roman"/>
          <w:sz w:val="24"/>
        </w:rPr>
        <w:t xml:space="preserve">(b) Each of the parties here agrees that, effective on and as of the Amendment Effective Date, Schedule 1 to the Credit Agreement (Term Loan Commitment Amounts) shall hereby be amended and restated in the form attached as Schedule I hereto (for the avoidance of doubt, all other schedules and all exhibits to the Credit Agreement will remain in full force and effect in the form attached to the Credit Agreement immediately prior to the Amendment Effective Date).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w:t>
      </w:r>
    </w:p>
    <w:p>
      <w:pPr>
        <w:pStyle w:val="TextBody"/>
        <w:bidi w:val="0"/>
        <w:spacing w:before="0" w:after="0"/>
        <w:jc w:val="right"/>
        <w:rPr>
          <w:rFonts w:ascii="Times New Roman" w:hAnsi="Times New Roman"/>
          <w:sz w:val="16"/>
        </w:rPr>
      </w:pPr>
      <w:r>
        <w:rPr>
          <w:rFonts w:ascii="Times New Roman" w:hAnsi="Times New Roman"/>
          <w:sz w:val="16"/>
        </w:rPr>
        <w:t xml:space="preserve">Second Amended and Restated Term Loan Agreement </w:t>
      </w:r>
    </w:p>
    <w:p>
      <w:pPr>
        <w:pStyle w:val="TextBody"/>
        <w:bidi w:val="0"/>
        <w:spacing w:before="0" w:after="0"/>
        <w:jc w:val="center"/>
        <w:rPr>
          <w:rFonts w:ascii="Times New Roman" w:hAnsi="Times New Roman"/>
          <w:sz w:val="24"/>
        </w:rPr>
      </w:pPr>
      <w:r>
        <w:rPr>
          <w:rFonts w:ascii="Times New Roman" w:hAnsi="Times New Roman"/>
          <w:sz w:val="24"/>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2. </w:t>
      </w:r>
      <w:r>
        <w:rPr>
          <w:rFonts w:ascii="Times New Roman" w:hAnsi="Times New Roman"/>
          <w:sz w:val="24"/>
          <w:u w:val="single"/>
        </w:rPr>
        <w:t>Waiver; Assignment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requirements of Sections 11.4 and 11.11(c) of the Credit Agreement are hereby waived to the extent that such Sections require prior notice or execution and delivery of an assignment agreement to effect an assignment by any Lender that does not agree to extend its Term Loan Commitment as set forth in this Amendment. Accordingly, after giving effect to this Amendment, only those Lenders listed on </w:t>
      </w:r>
      <w:r>
        <w:rPr>
          <w:rFonts w:ascii="Times New Roman" w:hAnsi="Times New Roman"/>
          <w:sz w:val="24"/>
          <w:u w:val="single"/>
        </w:rPr>
        <w:t>Schedule 1</w:t>
      </w:r>
      <w:r>
        <w:rPr>
          <w:rFonts w:ascii="Times New Roman" w:hAnsi="Times New Roman"/>
          <w:sz w:val="24"/>
        </w:rPr>
        <w:t xml:space="preserve"> to this Amendment shall have any Term Loan Commitment or be considered Lenders under the Credit Agreement, with Term Loan Commitments in such amounts as set forth on </w:t>
      </w:r>
      <w:r>
        <w:rPr>
          <w:rFonts w:ascii="Times New Roman" w:hAnsi="Times New Roman"/>
          <w:sz w:val="24"/>
          <w:u w:val="single"/>
        </w:rPr>
        <w:t>Schedule 1</w:t>
      </w:r>
      <w:r>
        <w:rPr>
          <w:rFonts w:ascii="Times New Roman" w:hAnsi="Times New Roman"/>
          <w:sz w:val="24"/>
        </w:rPr>
        <w:t xml:space="preserve">. The execution and delivery of this Amendment is evidence of the consent of the Borrower and the Administrative Agent to assignment of each Assignor’s (as defined below) Term Loan Commitments to the Assignees (as defined below), as required pursuant to Section 11.4(b)(iii) of the Credit Agreement. </w:t>
      </w:r>
    </w:p>
    <w:p>
      <w:pPr>
        <w:pStyle w:val="TextBody"/>
        <w:bidi w:val="0"/>
        <w:spacing w:before="240" w:after="0"/>
        <w:jc w:val="both"/>
        <w:rPr>
          <w:rFonts w:ascii="Times New Roman" w:hAnsi="Times New Roman"/>
          <w:sz w:val="24"/>
        </w:rPr>
      </w:pPr>
      <w:r>
        <w:rPr>
          <w:rFonts w:ascii="Times New Roman" w:hAnsi="Times New Roman"/>
          <w:sz w:val="24"/>
        </w:rPr>
        <w:t xml:space="preserve">(b) Each Lender whose Term Loan Commitment is reduced or terminated by giving effect to this Amendment (each, an “Assignor”) hereby irrevocably sells and assigns, at par, to each Lender whose Term Loan Commitment is increased (or created) by giving effect to this Amendment (each, an “Assignee”), and each Assignee hereby irrevocably purchases and assumes from each Assignor, subject to and in accordance with this Amendment and the Credit Agreement, as of the Amendment Effective Date (as defined below), the Assigned Interests (as defined below). Such sales and assignments and purchases and assumptions shall be made on the terms set forth in Exhibit F to the Credit Agreement and shall comply with Section 11.4(b) of the Credit Agreement, notwithstanding any failure of such sales, assignments, purchases and assumptions to comply with (x) the minimum assignment requirement in Section 11.4(b)(i) of the Credit Agreement, (y) the requirement to pay the processing and recordation fees referenced in Section 11.4(b)(iv) of the Credit Agreement or (z) any requirement to execute and deliver an Assignment and Assumption in respect thereof. Without limiting the generality of the foregoing, each Assignee and each Assignor hereby makes the representations, warranties and agreements required to be made by such under Section 1 of Annex 1 to Exhibit F to the Credit Agreement by an Assignee or an Assignor, respectively, with respect to the Assigned Interests being assigned or assumed by such Assignee or such Assignor, respectively, hereunder. Each sale and assignment hereunder is without recourse to any Assignor and, except as expressly provided in Section 1 of Annex 1 to Exhibit F to the Credit Agreement, without representation or warranty by any Assignor. </w:t>
      </w:r>
    </w:p>
    <w:p>
      <w:pPr>
        <w:pStyle w:val="TextBody"/>
        <w:bidi w:val="0"/>
        <w:spacing w:before="240" w:after="0"/>
        <w:jc w:val="both"/>
        <w:rPr>
          <w:rFonts w:ascii="Times New Roman" w:hAnsi="Times New Roman"/>
          <w:sz w:val="24"/>
        </w:rPr>
      </w:pPr>
      <w:r>
        <w:rPr>
          <w:rFonts w:ascii="Times New Roman" w:hAnsi="Times New Roman"/>
          <w:sz w:val="24"/>
        </w:rPr>
        <w:t xml:space="preserve">(c) As used herein, “Assigned Interest” means (i) all of the respective Assignors’ rights and obligations in their respective capacities as Lenders under the Credit Agreement and any other documents or instruments delivered pursuant thereto to the extent related to the Term Loan Commitments of the respective Assignors to the extent being assigned under this Amendment and (ii) to the extent permitted to be assigned under Applicable Law, all claims, suits, causes of action and any other right of 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w:t>
      </w:r>
    </w:p>
    <w:p>
      <w:pPr>
        <w:pStyle w:val="TextBody"/>
        <w:bidi w:val="0"/>
        <w:spacing w:before="0" w:after="0"/>
        <w:jc w:val="right"/>
        <w:rPr>
          <w:rFonts w:ascii="Times New Roman" w:hAnsi="Times New Roman"/>
          <w:sz w:val="16"/>
        </w:rPr>
      </w:pPr>
      <w:r>
        <w:rPr>
          <w:rFonts w:ascii="Times New Roman" w:hAnsi="Times New Roman"/>
          <w:sz w:val="16"/>
        </w:rPr>
        <w:t xml:space="preserve">Second Amended and Restated Term Loan Agreement </w:t>
      </w:r>
    </w:p>
    <w:p>
      <w:pPr>
        <w:pStyle w:val="TextBody"/>
        <w:bidi w:val="0"/>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(d) On the Amendment Effective Date, subject to the terms and conditions set forth herein, (x) to the extent any Loans are outstanding on such date, each Assignee purchasing and assuming Assigned Interests pursuant to paragraph (b) above shall pay the purchase price for such Assigned Interests (equal to the principal amount of such outstanding Loans with respect to such Assigned Interest) by wire transfer of immediately available funds to the Administrative Agent not later than 12:00 Noon (New York City time), (y) the Borrower shall pay all accrued and unpaid interest and fees and other amounts accrued to but excluding the Amendment Effective Date for the account of each Assignor in respect of such Assignor’s Assigned Interests (including such amount, if any, as would be payable pursuant to Section 2.9 of the Credit Agreement if the outstanding Loans of such Assignor were prepaid in their entirety on the date of consummation of the assignment of the Assigned Interests) by wire transfer of immediately available funds to the Administrative Agent not later than 12:00 Noon (New York City time) and (z) the Administrative Agent shall pay to each of the Assignors, out of the amounts received by the Administrative Agent pursuant to clauses (x) and (y) above, the purchase price for the Assigned Interests assigned by such Assignor pursuant hereto and all unpaid interest and fees and other amounts accrued for the account of each Assignor to but excluding the Amendment Effective Date by wire transfer of immediately available funds to the account designated by such Assignor to the Administrative Agent not later than 5:00 p.m. (New York City time) on the Amendment Effective Date. </w:t>
      </w:r>
    </w:p>
    <w:p>
      <w:pPr>
        <w:pStyle w:val="TextBody"/>
        <w:bidi w:val="0"/>
        <w:spacing w:before="240" w:after="0"/>
        <w:jc w:val="both"/>
        <w:rPr>
          <w:rFonts w:ascii="Times New Roman" w:hAnsi="Times New Roman"/>
          <w:sz w:val="24"/>
        </w:rPr>
      </w:pPr>
      <w:r>
        <w:rPr>
          <w:rFonts w:ascii="Times New Roman" w:hAnsi="Times New Roman"/>
          <w:sz w:val="24"/>
        </w:rPr>
        <w:t>SECTION 3. </w:t>
      </w:r>
      <w:r>
        <w:rPr>
          <w:rFonts w:ascii="Times New Roman" w:hAnsi="Times New Roman"/>
          <w:sz w:val="24"/>
          <w:u w:val="single"/>
        </w:rPr>
        <w:t>Conditions to Effectiveness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amendments to the Credit Agreement set forth in Section 1 and the assignments set forth in Section 2 shall become effective on the first date (the “</w:t>
      </w:r>
      <w:r>
        <w:rPr>
          <w:rFonts w:ascii="Times New Roman" w:hAnsi="Times New Roman"/>
          <w:sz w:val="24"/>
          <w:u w:val="single"/>
        </w:rPr>
        <w:t>Amendment Effective Date</w:t>
      </w:r>
      <w:r>
        <w:rPr>
          <w:rFonts w:ascii="Times New Roman" w:hAnsi="Times New Roman"/>
          <w:sz w:val="24"/>
        </w:rPr>
        <w:t xml:space="preserve">”) on which the following conditions have been satisfied: </w:t>
      </w:r>
    </w:p>
    <w:p>
      <w:pPr>
        <w:pStyle w:val="TextBody"/>
        <w:bidi w:val="0"/>
        <w:spacing w:before="240" w:after="0"/>
        <w:jc w:val="both"/>
        <w:rPr>
          <w:rFonts w:ascii="Times New Roman" w:hAnsi="Times New Roman"/>
          <w:sz w:val="24"/>
        </w:rPr>
      </w:pPr>
      <w:r>
        <w:rPr>
          <w:rFonts w:ascii="Times New Roman" w:hAnsi="Times New Roman"/>
          <w:sz w:val="24"/>
        </w:rPr>
        <w:t xml:space="preserve">(a) the Administrative Agent shall have received counterparts hereof executed by the Administrative Agent, the Borrower and each Lender; </w:t>
      </w:r>
    </w:p>
    <w:p>
      <w:pPr>
        <w:pStyle w:val="TextBody"/>
        <w:bidi w:val="0"/>
        <w:spacing w:before="240" w:after="0"/>
        <w:jc w:val="both"/>
        <w:rPr>
          <w:rFonts w:ascii="Times New Roman" w:hAnsi="Times New Roman"/>
          <w:sz w:val="24"/>
        </w:rPr>
      </w:pPr>
      <w:r>
        <w:rPr>
          <w:rFonts w:ascii="Times New Roman" w:hAnsi="Times New Roman"/>
          <w:sz w:val="24"/>
        </w:rPr>
        <w:t xml:space="preserve">(b) the Borrower shall have paid all fees required to be paid to certain of the Joint Lead Arrangers and to the Lenders in connection with this Amendment as separately agreed; </w:t>
      </w:r>
    </w:p>
    <w:p>
      <w:pPr>
        <w:pStyle w:val="TextBody"/>
        <w:bidi w:val="0"/>
        <w:spacing w:before="240" w:after="0"/>
        <w:jc w:val="both"/>
        <w:rPr>
          <w:rFonts w:ascii="Times New Roman" w:hAnsi="Times New Roman"/>
          <w:sz w:val="24"/>
        </w:rPr>
      </w:pPr>
      <w:r>
        <w:rPr>
          <w:rFonts w:ascii="Times New Roman" w:hAnsi="Times New Roman"/>
          <w:sz w:val="24"/>
        </w:rPr>
        <w:t xml:space="preserve">(c) the Administrative Agent and the Joint Lead Arrangers shall have received payment for all reasonable and documented costs and expenses required to be paid or reimbursed under Section 11.2 of the Credit Agreement, as amended hereby; </w:t>
      </w:r>
    </w:p>
    <w:p>
      <w:pPr>
        <w:pStyle w:val="TextBody"/>
        <w:bidi w:val="0"/>
        <w:spacing w:before="240" w:after="0"/>
        <w:jc w:val="both"/>
        <w:rPr>
          <w:rFonts w:ascii="Times New Roman" w:hAnsi="Times New Roman"/>
          <w:sz w:val="24"/>
        </w:rPr>
      </w:pPr>
      <w:r>
        <w:rPr>
          <w:rFonts w:ascii="Times New Roman" w:hAnsi="Times New Roman"/>
          <w:sz w:val="24"/>
        </w:rPr>
        <w:t xml:space="preserve">(d) to the extent reasonably requested by the Administrative Agent, the Administrative Agent shall have received: </w:t>
      </w:r>
    </w:p>
    <w:p>
      <w:pPr>
        <w:pStyle w:val="TextBody"/>
        <w:bidi w:val="0"/>
        <w:spacing w:before="240" w:after="0"/>
        <w:jc w:val="left"/>
        <w:rPr>
          <w:rFonts w:ascii="Times New Roman" w:hAnsi="Times New Roman"/>
          <w:sz w:val="24"/>
        </w:rPr>
      </w:pPr>
      <w:r>
        <w:rPr>
          <w:rFonts w:ascii="Times New Roman" w:hAnsi="Times New Roman"/>
          <w:sz w:val="24"/>
        </w:rPr>
        <w:t xml:space="preserve">(i) from the Borrower, certificates and other documentation, dated the Amendment Effective Date, in form and substance substantially consistent with the certificates and other documentation delivered on the Effective Date pursuant to Section 3.2 of the Credit Agreement or otherwise reasonably acceptable to the Administrative Agent; and </w:t>
      </w:r>
    </w:p>
    <w:p>
      <w:pPr>
        <w:pStyle w:val="TextBody"/>
        <w:bidi w:val="0"/>
        <w:spacing w:before="240" w:after="0"/>
        <w:jc w:val="left"/>
        <w:rPr>
          <w:rFonts w:ascii="Times New Roman" w:hAnsi="Times New Roman"/>
          <w:sz w:val="24"/>
        </w:rPr>
      </w:pPr>
      <w:r>
        <w:rPr>
          <w:rFonts w:ascii="Times New Roman" w:hAnsi="Times New Roman"/>
          <w:sz w:val="24"/>
        </w:rPr>
        <w:t xml:space="preserve">(ii) a certificate of a Responsible Officer of the Borrower dated the Amendment Effective Date certifying as to the representations and warranties set forth in Section 4 of this Amendment; and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w:t>
      </w:r>
    </w:p>
    <w:p>
      <w:pPr>
        <w:pStyle w:val="TextBody"/>
        <w:bidi w:val="0"/>
        <w:spacing w:before="0" w:after="0"/>
        <w:jc w:val="right"/>
        <w:rPr>
          <w:rFonts w:ascii="Times New Roman" w:hAnsi="Times New Roman"/>
          <w:sz w:val="16"/>
        </w:rPr>
      </w:pPr>
      <w:r>
        <w:rPr>
          <w:rFonts w:ascii="Times New Roman" w:hAnsi="Times New Roman"/>
          <w:sz w:val="16"/>
        </w:rPr>
        <w:t xml:space="preserve">Second Amended and Restated Term Loan Agreement </w:t>
      </w:r>
    </w:p>
    <w:p>
      <w:pPr>
        <w:pStyle w:val="TextBody"/>
        <w:bidi w:val="0"/>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(e) at least five (5) Business Days prior to the Amendment Effective Date, to the extent reasonably requested in writing at least ten (10) Business Days prior to the Amendment Effective Date, the documentation that the Administrative Agent and the Lenders are required to obtain from the Borrower under Section 326 of the USA PATRIOT ACT (P.L. 107-56, 115 Stat. 272 (2001)) and under any other provision of the Patriot Act, the Bank Secrecy Act (P.L. 91-508, 84 Stat. 1118 (1970)) or any regulations under such Act or the Patriot Act that contain document collection requirements that apply to the Administrative Agent and the Lenders and (ii) to the extent the Borrower qualifies as a “legal entity customer” under the Beneficial Ownership Regulation, the Beneficial Ownership Certification to each Lender that so requests. </w:t>
      </w:r>
    </w:p>
    <w:p>
      <w:pPr>
        <w:pStyle w:val="TextBody"/>
        <w:bidi w:val="0"/>
        <w:spacing w:before="240" w:after="0"/>
        <w:jc w:val="both"/>
        <w:rPr>
          <w:rFonts w:ascii="Times New Roman" w:hAnsi="Times New Roman"/>
          <w:sz w:val="24"/>
        </w:rPr>
      </w:pPr>
      <w:r>
        <w:rPr>
          <w:rFonts w:ascii="Times New Roman" w:hAnsi="Times New Roman"/>
          <w:sz w:val="24"/>
        </w:rPr>
        <w:t>SECTION 4. </w:t>
      </w:r>
      <w:r>
        <w:rPr>
          <w:rFonts w:ascii="Times New Roman" w:hAnsi="Times New Roman"/>
          <w:sz w:val="24"/>
          <w:u w:val="single"/>
        </w:rPr>
        <w:t>Borrower Representations</w:t>
      </w:r>
      <w:r>
        <w:rPr>
          <w:rFonts w:ascii="Times New Roman" w:hAnsi="Times New Roman"/>
          <w:sz w:val="24"/>
        </w:rPr>
        <w:t xml:space="preserve">. The Borrower hereby represents and warrants that, as of the Amendment Effective Date, (i) all of the representations and warranties of the Borrower under the Credit Agreement and the other Loan Documents (other than those set forth in Section 4.1(f)(ii) and Section 4.1(i) of the Credit Agreement), in each case are true and correct at such time in all material respects, except for those representations and warranties that are qualified by materiality or Materially Adverse Effect, which shall be true and correct in all respects, both before and after giving effect to this Amendment, and after giving effect to any updates to information provided to the Lenders in accordance with the terms of the Credit Agreement except to the extent stated to have been made as of the Effective 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representations in Section 4.1(h) of the Credit Agreement shall be deemed to refer to the audited financial statements for the Borrower and its Subsidiaries on a consolidated basis for the fiscal year ended December 31, 2025, and the consolidated balance sheet of the Borrower and its Subsidiaries as at December 31, 2025, and (ii) no Default shall then exist or be caused hereby. </w:t>
      </w:r>
    </w:p>
    <w:p>
      <w:pPr>
        <w:pStyle w:val="TextBody"/>
        <w:bidi w:val="0"/>
        <w:spacing w:before="240" w:after="0"/>
        <w:jc w:val="both"/>
        <w:rPr>
          <w:rFonts w:ascii="Times New Roman" w:hAnsi="Times New Roman"/>
          <w:sz w:val="24"/>
        </w:rPr>
      </w:pPr>
      <w:r>
        <w:rPr>
          <w:rFonts w:ascii="Times New Roman" w:hAnsi="Times New Roman"/>
          <w:sz w:val="24"/>
        </w:rPr>
        <w:t>SECTION 5. </w:t>
      </w:r>
      <w:r>
        <w:rPr>
          <w:rFonts w:ascii="Times New Roman" w:hAnsi="Times New Roman"/>
          <w:sz w:val="24"/>
          <w:u w:val="single"/>
        </w:rPr>
        <w:t>Reference to and Effect on the Credit Agreement and the Other Loan Documents</w:t>
      </w:r>
      <w:r>
        <w:rPr>
          <w:rFonts w:ascii="Times New Roman" w:hAnsi="Times New Roman"/>
          <w:sz w:val="24"/>
        </w:rPr>
        <w:t xml:space="preserve">. (a) On and after the effectiveness of this Amendment, each reference in the Credit Agreement to “this Agreement”, “hereunder”, “hereof” or words of like import referring to the Credit Agreement, and each reference in any other Loan Document to “the Credit Agreement”, “thereunder”, “thereof” or words of like import referring to the Credit Agreement, shall mean and be a reference to the Amended Credit Agreement. </w:t>
      </w:r>
    </w:p>
    <w:p>
      <w:pPr>
        <w:pStyle w:val="TextBody"/>
        <w:bidi w:val="0"/>
        <w:spacing w:before="240" w:after="0"/>
        <w:jc w:val="both"/>
        <w:rPr>
          <w:rFonts w:ascii="Times New Roman" w:hAnsi="Times New Roman"/>
          <w:sz w:val="24"/>
        </w:rPr>
      </w:pPr>
      <w:r>
        <w:rPr>
          <w:rFonts w:ascii="Times New Roman" w:hAnsi="Times New Roman"/>
          <w:sz w:val="24"/>
        </w:rPr>
        <w:t xml:space="preserve">(b) The Credit Agreement and the other Loan Documents, as specifically amended by this Amendment, are and shall continue to be in full force and effect and are hereby in all respects ratified and confirmed. </w:t>
      </w:r>
    </w:p>
    <w:p>
      <w:pPr>
        <w:pStyle w:val="TextBody"/>
        <w:bidi w:val="0"/>
        <w:spacing w:before="240" w:after="0"/>
        <w:jc w:val="both"/>
        <w:rPr>
          <w:rFonts w:ascii="Times New Roman" w:hAnsi="Times New Roman"/>
          <w:sz w:val="24"/>
        </w:rPr>
      </w:pPr>
      <w:r>
        <w:rPr>
          <w:rFonts w:ascii="Times New Roman" w:hAnsi="Times New Roman"/>
          <w:sz w:val="24"/>
        </w:rPr>
        <w:t xml:space="preserve">(c) The execution, delivery and effectiveness of this Amendment shall not, except as expressly provided herein, operate as a waiver of any right, power or remedy of any Lender or the Administrative Agent under the Credit Agreement, nor constitute a waiver of any provision of the Credit Agreement. </w:t>
      </w:r>
    </w:p>
    <w:p>
      <w:pPr>
        <w:pStyle w:val="TextBody"/>
        <w:bidi w:val="0"/>
        <w:spacing w:before="240" w:after="0"/>
        <w:jc w:val="both"/>
        <w:rPr>
          <w:rFonts w:ascii="Times New Roman" w:hAnsi="Times New Roman"/>
          <w:sz w:val="24"/>
        </w:rPr>
      </w:pPr>
      <w:r>
        <w:rPr>
          <w:rFonts w:ascii="Times New Roman" w:hAnsi="Times New Roman"/>
          <w:sz w:val="24"/>
        </w:rPr>
        <w:t xml:space="preserve">(d) This Amendment is subject to the provisions of Section 11.11 of the Credit Agreement and constitutes a Loan Document. </w:t>
      </w:r>
    </w:p>
    <w:p>
      <w:pPr>
        <w:pStyle w:val="TextBody"/>
        <w:bidi w:val="0"/>
        <w:spacing w:before="240" w:after="0"/>
        <w:jc w:val="both"/>
        <w:rPr>
          <w:rFonts w:ascii="Times New Roman" w:hAnsi="Times New Roman"/>
          <w:sz w:val="24"/>
        </w:rPr>
      </w:pPr>
      <w:r>
        <w:rPr>
          <w:rFonts w:ascii="Times New Roman" w:hAnsi="Times New Roman"/>
          <w:sz w:val="24"/>
        </w:rPr>
        <w:t xml:space="preserve">(e) The execution, delivery and effectiveness of this Amendment shall not, except as expressly provided herein, operate as a waiver of any right, power or remedy of the Lenders, the Borrowers, or the Administrative Agent under any of the Loan Documents, nor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w:t>
      </w:r>
    </w:p>
    <w:p>
      <w:pPr>
        <w:pStyle w:val="TextBody"/>
        <w:bidi w:val="0"/>
        <w:spacing w:before="0" w:after="0"/>
        <w:jc w:val="right"/>
        <w:rPr>
          <w:rFonts w:ascii="Times New Roman" w:hAnsi="Times New Roman"/>
          <w:sz w:val="16"/>
        </w:rPr>
      </w:pPr>
      <w:r>
        <w:rPr>
          <w:rFonts w:ascii="Times New Roman" w:hAnsi="Times New Roman"/>
          <w:sz w:val="16"/>
        </w:rPr>
        <w:t xml:space="preserve">Second Amended and Restated Term Loan Agreement </w:t>
      </w:r>
    </w:p>
    <w:p>
      <w:pPr>
        <w:pStyle w:val="TextBody"/>
        <w:bidi w:val="0"/>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constitute a waiver or amendment of any other provision of any of the Loan Documents or for any purpose except as expressly set forth herein. Each of the parties hereto acknowledge that this Amendment shall not be construed as a novation of the obligations under the Credit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SECTION 6. </w:t>
      </w:r>
      <w:r>
        <w:rPr>
          <w:rFonts w:ascii="Times New Roman" w:hAnsi="Times New Roman"/>
          <w:sz w:val="24"/>
          <w:u w:val="single"/>
        </w:rPr>
        <w:t>Costs and Expenses</w:t>
      </w:r>
      <w:r>
        <w:rPr>
          <w:rFonts w:ascii="Times New Roman" w:hAnsi="Times New Roman"/>
          <w:sz w:val="24"/>
        </w:rPr>
        <w:t xml:space="preserve">. The Borrower agrees to all reasonable documented out-of-pocket expenses incurred by the Administrative Agent in connection with the preparation, negotiation, execution, delivery and administration of this Amendment in accordance with the terms of Section 11.2 of the Credit Agreement, as amended hereby. </w:t>
      </w:r>
    </w:p>
    <w:p>
      <w:pPr>
        <w:pStyle w:val="TextBody"/>
        <w:bidi w:val="0"/>
        <w:spacing w:before="240" w:after="0"/>
        <w:jc w:val="both"/>
        <w:rPr>
          <w:rFonts w:ascii="Times New Roman" w:hAnsi="Times New Roman"/>
          <w:sz w:val="24"/>
        </w:rPr>
      </w:pPr>
      <w:r>
        <w:rPr>
          <w:rFonts w:ascii="Times New Roman" w:hAnsi="Times New Roman"/>
          <w:sz w:val="24"/>
        </w:rPr>
        <w:t>SECTION 7. </w:t>
      </w:r>
      <w:r>
        <w:rPr>
          <w:rFonts w:ascii="Times New Roman" w:hAnsi="Times New Roman"/>
          <w:sz w:val="24"/>
          <w:u w:val="single"/>
        </w:rPr>
        <w:t>Execution in Counterparts</w:t>
      </w:r>
      <w:r>
        <w:rPr>
          <w:rFonts w:ascii="Times New Roman" w:hAnsi="Times New Roman"/>
          <w:sz w:val="24"/>
        </w:rPr>
        <w:t xml:space="preserve">.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Agreement.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w:t>
      </w:r>
    </w:p>
    <w:p>
      <w:pPr>
        <w:pStyle w:val="TextBody"/>
        <w:bidi w:val="0"/>
        <w:spacing w:before="240" w:after="0"/>
        <w:jc w:val="both"/>
        <w:rPr>
          <w:rFonts w:ascii="Times New Roman" w:hAnsi="Times New Roman"/>
          <w:sz w:val="24"/>
        </w:rPr>
      </w:pPr>
      <w:r>
        <w:rPr>
          <w:rFonts w:ascii="Times New Roman" w:hAnsi="Times New Roman"/>
          <w:sz w:val="24"/>
        </w:rPr>
        <w:t>SECTION 8. </w:t>
      </w:r>
      <w:r>
        <w:rPr>
          <w:rFonts w:ascii="Times New Roman" w:hAnsi="Times New Roman"/>
          <w:sz w:val="24"/>
          <w:u w:val="single"/>
        </w:rPr>
        <w:t>Governing Law</w:t>
      </w:r>
      <w:r>
        <w:rPr>
          <w:rFonts w:ascii="Times New Roman" w:hAnsi="Times New Roman"/>
          <w:sz w:val="24"/>
        </w:rPr>
        <w:t xml:space="preserve">. This Amendment shall be construed in accordance with and governed by the internal laws of the State of New York applicable to agreements made and to be performed the State of New York. Sections 11.7(b) through (d) and Section 12.1 of the Credit Agreement are hereby incorporated by reference, </w:t>
      </w:r>
      <w:r>
        <w:rPr>
          <w:rFonts w:ascii="Times New Roman" w:hAnsi="Times New Roman"/>
          <w:i/>
          <w:sz w:val="24"/>
        </w:rPr>
        <w:t>mutatis mutandis</w:t>
      </w:r>
      <w:r>
        <w:rPr>
          <w:rFonts w:ascii="Times New Roman" w:hAnsi="Times New Roman"/>
          <w:sz w:val="24"/>
        </w:rPr>
        <w:t xml:space="preserve">. </w:t>
      </w:r>
    </w:p>
    <w:p>
      <w:pPr>
        <w:pStyle w:val="TextBody"/>
        <w:bidi w:val="0"/>
        <w:spacing w:before="240" w:after="0"/>
        <w:jc w:val="center"/>
        <w:rPr>
          <w:rFonts w:ascii="Times New Roman" w:hAnsi="Times New Roman"/>
          <w:sz w:val="24"/>
        </w:rPr>
      </w:pPr>
      <w:r>
        <w:rPr>
          <w:rFonts w:ascii="Times New Roman" w:hAnsi="Times New Roman"/>
          <w:sz w:val="24"/>
        </w:rPr>
        <w:t xml:space="preserve">[Remainder of Page Intentionally Left Blank]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w:t>
      </w:r>
    </w:p>
    <w:p>
      <w:pPr>
        <w:pStyle w:val="TextBody"/>
        <w:bidi w:val="0"/>
        <w:spacing w:before="0" w:after="0"/>
        <w:jc w:val="right"/>
        <w:rPr>
          <w:rFonts w:ascii="Times New Roman" w:hAnsi="Times New Roman"/>
          <w:sz w:val="16"/>
        </w:rPr>
      </w:pPr>
      <w:r>
        <w:rPr>
          <w:rFonts w:ascii="Times New Roman" w:hAnsi="Times New Roman"/>
          <w:sz w:val="16"/>
        </w:rPr>
        <w:t xml:space="preserve">Second Amended and Restated Term Loan Agreement </w:t>
      </w:r>
    </w:p>
    <w:p>
      <w:pPr>
        <w:pStyle w:val="TextBody"/>
        <w:bidi w:val="0"/>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undersigned have duly executed this Amendment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3"/>
        <w:gridCol w:w="60"/>
        <w:gridCol w:w="3239"/>
      </w:tblGrid>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AMERICAN TOWER CORPORATION</w:t>
            </w:r>
          </w:p>
        </w:tc>
      </w:tr>
      <w:tr>
        <w:trPr>
          <w:trHeight w:val="240" w:hRule="atLeast"/>
        </w:trPr>
        <w:tc>
          <w:tcPr>
            <w:tcW w:w="783" w:type="dxa"/>
            <w:tcBorders/>
            <w:vAlign w:val="center"/>
          </w:tcPr>
          <w:p>
            <w:pPr>
              <w:pStyle w:val="TableContents"/>
              <w:bidi w:val="0"/>
              <w:spacing w:before="0" w:after="283"/>
              <w:jc w:val="left"/>
              <w:rPr>
                <w:sz w:val="4"/>
                <w:szCs w:val="4"/>
              </w:rPr>
            </w:pPr>
            <w:r>
              <w:rPr>
                <w:sz w:val="4"/>
                <w:szCs w:val="4"/>
              </w:rPr>
            </w:r>
          </w:p>
        </w:tc>
        <w:tc>
          <w:tcPr>
            <w:tcW w:w="3299" w:type="dxa"/>
            <w:gridSpan w:val="2"/>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u w:val="single"/>
              </w:rPr>
            </w:pPr>
            <w:r>
              <w:rPr>
                <w:u w:val="single"/>
              </w:rPr>
              <w:t>/s/ Rodney M. Smith    </w:t>
            </w:r>
          </w:p>
        </w:tc>
      </w:tr>
      <w:tr>
        <w:trPr/>
        <w:tc>
          <w:tcPr>
            <w:tcW w:w="7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pPr>
            <w:r>
              <w:rPr/>
              <w:t>Rodney M. Smith</w:t>
            </w:r>
          </w:p>
        </w:tc>
      </w:tr>
      <w:tr>
        <w:trPr/>
        <w:tc>
          <w:tcPr>
            <w:tcW w:w="7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pPr>
            <w:r>
              <w:rPr/>
              <w:t>Executive Vice President,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MIZUHO BANK, LTD.,</w:t>
            </w:r>
          </w:p>
          <w:p>
            <w:pPr>
              <w:pStyle w:val="TableContents"/>
              <w:bidi w:val="0"/>
              <w:spacing w:before="0" w:after="20"/>
              <w:jc w:val="left"/>
              <w:rPr>
                <w:rFonts w:ascii="Times New Roman" w:hAnsi="Times New Roman"/>
                <w:sz w:val="24"/>
              </w:rPr>
            </w:pPr>
            <w:r>
              <w:rPr>
                <w:rFonts w:ascii="Times New Roman" w:hAnsi="Times New Roman"/>
                <w:sz w:val="24"/>
              </w:rPr>
              <w:t>as Administrative Agent</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Tracy Rahn    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Tracy Rahn</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MIZUHO BANK, LTD.,</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Tracy Rahn    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Tracy Rahn</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0"/>
        <w:gridCol w:w="60"/>
        <w:gridCol w:w="3262"/>
      </w:tblGrid>
      <w:tr>
        <w:trPr/>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THE TORONTO-DOMINION BANK, NEW</w:t>
            </w:r>
          </w:p>
          <w:p>
            <w:pPr>
              <w:pStyle w:val="TableContents"/>
              <w:bidi w:val="0"/>
              <w:spacing w:before="0" w:after="0"/>
              <w:jc w:val="left"/>
              <w:rPr>
                <w:rFonts w:ascii="Times New Roman" w:hAnsi="Times New Roman"/>
                <w:b/>
                <w:sz w:val="24"/>
              </w:rPr>
            </w:pPr>
            <w:r>
              <w:rPr>
                <w:rFonts w:ascii="Times New Roman" w:hAnsi="Times New Roman"/>
                <w:b/>
                <w:sz w:val="24"/>
              </w:rPr>
              <w:t>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0" w:type="dxa"/>
            <w:tcBorders/>
            <w:vAlign w:val="center"/>
          </w:tcPr>
          <w:p>
            <w:pPr>
              <w:pStyle w:val="TableContents"/>
              <w:bidi w:val="0"/>
              <w:spacing w:before="0" w:after="283"/>
              <w:jc w:val="left"/>
              <w:rPr>
                <w:sz w:val="4"/>
                <w:szCs w:val="4"/>
              </w:rPr>
            </w:pPr>
            <w:r>
              <w:rPr>
                <w:sz w:val="4"/>
                <w:szCs w:val="4"/>
              </w:rPr>
            </w:r>
          </w:p>
        </w:tc>
        <w:tc>
          <w:tcPr>
            <w:tcW w:w="3322" w:type="dxa"/>
            <w:gridSpan w:val="2"/>
            <w:tcBorders/>
            <w:vAlign w:val="center"/>
          </w:tcPr>
          <w:p>
            <w:pPr>
              <w:pStyle w:val="TableContents"/>
              <w:bidi w:val="0"/>
              <w:spacing w:before="0" w:after="283"/>
              <w:jc w:val="left"/>
              <w:rPr>
                <w:sz w:val="4"/>
                <w:szCs w:val="4"/>
              </w:rPr>
            </w:pPr>
            <w:r>
              <w:rPr>
                <w:sz w:val="4"/>
                <w:szCs w:val="4"/>
              </w:rPr>
            </w:r>
          </w:p>
        </w:tc>
      </w:tr>
      <w:tr>
        <w:trPr/>
        <w:tc>
          <w:tcPr>
            <w:tcW w:w="7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283"/>
              <w:jc w:val="left"/>
              <w:rPr>
                <w:u w:val="single"/>
              </w:rPr>
            </w:pPr>
            <w:r>
              <w:rPr>
                <w:u w:val="single"/>
              </w:rPr>
              <w:t>/s/ John Colquhoun    </w:t>
            </w:r>
          </w:p>
        </w:tc>
      </w:tr>
      <w:tr>
        <w:trPr/>
        <w:tc>
          <w:tcPr>
            <w:tcW w:w="76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283"/>
              <w:jc w:val="left"/>
              <w:rPr/>
            </w:pPr>
            <w:r>
              <w:rPr/>
              <w:t>Jon Colquhoun</w:t>
            </w:r>
          </w:p>
        </w:tc>
      </w:tr>
      <w:tr>
        <w:trPr/>
        <w:tc>
          <w:tcPr>
            <w:tcW w:w="7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62"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BANK OF AMERICA, N.A.,</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Lindsay Sames    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Lindsay Sames</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BNP PARIBAS,</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Maria Mulic    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Maria Mulic</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Managing Director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Melody Moss    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Melody Moss</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87"/>
        <w:gridCol w:w="60"/>
        <w:gridCol w:w="3235"/>
      </w:tblGrid>
      <w:tr>
        <w:trPr/>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CREDIT AGRICOLE CORPORATE AND INVESTMENT BANK</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87"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u w:val="single"/>
              </w:rPr>
            </w:pPr>
            <w:r>
              <w:rPr>
                <w:u w:val="single"/>
              </w:rPr>
              <w:t>/s/ Jill Wong    </w:t>
            </w:r>
          </w:p>
        </w:tc>
      </w:tr>
      <w:tr>
        <w:trPr/>
        <w:tc>
          <w:tcPr>
            <w:tcW w:w="7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Jill Wong</w:t>
            </w:r>
          </w:p>
        </w:tc>
      </w:tr>
      <w:tr>
        <w:trPr/>
        <w:tc>
          <w:tcPr>
            <w:tcW w:w="7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Director</w:t>
            </w:r>
          </w:p>
        </w:tc>
      </w:tr>
      <w:tr>
        <w:trPr>
          <w:trHeight w:val="240" w:hRule="atLeast"/>
        </w:trPr>
        <w:tc>
          <w:tcPr>
            <w:tcW w:w="787"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u w:val="single"/>
              </w:rPr>
            </w:pPr>
            <w:r>
              <w:rPr>
                <w:u w:val="single"/>
              </w:rPr>
              <w:t>/s/ Gordon Yip    </w:t>
            </w:r>
          </w:p>
        </w:tc>
      </w:tr>
      <w:tr>
        <w:trPr/>
        <w:tc>
          <w:tcPr>
            <w:tcW w:w="7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Gordon Yip</w:t>
            </w:r>
          </w:p>
        </w:tc>
      </w:tr>
      <w:tr>
        <w:trPr/>
        <w:tc>
          <w:tcPr>
            <w:tcW w:w="7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LLOYDS BANK PLC,</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Iain Brown    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Iain Brown</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Associate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2"/>
        <w:gridCol w:w="60"/>
        <w:gridCol w:w="3230"/>
      </w:tblGrid>
      <w:tr>
        <w:trPr/>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PNC BANK, NATIONAL ASSOCIATION,</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92" w:type="dxa"/>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u w:val="single"/>
              </w:rPr>
            </w:pPr>
            <w:r>
              <w:rPr>
                <w:u w:val="single"/>
              </w:rPr>
              <w:t>/s/ Amy Tallia    </w:t>
            </w:r>
          </w:p>
        </w:tc>
      </w:tr>
      <w:tr>
        <w:trPr/>
        <w:tc>
          <w:tcPr>
            <w:tcW w:w="7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Amy Tallia</w:t>
            </w:r>
          </w:p>
        </w:tc>
      </w:tr>
      <w:tr>
        <w:trPr/>
        <w:tc>
          <w:tcPr>
            <w:tcW w:w="7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SVP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7"/>
        <w:gridCol w:w="60"/>
        <w:gridCol w:w="3255"/>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ROYAL BANK OF CANADA,</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7" w:type="dxa"/>
            <w:tcBorders/>
            <w:vAlign w:val="center"/>
          </w:tcPr>
          <w:p>
            <w:pPr>
              <w:pStyle w:val="TableContents"/>
              <w:bidi w:val="0"/>
              <w:spacing w:before="0" w:after="283"/>
              <w:jc w:val="left"/>
              <w:rPr>
                <w:sz w:val="4"/>
                <w:szCs w:val="4"/>
              </w:rPr>
            </w:pPr>
            <w:r>
              <w:rPr>
                <w:sz w:val="4"/>
                <w:szCs w:val="4"/>
              </w:rPr>
            </w:r>
          </w:p>
        </w:tc>
        <w:tc>
          <w:tcPr>
            <w:tcW w:w="331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283"/>
              <w:jc w:val="left"/>
              <w:rPr>
                <w:u w:val="single"/>
              </w:rPr>
            </w:pPr>
            <w:r>
              <w:rPr>
                <w:u w:val="single"/>
              </w:rPr>
              <w:t>/s/ Theodore Brown    </w:t>
            </w:r>
          </w:p>
        </w:tc>
      </w:tr>
      <w:tr>
        <w:trPr/>
        <w:tc>
          <w:tcPr>
            <w:tcW w:w="7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283"/>
              <w:jc w:val="left"/>
              <w:rPr/>
            </w:pPr>
            <w:r>
              <w:rPr/>
              <w:t>Theodore Brown</w:t>
            </w:r>
          </w:p>
        </w:tc>
      </w:tr>
      <w:tr>
        <w:trPr/>
        <w:tc>
          <w:tcPr>
            <w:tcW w:w="7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2"/>
        <w:gridCol w:w="60"/>
        <w:gridCol w:w="3230"/>
      </w:tblGrid>
      <w:tr>
        <w:trPr/>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U.S. BANK NATIONAL ASSOCIATION,</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92" w:type="dxa"/>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u w:val="single"/>
              </w:rPr>
            </w:pPr>
            <w:r>
              <w:rPr>
                <w:u w:val="single"/>
              </w:rPr>
              <w:t>/s/ Joseph Howard    </w:t>
            </w:r>
          </w:p>
        </w:tc>
      </w:tr>
      <w:tr>
        <w:trPr/>
        <w:tc>
          <w:tcPr>
            <w:tcW w:w="7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Joseph Howard</w:t>
            </w:r>
          </w:p>
        </w:tc>
      </w:tr>
      <w:tr>
        <w:trPr/>
        <w:tc>
          <w:tcPr>
            <w:tcW w:w="7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CoBank ACB,</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Scott Johnson    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Scott Johnson</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Sector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3"/>
        <w:gridCol w:w="60"/>
        <w:gridCol w:w="3269"/>
      </w:tblGrid>
      <w:tr>
        <w:trPr/>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Agricultural Bank of China Limited, New 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53" w:type="dxa"/>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69" w:type="dxa"/>
            <w:tcBorders/>
          </w:tcPr>
          <w:p>
            <w:pPr>
              <w:pStyle w:val="TableContents"/>
              <w:bidi w:val="0"/>
              <w:spacing w:before="0" w:after="283"/>
              <w:jc w:val="left"/>
              <w:rPr>
                <w:u w:val="single"/>
              </w:rPr>
            </w:pPr>
            <w:r>
              <w:rPr>
                <w:u w:val="single"/>
              </w:rPr>
              <w:t>/s/ Nelson Chou    </w:t>
            </w:r>
          </w:p>
        </w:tc>
      </w:tr>
      <w:tr>
        <w:trPr/>
        <w:tc>
          <w:tcPr>
            <w:tcW w:w="75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69" w:type="dxa"/>
            <w:tcBorders/>
          </w:tcPr>
          <w:p>
            <w:pPr>
              <w:pStyle w:val="TableContents"/>
              <w:bidi w:val="0"/>
              <w:spacing w:before="0" w:after="283"/>
              <w:jc w:val="left"/>
              <w:rPr/>
            </w:pPr>
            <w:r>
              <w:rPr/>
              <w:t>Nelson Chou</w:t>
            </w:r>
          </w:p>
        </w:tc>
      </w:tr>
      <w:tr>
        <w:trPr/>
        <w:tc>
          <w:tcPr>
            <w:tcW w:w="75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69" w:type="dxa"/>
            <w:tcBorders/>
          </w:tcPr>
          <w:p>
            <w:pPr>
              <w:pStyle w:val="TableContents"/>
              <w:bidi w:val="0"/>
              <w:spacing w:before="0" w:after="283"/>
              <w:jc w:val="left"/>
              <w:rPr/>
            </w:pPr>
            <w:r>
              <w:rPr/>
              <w:t>SVP &amp; Head of Corporate Banking Department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31"/>
        <w:gridCol w:w="60"/>
        <w:gridCol w:w="3291"/>
      </w:tblGrid>
      <w:tr>
        <w:trPr/>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China Citic Bank International Limited, New 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31" w:type="dxa"/>
            <w:tcBorders/>
            <w:vAlign w:val="center"/>
          </w:tcPr>
          <w:p>
            <w:pPr>
              <w:pStyle w:val="TableContents"/>
              <w:bidi w:val="0"/>
              <w:spacing w:before="0" w:after="283"/>
              <w:jc w:val="left"/>
              <w:rPr>
                <w:sz w:val="4"/>
                <w:szCs w:val="4"/>
              </w:rPr>
            </w:pPr>
            <w:r>
              <w:rPr>
                <w:sz w:val="4"/>
                <w:szCs w:val="4"/>
              </w:rPr>
            </w:r>
          </w:p>
        </w:tc>
        <w:tc>
          <w:tcPr>
            <w:tcW w:w="3351" w:type="dxa"/>
            <w:gridSpan w:val="2"/>
            <w:tcBorders/>
            <w:vAlign w:val="center"/>
          </w:tcPr>
          <w:p>
            <w:pPr>
              <w:pStyle w:val="TableContents"/>
              <w:bidi w:val="0"/>
              <w:spacing w:before="0" w:after="283"/>
              <w:jc w:val="left"/>
              <w:rPr>
                <w:sz w:val="4"/>
                <w:szCs w:val="4"/>
              </w:rPr>
            </w:pPr>
            <w:r>
              <w:rPr>
                <w:sz w:val="4"/>
                <w:szCs w:val="4"/>
              </w:rPr>
            </w:r>
          </w:p>
        </w:tc>
      </w:tr>
      <w:tr>
        <w:trPr/>
        <w:tc>
          <w:tcPr>
            <w:tcW w:w="73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1" w:type="dxa"/>
            <w:tcBorders/>
          </w:tcPr>
          <w:p>
            <w:pPr>
              <w:pStyle w:val="TableContents"/>
              <w:bidi w:val="0"/>
              <w:spacing w:before="0" w:after="283"/>
              <w:jc w:val="left"/>
              <w:rPr>
                <w:u w:val="single"/>
              </w:rPr>
            </w:pPr>
            <w:r>
              <w:rPr>
                <w:u w:val="single"/>
              </w:rPr>
              <w:t>/s/ Qing Hong    </w:t>
            </w:r>
          </w:p>
        </w:tc>
      </w:tr>
      <w:tr>
        <w:trPr/>
        <w:tc>
          <w:tcPr>
            <w:tcW w:w="73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1" w:type="dxa"/>
            <w:tcBorders/>
          </w:tcPr>
          <w:p>
            <w:pPr>
              <w:pStyle w:val="TableContents"/>
              <w:bidi w:val="0"/>
              <w:spacing w:before="0" w:after="283"/>
              <w:jc w:val="left"/>
              <w:rPr/>
            </w:pPr>
            <w:r>
              <w:rPr/>
              <w:t>Qing Hong</w:t>
            </w:r>
          </w:p>
        </w:tc>
      </w:tr>
      <w:tr>
        <w:trPr/>
        <w:tc>
          <w:tcPr>
            <w:tcW w:w="73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1" w:type="dxa"/>
            <w:tcBorders/>
          </w:tcPr>
          <w:p>
            <w:pPr>
              <w:pStyle w:val="TableContents"/>
              <w:bidi w:val="0"/>
              <w:spacing w:before="0" w:after="283"/>
              <w:jc w:val="left"/>
              <w:rPr/>
            </w:pPr>
            <w:r>
              <w:rPr/>
              <w:t>General Manager &amp; Branch Manager, New York Branch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86"/>
        <w:gridCol w:w="60"/>
        <w:gridCol w:w="3236"/>
      </w:tblGrid>
      <w:tr>
        <w:trPr/>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Bank of Communications Co., Ltd., New 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86" w:type="dxa"/>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left"/>
              <w:rPr>
                <w:u w:val="single"/>
              </w:rPr>
            </w:pPr>
            <w:r>
              <w:rPr>
                <w:u w:val="single"/>
              </w:rPr>
              <w:t>/s/ Weijie Wang    </w:t>
            </w:r>
          </w:p>
        </w:tc>
      </w:tr>
      <w:tr>
        <w:trPr/>
        <w:tc>
          <w:tcPr>
            <w:tcW w:w="7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left"/>
              <w:rPr/>
            </w:pPr>
            <w:r>
              <w:rPr/>
              <w:t>Weijie Wang</w:t>
            </w:r>
          </w:p>
        </w:tc>
      </w:tr>
      <w:tr>
        <w:trPr/>
        <w:tc>
          <w:tcPr>
            <w:tcW w:w="7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6" w:type="dxa"/>
            <w:tcBorders/>
          </w:tcPr>
          <w:p>
            <w:pPr>
              <w:pStyle w:val="TableContents"/>
              <w:bidi w:val="0"/>
              <w:spacing w:before="0" w:after="283"/>
              <w:jc w:val="left"/>
              <w:rPr/>
            </w:pPr>
            <w:r>
              <w:rPr/>
              <w:t>Deputy General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49"/>
        <w:gridCol w:w="60"/>
        <w:gridCol w:w="3273"/>
      </w:tblGrid>
      <w:tr>
        <w:trPr/>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East Asia, Limited, New York Branch, as a Lender</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u w:val="single"/>
              </w:rPr>
            </w:pPr>
            <w:r>
              <w:rPr>
                <w:u w:val="single"/>
              </w:rPr>
              <w:t>/s/ James Hua    </w:t>
            </w:r>
          </w:p>
        </w:tc>
      </w:tr>
      <w:tr>
        <w:trPr/>
        <w:tc>
          <w:tcPr>
            <w:tcW w:w="74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pPr>
            <w:r>
              <w:rPr/>
              <w:t>James Hua</w:t>
            </w:r>
          </w:p>
        </w:tc>
      </w:tr>
      <w:tr>
        <w:trPr/>
        <w:tc>
          <w:tcPr>
            <w:tcW w:w="74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pPr>
            <w:r>
              <w:rPr/>
              <w:t>DGM &amp; Head of Corporate Banking</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u w:val="single"/>
              </w:rPr>
            </w:pPr>
            <w:r>
              <w:rPr>
                <w:u w:val="single"/>
              </w:rPr>
              <w:t>/s/ Daniel Liao    </w:t>
            </w:r>
          </w:p>
        </w:tc>
      </w:tr>
      <w:tr>
        <w:trPr/>
        <w:tc>
          <w:tcPr>
            <w:tcW w:w="74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pPr>
            <w:r>
              <w:rPr/>
              <w:t>Daniel Liao</w:t>
            </w:r>
          </w:p>
        </w:tc>
      </w:tr>
      <w:tr>
        <w:trPr/>
        <w:tc>
          <w:tcPr>
            <w:tcW w:w="74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3" w:type="dxa"/>
            <w:tcBorders/>
          </w:tcPr>
          <w:p>
            <w:pPr>
              <w:pStyle w:val="TableContents"/>
              <w:bidi w:val="0"/>
              <w:spacing w:before="0" w:after="283"/>
              <w:jc w:val="left"/>
              <w:rPr/>
            </w:pPr>
            <w:r>
              <w:rPr/>
              <w:t>SVP &amp; Head of Risk Management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2"/>
        <w:gridCol w:w="60"/>
        <w:gridCol w:w="3230"/>
      </w:tblGrid>
      <w:tr>
        <w:trPr/>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AMERICAN SAVINGS BANK, NATIONAL ASSOCIATION,</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92" w:type="dxa"/>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u w:val="single"/>
              </w:rPr>
            </w:pPr>
            <w:r>
              <w:rPr>
                <w:u w:val="single"/>
              </w:rPr>
              <w:t>/s/ Kyle Shelly    </w:t>
            </w:r>
          </w:p>
        </w:tc>
      </w:tr>
      <w:tr>
        <w:trPr/>
        <w:tc>
          <w:tcPr>
            <w:tcW w:w="7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Kyle Shelly</w:t>
            </w:r>
          </w:p>
        </w:tc>
      </w:tr>
      <w:tr>
        <w:trPr/>
        <w:tc>
          <w:tcPr>
            <w:tcW w:w="7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4"/>
        <w:gridCol w:w="60"/>
        <w:gridCol w:w="3268"/>
      </w:tblGrid>
      <w:tr>
        <w:trPr/>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TAIWAN COOPERATIVE BANK, SEATTLE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54" w:type="dxa"/>
            <w:tcBorders/>
            <w:vAlign w:val="center"/>
          </w:tcPr>
          <w:p>
            <w:pPr>
              <w:pStyle w:val="TableContents"/>
              <w:bidi w:val="0"/>
              <w:spacing w:before="0" w:after="283"/>
              <w:jc w:val="left"/>
              <w:rPr>
                <w:sz w:val="4"/>
                <w:szCs w:val="4"/>
              </w:rPr>
            </w:pPr>
            <w:r>
              <w:rPr>
                <w:sz w:val="4"/>
                <w:szCs w:val="4"/>
              </w:rPr>
            </w:r>
          </w:p>
        </w:tc>
        <w:tc>
          <w:tcPr>
            <w:tcW w:w="3328" w:type="dxa"/>
            <w:gridSpan w:val="2"/>
            <w:tcBorders/>
            <w:vAlign w:val="center"/>
          </w:tcPr>
          <w:p>
            <w:pPr>
              <w:pStyle w:val="TableContents"/>
              <w:bidi w:val="0"/>
              <w:spacing w:before="0" w:after="283"/>
              <w:jc w:val="left"/>
              <w:rPr>
                <w:sz w:val="4"/>
                <w:szCs w:val="4"/>
              </w:rPr>
            </w:pPr>
            <w:r>
              <w:rPr>
                <w:sz w:val="4"/>
                <w:szCs w:val="4"/>
              </w:rPr>
            </w:r>
          </w:p>
        </w:tc>
      </w:tr>
      <w:tr>
        <w:trPr/>
        <w:tc>
          <w:tcPr>
            <w:tcW w:w="75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left"/>
              <w:rPr>
                <w:u w:val="single"/>
              </w:rPr>
            </w:pPr>
            <w:r>
              <w:rPr>
                <w:u w:val="single"/>
              </w:rPr>
              <w:t>/s/ Yu-Lin Lu    </w:t>
            </w:r>
          </w:p>
        </w:tc>
      </w:tr>
      <w:tr>
        <w:trPr/>
        <w:tc>
          <w:tcPr>
            <w:tcW w:w="75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left"/>
              <w:rPr/>
            </w:pPr>
            <w:r>
              <w:rPr/>
              <w:t>Yu-Lin Lu</w:t>
            </w:r>
          </w:p>
        </w:tc>
      </w:tr>
      <w:tr>
        <w:trPr/>
        <w:tc>
          <w:tcPr>
            <w:tcW w:w="75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left"/>
              <w:rPr/>
            </w:pPr>
            <w:r>
              <w:rPr/>
              <w:t>VP &amp; General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77"/>
        <w:gridCol w:w="60"/>
        <w:gridCol w:w="3245"/>
      </w:tblGrid>
      <w:tr>
        <w:trPr/>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MEGA INTERNATIONAL COMMERCIAL BANK CO., LTD. NEW 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77" w:type="dxa"/>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77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u w:val="single"/>
              </w:rPr>
            </w:pPr>
            <w:r>
              <w:rPr>
                <w:u w:val="single"/>
              </w:rPr>
              <w:t>/s/ Tzy Dai Chen    </w:t>
            </w:r>
          </w:p>
        </w:tc>
      </w:tr>
      <w:tr>
        <w:trPr/>
        <w:tc>
          <w:tcPr>
            <w:tcW w:w="77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pPr>
            <w:r>
              <w:rPr/>
              <w:t>Tzy Dai Chen</w:t>
            </w:r>
          </w:p>
        </w:tc>
      </w:tr>
      <w:tr>
        <w:trPr/>
        <w:tc>
          <w:tcPr>
            <w:tcW w:w="77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pPr>
            <w:r>
              <w:rPr/>
              <w:t>VP&amp;DGM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Canadian Imperial Bank of Commerce, New</w:t>
            </w:r>
          </w:p>
          <w:p>
            <w:pPr>
              <w:pStyle w:val="TableContents"/>
              <w:bidi w:val="0"/>
              <w:spacing w:before="0" w:after="0"/>
              <w:jc w:val="left"/>
              <w:rPr>
                <w:rFonts w:ascii="Times New Roman" w:hAnsi="Times New Roman"/>
                <w:b/>
                <w:sz w:val="24"/>
              </w:rPr>
            </w:pPr>
            <w:r>
              <w:rPr>
                <w:rFonts w:ascii="Times New Roman" w:hAnsi="Times New Roman"/>
                <w:b/>
                <w:sz w:val="24"/>
              </w:rPr>
              <w:t>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Kelly Petit de Mange    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Kelly Petit de Mange</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40"/>
        <w:gridCol w:w="60"/>
        <w:gridCol w:w="3282"/>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E.SUN COMMERCIAL BANK, LTD., LOS ANGELES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40" w:type="dxa"/>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u w:val="single"/>
              </w:rPr>
            </w:pPr>
            <w:r>
              <w:rPr>
                <w:u w:val="single"/>
              </w:rPr>
              <w:t>/s/ Arthur Chen    </w:t>
            </w:r>
          </w:p>
        </w:tc>
      </w:tr>
      <w:tr>
        <w:trPr/>
        <w:tc>
          <w:tcPr>
            <w:tcW w:w="7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Arthur Chen</w:t>
            </w:r>
          </w:p>
        </w:tc>
      </w:tr>
      <w:tr>
        <w:trPr/>
        <w:tc>
          <w:tcPr>
            <w:tcW w:w="7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SEVP &amp; General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64"/>
        <w:gridCol w:w="60"/>
        <w:gridCol w:w="3258"/>
      </w:tblGrid>
      <w:tr>
        <w:trPr/>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Land Bank of Taiwan, New York Branch,</w:t>
            </w:r>
          </w:p>
          <w:p>
            <w:pPr>
              <w:pStyle w:val="TableContents"/>
              <w:bidi w:val="0"/>
              <w:spacing w:before="0" w:after="20"/>
              <w:jc w:val="left"/>
              <w:rPr>
                <w:rFonts w:ascii="Times New Roman" w:hAnsi="Times New Roman"/>
                <w:sz w:val="24"/>
              </w:rPr>
            </w:pPr>
            <w:r>
              <w:rPr>
                <w:rFonts w:ascii="Times New Roman" w:hAnsi="Times New Roman"/>
                <w:sz w:val="24"/>
              </w:rPr>
              <w:t>as a Lender</w:t>
            </w:r>
          </w:p>
        </w:tc>
      </w:tr>
      <w:tr>
        <w:trPr>
          <w:trHeight w:val="240" w:hRule="atLeast"/>
        </w:trPr>
        <w:tc>
          <w:tcPr>
            <w:tcW w:w="764" w:type="dxa"/>
            <w:tcBorders/>
            <w:vAlign w:val="center"/>
          </w:tcPr>
          <w:p>
            <w:pPr>
              <w:pStyle w:val="TableContents"/>
              <w:bidi w:val="0"/>
              <w:spacing w:before="0" w:after="283"/>
              <w:jc w:val="left"/>
              <w:rPr>
                <w:sz w:val="4"/>
                <w:szCs w:val="4"/>
              </w:rPr>
            </w:pPr>
            <w:r>
              <w:rPr>
                <w:sz w:val="4"/>
                <w:szCs w:val="4"/>
              </w:rPr>
            </w:r>
          </w:p>
        </w:tc>
        <w:tc>
          <w:tcPr>
            <w:tcW w:w="3318" w:type="dxa"/>
            <w:gridSpan w:val="2"/>
            <w:tcBorders/>
            <w:vAlign w:val="center"/>
          </w:tcPr>
          <w:p>
            <w:pPr>
              <w:pStyle w:val="TableContents"/>
              <w:bidi w:val="0"/>
              <w:spacing w:before="0" w:after="283"/>
              <w:jc w:val="left"/>
              <w:rPr>
                <w:sz w:val="4"/>
                <w:szCs w:val="4"/>
              </w:rPr>
            </w:pPr>
            <w:r>
              <w:rPr>
                <w:sz w:val="4"/>
                <w:szCs w:val="4"/>
              </w:rPr>
            </w:r>
          </w:p>
        </w:tc>
      </w:tr>
      <w:tr>
        <w:trPr/>
        <w:tc>
          <w:tcPr>
            <w:tcW w:w="7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u w:val="single"/>
              </w:rPr>
            </w:pPr>
            <w:r>
              <w:rPr>
                <w:u w:val="single"/>
              </w:rPr>
              <w:t>/s/ En Chung Cheng    </w:t>
            </w:r>
          </w:p>
        </w:tc>
      </w:tr>
      <w:tr>
        <w:trPr/>
        <w:tc>
          <w:tcPr>
            <w:tcW w:w="7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En Chung Cheng</w:t>
            </w:r>
          </w:p>
        </w:tc>
      </w:tr>
      <w:tr>
        <w:trPr/>
        <w:tc>
          <w:tcPr>
            <w:tcW w:w="7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8" w:type="dxa"/>
            <w:tcBorders/>
          </w:tcPr>
          <w:p>
            <w:pPr>
              <w:pStyle w:val="TableContents"/>
              <w:bidi w:val="0"/>
              <w:spacing w:before="0" w:after="283"/>
              <w:jc w:val="left"/>
              <w:rPr/>
            </w:pPr>
            <w:r>
              <w:rPr/>
              <w:t>Deputy General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[Signature Page to Amendment No. 3 to Second Amended and Restated Term Loan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Schedule 1 </w:t>
      </w:r>
    </w:p>
    <w:p>
      <w:pPr>
        <w:pStyle w:val="TextBody"/>
        <w:bidi w:val="0"/>
        <w:spacing w:before="240" w:after="0"/>
        <w:jc w:val="center"/>
        <w:rPr>
          <w:rFonts w:ascii="Times New Roman" w:hAnsi="Times New Roman"/>
          <w:b/>
          <w:sz w:val="24"/>
        </w:rPr>
      </w:pPr>
      <w:r>
        <w:rPr>
          <w:rFonts w:ascii="Times New Roman" w:hAnsi="Times New Roman"/>
          <w:b/>
          <w:sz w:val="24"/>
        </w:rPr>
        <w:t xml:space="preserve">Term Loan Commitment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7"/>
        <w:gridCol w:w="122"/>
        <w:gridCol w:w="4866"/>
      </w:tblGrid>
      <w:tr>
        <w:trPr/>
        <w:tc>
          <w:tcPr>
            <w:tcW w:w="52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6" w:type="dxa"/>
            <w:tcBorders/>
            <w:vAlign w:val="center"/>
          </w:tcPr>
          <w:p>
            <w:pPr>
              <w:pStyle w:val="TableContents"/>
              <w:bidi w:val="0"/>
              <w:spacing w:before="0" w:after="283"/>
              <w:jc w:val="left"/>
              <w:rPr>
                <w:sz w:val="4"/>
                <w:szCs w:val="4"/>
              </w:rPr>
            </w:pPr>
            <w:r>
              <w:rPr>
                <w:sz w:val="4"/>
                <w:szCs w:val="4"/>
              </w:rPr>
            </w:r>
          </w:p>
        </w:tc>
      </w:tr>
      <w:tr>
        <w:trPr/>
        <w:tc>
          <w:tcPr>
            <w:tcW w:w="5217" w:type="dxa"/>
            <w:tcBorders>
              <w:top w:val="single" w:sz="2" w:space="0" w:color="000000"/>
              <w:left w:val="single" w:sz="2" w:space="0" w:color="000000"/>
              <w:bottom w:val="single" w:sz="2" w:space="0" w:color="000000"/>
              <w:right w:val="single" w:sz="2" w:space="0" w:color="000000"/>
            </w:tcBorders>
            <w:shd w:fill="D9D9D9" w:val="clear"/>
            <w:tcMar>
              <w:top w:w="28" w:type="dxa"/>
              <w:left w:w="160" w:type="dxa"/>
              <w:bottom w:w="80" w:type="dxa"/>
              <w:right w:w="28" w:type="dxa"/>
            </w:tcMar>
            <w:vAlign w:val="bottom"/>
          </w:tcPr>
          <w:p>
            <w:pPr>
              <w:pStyle w:val="TableContents"/>
              <w:pBdr>
                <w:bottom w:val="single" w:sz="8" w:space="1" w:color="000000"/>
              </w:pBdr>
              <w:bidi w:val="0"/>
              <w:spacing w:before="0" w:after="0"/>
              <w:jc w:val="left"/>
              <w:rPr>
                <w:rFonts w:ascii="Times New Roman" w:hAnsi="Times New Roman"/>
                <w:b/>
                <w:sz w:val="24"/>
              </w:rPr>
            </w:pPr>
            <w:r>
              <w:rPr>
                <w:rFonts w:ascii="Times New Roman" w:hAnsi="Times New Roman"/>
                <w:b/>
                <w:sz w:val="24"/>
              </w:rPr>
              <w:t>Entity</w:t>
            </w:r>
          </w:p>
        </w:tc>
        <w:tc>
          <w:tcPr>
            <w:tcW w:w="122"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4866" w:type="dxa"/>
            <w:tcBorders>
              <w:top w:val="single" w:sz="2" w:space="0" w:color="000000"/>
              <w:bottom w:val="single" w:sz="2" w:space="0" w:color="000000"/>
              <w:right w:val="single" w:sz="2" w:space="0" w:color="000000"/>
            </w:tcBorders>
            <w:shd w:fill="D9D9D9" w:val="clear"/>
            <w:tcMar>
              <w:top w:w="28" w:type="dxa"/>
              <w:bottom w:w="80" w:type="dxa"/>
              <w:right w:w="40" w:type="dxa"/>
            </w:tcMar>
            <w:vAlign w:val="bottom"/>
          </w:tcPr>
          <w:p>
            <w:pPr>
              <w:pStyle w:val="TableContents"/>
              <w:pBdr>
                <w:bottom w:val="single" w:sz="8" w:space="1" w:color="000000"/>
              </w:pBdr>
              <w:bidi w:val="0"/>
              <w:spacing w:before="0" w:after="0"/>
              <w:jc w:val="center"/>
              <w:rPr>
                <w:rFonts w:ascii="Times New Roman" w:hAnsi="Times New Roman"/>
                <w:b/>
                <w:sz w:val="24"/>
              </w:rPr>
            </w:pPr>
            <w:r>
              <w:rPr>
                <w:rFonts w:ascii="Times New Roman" w:hAnsi="Times New Roman"/>
                <w:b/>
                <w:sz w:val="24"/>
              </w:rPr>
              <w:t>Term Loan Commitment</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Mizuho Bank, Ltd.</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$35,000,000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Toronto-Dominion Bank,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$35,000,000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Bank of America N.A.</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$35,000,000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BNP Paribas</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$20,000,000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Credit Agricole Corporate and Investment Bank</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$20,000,000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Lloyds Bank pk</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$16,000,000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PNC Bank, National Association</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Royal Bank of Canada</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U.S. Bank National Association</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$66,000,000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4"/>
              </w:rPr>
            </w:pPr>
            <w:r>
              <w:rPr>
                <w:rFonts w:ascii="Times New Roman" w:hAnsi="Times New Roman"/>
                <w:sz w:val="24"/>
              </w:rPr>
              <w:t>CoBank, ACB</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$345,000,000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Agricultural Bank of China Limited,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$100,000,000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China Citic Bank International Limited,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$100,000,000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Bank of Communications Co., Ltd.,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$50,000,000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The Bank of East Asia, Limited,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$50,000,000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American Savings Bank, National Association</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$20,000,000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Taiwan Cooperative Bank Seattle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$20,000,000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Mega International Commercial Bank Co., Ltd.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$18,000,000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Canadian Imperial Bank of Commerce,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E.Sun Commercial Bank, Ltd., Los Angeles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Land Bank of Taiwan, New York Branch</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$15,000,000</w:t>
            </w:r>
          </w:p>
        </w:tc>
      </w:tr>
      <w:tr>
        <w:trPr/>
        <w:tc>
          <w:tcPr>
            <w:tcW w:w="521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b/>
              </w:rPr>
            </w:pPr>
            <w:r>
              <w:rPr>
                <w:b/>
              </w:rPr>
              <w:t>Total</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866" w:type="dxa"/>
            <w:tcBorders>
              <w:bottom w:val="single" w:sz="2" w:space="0" w:color="000000"/>
              <w:right w:val="single" w:sz="2" w:space="0" w:color="000000"/>
            </w:tcBorders>
            <w:tcMar>
              <w:bottom w:w="28" w:type="dxa"/>
              <w:right w:w="40" w:type="dxa"/>
            </w:tcMar>
          </w:tcPr>
          <w:p>
            <w:pPr>
              <w:pStyle w:val="TableContents"/>
              <w:bidi w:val="0"/>
              <w:spacing w:before="0" w:after="283"/>
              <w:jc w:val="center"/>
              <w:rPr>
                <w:b/>
              </w:rPr>
            </w:pPr>
            <w:r>
              <w:rPr>
                <w:b/>
              </w:rPr>
              <w:t>$1,000,000,000</w:t>
            </w:r>
          </w:p>
        </w:tc>
      </w:tr>
    </w:tbl>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w:t>
      </w:r>
    </w:p>
    <w:p>
      <w:pPr>
        <w:pStyle w:val="TextBody"/>
        <w:bidi w:val="0"/>
        <w:spacing w:before="0" w:after="0"/>
        <w:jc w:val="right"/>
        <w:rPr>
          <w:rFonts w:ascii="Times New Roman" w:hAnsi="Times New Roman"/>
          <w:sz w:val="16"/>
        </w:rPr>
      </w:pPr>
      <w:r>
        <w:rPr>
          <w:rFonts w:ascii="Times New Roman" w:hAnsi="Times New Roman"/>
          <w:sz w:val="16"/>
        </w:rPr>
        <w:t xml:space="preserve">Second Amended and Restated Term Loan Agreement </w:t>
      </w:r>
    </w:p>
    <w:p>
      <w:pPr>
        <w:pStyle w:val="TextBody"/>
        <w:bidi w:val="0"/>
        <w:spacing w:before="120" w:after="0"/>
        <w:jc w:val="center"/>
        <w:rPr>
          <w:rFonts w:ascii="Times New Roman" w:hAnsi="Times New Roman"/>
          <w:sz w:val="24"/>
        </w:rPr>
      </w:pPr>
      <w:r>
        <w:rPr>
          <w:rFonts w:ascii="Times New Roman" w:hAnsi="Times New Roman"/>
          <w:sz w:val="24"/>
        </w:rPr>
        <w:t xml:space="preserve">Schedule 1 - 1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Exhibit A </w:t>
      </w:r>
    </w:p>
    <w:p>
      <w:pPr>
        <w:pStyle w:val="TextBody"/>
        <w:bidi w:val="0"/>
        <w:spacing w:before="240" w:after="0"/>
        <w:jc w:val="center"/>
        <w:rPr>
          <w:rFonts w:ascii="Times New Roman" w:hAnsi="Times New Roman"/>
          <w:b/>
          <w:sz w:val="24"/>
        </w:rPr>
      </w:pPr>
      <w:r>
        <w:rPr>
          <w:rFonts w:ascii="Times New Roman" w:hAnsi="Times New Roman"/>
          <w:b/>
          <w:sz w:val="24"/>
        </w:rPr>
        <w:t xml:space="preserve">Amended Credit Agreement </w:t>
      </w:r>
    </w:p>
    <w:p>
      <w:pPr>
        <w:pStyle w:val="TextBody"/>
        <w:bidi w:val="0"/>
        <w:spacing w:before="0" w:after="0"/>
        <w:jc w:val="center"/>
        <w:rPr>
          <w:rFonts w:ascii="Times New Roman" w:hAnsi="Times New Roman"/>
          <w:sz w:val="24"/>
        </w:rPr>
      </w:pPr>
      <w:r>
        <w:rPr>
          <w:rFonts w:ascii="Times New Roman" w:hAnsi="Times New Roman"/>
          <w:sz w:val="24"/>
        </w:rPr>
        <w:t xml:space="preserve">(See attached). </w:t>
      </w:r>
    </w:p>
    <w:p>
      <w:pPr>
        <w:pStyle w:val="TextBody"/>
        <w:bidi w:val="0"/>
        <w:spacing w:before="0" w:after="0"/>
        <w:jc w:val="left"/>
        <w:rPr/>
      </w:pPr>
      <w:r>
        <w:rPr/>
        <w:t> </w:t>
      </w:r>
    </w:p>
    <w:p>
      <w:pPr>
        <w:pStyle w:val="TextBody"/>
        <w:bidi w:val="0"/>
        <w:spacing w:before="0" w:after="0"/>
        <w:jc w:val="right"/>
        <w:rPr>
          <w:rFonts w:ascii="Times New Roman" w:hAnsi="Times New Roman"/>
          <w:sz w:val="16"/>
        </w:rPr>
      </w:pPr>
      <w:r>
        <w:rPr>
          <w:rFonts w:ascii="Times New Roman" w:hAnsi="Times New Roman"/>
          <w:sz w:val="16"/>
        </w:rPr>
        <w:t xml:space="preserve">Amendment No. 3 to </w:t>
      </w:r>
    </w:p>
    <w:p>
      <w:pPr>
        <w:pStyle w:val="TextBody"/>
        <w:bidi w:val="0"/>
        <w:spacing w:before="0" w:after="0"/>
        <w:jc w:val="right"/>
        <w:rPr>
          <w:rFonts w:ascii="Times New Roman" w:hAnsi="Times New Roman"/>
          <w:sz w:val="16"/>
        </w:rPr>
      </w:pPr>
      <w:r>
        <w:rPr>
          <w:rFonts w:ascii="Times New Roman" w:hAnsi="Times New Roman"/>
          <w:sz w:val="16"/>
        </w:rPr>
        <w:t xml:space="preserve">Second Amended and Restated Term Loan Agreement </w:t>
      </w:r>
    </w:p>
    <w:p>
      <w:pPr>
        <w:pStyle w:val="TextBody"/>
        <w:bidi w:val="0"/>
        <w:spacing w:before="120" w:after="0"/>
        <w:jc w:val="center"/>
        <w:rPr>
          <w:rFonts w:ascii="Times New Roman" w:hAnsi="Times New Roman"/>
          <w:sz w:val="24"/>
        </w:rPr>
      </w:pPr>
      <w:r>
        <w:rPr>
          <w:rFonts w:ascii="Times New Roman" w:hAnsi="Times New Roman"/>
          <w:sz w:val="24"/>
        </w:rPr>
        <w:t xml:space="preserve">Exhibit A - 1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4"/>
        </w:rPr>
      </w:pPr>
      <w:r>
        <w:rPr>
          <w:rFonts w:ascii="Times New Roman" w:hAnsi="Times New Roman"/>
          <w:sz w:val="24"/>
        </w:rPr>
        <w:t xml:space="preserve">EXHIBIT A to </w:t>
      </w:r>
    </w:p>
    <w:p>
      <w:pPr>
        <w:pStyle w:val="TextBody"/>
        <w:bidi w:val="0"/>
        <w:spacing w:before="0" w:after="0"/>
        <w:jc w:val="right"/>
        <w:rPr>
          <w:rFonts w:ascii="Times New Roman" w:hAnsi="Times New Roman"/>
          <w:sz w:val="24"/>
        </w:rPr>
      </w:pPr>
      <w:r>
        <w:rPr>
          <w:rFonts w:ascii="Times New Roman" w:hAnsi="Times New Roman"/>
          <w:sz w:val="24"/>
        </w:rPr>
        <w:t>AMENDMENT No.</w:t>
      </w:r>
      <w:r>
        <w:rPr>
          <w:rFonts w:ascii="Times New Roman" w:hAnsi="Times New Roman"/>
          <w:strike/>
          <w:color w:val="FF0000"/>
          <w:sz w:val="24"/>
        </w:rPr>
        <w:t> 2</w:t>
      </w:r>
      <w:r>
        <w:rPr>
          <w:rFonts w:ascii="Times New Roman" w:hAnsi="Times New Roman"/>
          <w:color w:val="0000FF"/>
          <w:sz w:val="24"/>
          <w:u w:val="single"/>
          <w:bdr w:val="double" w:sz="2" w:space="1" w:color="000000"/>
        </w:rPr>
        <w:t>3</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SECOND AMENDED AND RESTATED TERM LOAN AGREEMENT </w:t>
      </w:r>
    </w:p>
    <w:p>
      <w:pPr>
        <w:pStyle w:val="TextBody"/>
        <w:bidi w:val="0"/>
        <w:spacing w:before="240" w:after="0"/>
        <w:jc w:val="center"/>
        <w:rPr>
          <w:rFonts w:ascii="Times New Roman" w:hAnsi="Times New Roman"/>
          <w:b/>
          <w:sz w:val="24"/>
        </w:rPr>
      </w:pPr>
      <w:r>
        <w:rPr>
          <w:rFonts w:ascii="Times New Roman" w:hAnsi="Times New Roman"/>
          <w:b/>
          <w:sz w:val="24"/>
        </w:rPr>
        <w:t xml:space="preserve">AMONG </w:t>
      </w:r>
    </w:p>
    <w:p>
      <w:pPr>
        <w:pStyle w:val="TextBody"/>
        <w:bidi w:val="0"/>
        <w:spacing w:before="240" w:after="0"/>
        <w:jc w:val="center"/>
        <w:rPr>
          <w:rFonts w:ascii="Times New Roman" w:hAnsi="Times New Roman"/>
          <w:b/>
          <w:sz w:val="24"/>
        </w:rPr>
      </w:pPr>
      <w:r>
        <w:rPr>
          <w:rFonts w:ascii="Times New Roman" w:hAnsi="Times New Roman"/>
          <w:b/>
          <w:sz w:val="24"/>
        </w:rPr>
        <w:t xml:space="preserve">AMERICAN TOWER CORPORATION, </w:t>
      </w:r>
    </w:p>
    <w:p>
      <w:pPr>
        <w:pStyle w:val="TextBody"/>
        <w:bidi w:val="0"/>
        <w:spacing w:before="0" w:after="0"/>
        <w:jc w:val="center"/>
        <w:rPr>
          <w:rFonts w:ascii="Times New Roman" w:hAnsi="Times New Roman"/>
          <w:b/>
          <w:sz w:val="24"/>
        </w:rPr>
      </w:pPr>
      <w:r>
        <w:rPr>
          <w:rFonts w:ascii="Times New Roman" w:hAnsi="Times New Roman"/>
          <w:b/>
          <w:sz w:val="24"/>
        </w:rPr>
        <w:t xml:space="preserve">AS BORROWER; </w:t>
      </w:r>
    </w:p>
    <w:p>
      <w:pPr>
        <w:pStyle w:val="TextBody"/>
        <w:bidi w:val="0"/>
        <w:spacing w:before="240" w:after="0"/>
        <w:jc w:val="center"/>
        <w:rPr>
          <w:rFonts w:ascii="Times New Roman" w:hAnsi="Times New Roman"/>
          <w:b/>
          <w:sz w:val="24"/>
        </w:rPr>
      </w:pPr>
      <w:r>
        <w:rPr>
          <w:rFonts w:ascii="Times New Roman" w:hAnsi="Times New Roman"/>
          <w:b/>
          <w:sz w:val="24"/>
        </w:rPr>
        <w:t xml:space="preserve">MIZUHO BANK, LTD. </w:t>
      </w:r>
    </w:p>
    <w:p>
      <w:pPr>
        <w:pStyle w:val="TextBody"/>
        <w:bidi w:val="0"/>
        <w:spacing w:before="0" w:after="0"/>
        <w:jc w:val="center"/>
        <w:rPr>
          <w:rFonts w:ascii="Times New Roman" w:hAnsi="Times New Roman"/>
          <w:b/>
          <w:sz w:val="24"/>
        </w:rPr>
      </w:pPr>
      <w:r>
        <w:rPr>
          <w:rFonts w:ascii="Times New Roman" w:hAnsi="Times New Roman"/>
          <w:b/>
          <w:sz w:val="24"/>
        </w:rPr>
        <w:t xml:space="preserve">AS ADMINISTRATIVE AGENT FOR THE LENDERS; </w:t>
      </w:r>
    </w:p>
    <w:p>
      <w:pPr>
        <w:pStyle w:val="TextBody"/>
        <w:bidi w:val="0"/>
        <w:spacing w:before="240" w:after="0"/>
        <w:jc w:val="center"/>
        <w:rPr>
          <w:rFonts w:ascii="Times New Roman" w:hAnsi="Times New Roman"/>
          <w:b/>
          <w:sz w:val="24"/>
        </w:rPr>
      </w:pPr>
      <w:r>
        <w:rPr>
          <w:rFonts w:ascii="Times New Roman" w:hAnsi="Times New Roman"/>
          <w:b/>
          <w:sz w:val="24"/>
        </w:rPr>
        <w:t xml:space="preserve">AND </w:t>
      </w:r>
    </w:p>
    <w:p>
      <w:pPr>
        <w:pStyle w:val="TextBody"/>
        <w:bidi w:val="0"/>
        <w:spacing w:before="240" w:after="0"/>
        <w:jc w:val="center"/>
        <w:rPr>
          <w:rFonts w:ascii="Times New Roman" w:hAnsi="Times New Roman"/>
          <w:b/>
          <w:sz w:val="24"/>
        </w:rPr>
      </w:pPr>
      <w:r>
        <w:rPr>
          <w:rFonts w:ascii="Times New Roman" w:hAnsi="Times New Roman"/>
          <w:b/>
          <w:sz w:val="24"/>
        </w:rPr>
        <w:t xml:space="preserve">THE FINANCIAL INSTITUTIONS PARTIES HERETO; </w:t>
      </w:r>
    </w:p>
    <w:p>
      <w:pPr>
        <w:pStyle w:val="TextBody"/>
        <w:bidi w:val="0"/>
        <w:spacing w:before="240" w:after="0"/>
        <w:jc w:val="center"/>
        <w:rPr>
          <w:rFonts w:ascii="Times New Roman" w:hAnsi="Times New Roman"/>
          <w:b/>
          <w:sz w:val="24"/>
        </w:rPr>
      </w:pPr>
      <w:r>
        <w:rPr>
          <w:rFonts w:ascii="Times New Roman" w:hAnsi="Times New Roman"/>
          <w:b/>
          <w:sz w:val="24"/>
        </w:rPr>
        <w:t xml:space="preserve">AND WITH </w:t>
      </w:r>
    </w:p>
    <w:p>
      <w:pPr>
        <w:pStyle w:val="TextBody"/>
        <w:bidi w:val="0"/>
        <w:spacing w:before="240" w:after="0"/>
        <w:jc w:val="center"/>
        <w:rPr>
          <w:rFonts w:ascii="Times New Roman" w:hAnsi="Times New Roman"/>
          <w:b/>
          <w:sz w:val="24"/>
        </w:rPr>
      </w:pPr>
      <w:r>
        <w:rPr>
          <w:rFonts w:ascii="Times New Roman" w:hAnsi="Times New Roman"/>
          <w:b/>
          <w:sz w:val="24"/>
        </w:rPr>
        <w:t xml:space="preserve">TD SECURITIES (USA) LLC </w:t>
      </w:r>
    </w:p>
    <w:p>
      <w:pPr>
        <w:pStyle w:val="TextBody"/>
        <w:bidi w:val="0"/>
        <w:spacing w:before="0" w:after="0"/>
        <w:jc w:val="center"/>
        <w:rPr>
          <w:rFonts w:ascii="Times New Roman" w:hAnsi="Times New Roman"/>
          <w:b/>
          <w:sz w:val="24"/>
        </w:rPr>
      </w:pPr>
      <w:r>
        <w:rPr>
          <w:rFonts w:ascii="Times New Roman" w:hAnsi="Times New Roman"/>
          <w:b/>
          <w:sz w:val="24"/>
        </w:rPr>
        <w:t xml:space="preserve">AS SYNDICATION AGENT; </w:t>
      </w:r>
    </w:p>
    <w:p>
      <w:pPr>
        <w:pStyle w:val="TextBody"/>
        <w:bidi w:val="0"/>
        <w:spacing w:before="240" w:after="0"/>
        <w:jc w:val="center"/>
        <w:rPr>
          <w:rFonts w:ascii="Times New Roman" w:hAnsi="Times New Roman"/>
          <w:b/>
          <w:sz w:val="24"/>
        </w:rPr>
      </w:pPr>
      <w:r>
        <w:rPr>
          <w:rFonts w:ascii="Times New Roman" w:hAnsi="Times New Roman"/>
          <w:b/>
          <w:strike/>
          <w:color w:val="FF0000"/>
          <w:sz w:val="24"/>
        </w:rPr>
        <w:t>BARCLAYS BANK PLC</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BANK OF AMERICA, N.A. </w:t>
      </w:r>
    </w:p>
    <w:p>
      <w:pPr>
        <w:pStyle w:val="TextBody"/>
        <w:bidi w:val="0"/>
        <w:spacing w:before="0" w:after="0"/>
        <w:jc w:val="center"/>
        <w:rPr>
          <w:rFonts w:ascii="Times New Roman" w:hAnsi="Times New Roman"/>
          <w:b/>
          <w:sz w:val="24"/>
        </w:rPr>
      </w:pPr>
      <w:r>
        <w:rPr>
          <w:rFonts w:ascii="Times New Roman" w:hAnsi="Times New Roman"/>
          <w:b/>
          <w:sz w:val="24"/>
        </w:rPr>
        <w:t xml:space="preserve">CITIBANK, N.A. </w:t>
      </w:r>
    </w:p>
    <w:p>
      <w:pPr>
        <w:pStyle w:val="TextBody"/>
        <w:bidi w:val="0"/>
        <w:spacing w:before="0" w:after="0"/>
        <w:jc w:val="center"/>
        <w:rPr>
          <w:rFonts w:ascii="Times New Roman" w:hAnsi="Times New Roman"/>
          <w:b/>
          <w:sz w:val="24"/>
        </w:rPr>
      </w:pPr>
      <w:r>
        <w:rPr>
          <w:rFonts w:ascii="Times New Roman" w:hAnsi="Times New Roman"/>
          <w:b/>
          <w:color w:val="0000FF"/>
          <w:sz w:val="24"/>
          <w:u w:val="single"/>
          <w:bdr w:val="double" w:sz="2" w:space="1" w:color="000000"/>
        </w:rPr>
        <w:t>MORGAN STANLEY BANK, N.A.</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MORGAN STANLEY MUFG LOAN PARTNERS, LLC </w:t>
      </w:r>
    </w:p>
    <w:p>
      <w:pPr>
        <w:pStyle w:val="TextBody"/>
        <w:bidi w:val="0"/>
        <w:spacing w:before="0" w:after="0"/>
        <w:jc w:val="center"/>
        <w:rPr>
          <w:rFonts w:ascii="Times New Roman" w:hAnsi="Times New Roman"/>
          <w:b/>
          <w:sz w:val="24"/>
        </w:rPr>
      </w:pPr>
      <w:r>
        <w:rPr>
          <w:rFonts w:ascii="Times New Roman" w:hAnsi="Times New Roman"/>
          <w:b/>
          <w:sz w:val="24"/>
        </w:rPr>
        <w:t xml:space="preserve">JPMORGAN CHASE BANK, N.A. </w:t>
      </w:r>
    </w:p>
    <w:p>
      <w:pPr>
        <w:pStyle w:val="TextBody"/>
        <w:bidi w:val="0"/>
        <w:spacing w:before="0" w:after="0"/>
        <w:jc w:val="center"/>
        <w:rPr>
          <w:rFonts w:ascii="Times New Roman" w:hAnsi="Times New Roman"/>
          <w:b/>
          <w:sz w:val="24"/>
        </w:rPr>
      </w:pPr>
      <w:r>
        <w:rPr>
          <w:rFonts w:ascii="Times New Roman" w:hAnsi="Times New Roman"/>
          <w:b/>
          <w:sz w:val="24"/>
        </w:rPr>
        <w:t xml:space="preserve">and </w:t>
      </w:r>
    </w:p>
    <w:p>
      <w:pPr>
        <w:pStyle w:val="TextBody"/>
        <w:bidi w:val="0"/>
        <w:spacing w:before="0" w:after="0"/>
        <w:jc w:val="center"/>
        <w:rPr>
          <w:rFonts w:ascii="Times New Roman" w:hAnsi="Times New Roman"/>
          <w:b/>
          <w:sz w:val="24"/>
        </w:rPr>
      </w:pPr>
      <w:r>
        <w:rPr>
          <w:rFonts w:ascii="Times New Roman" w:hAnsi="Times New Roman"/>
          <w:b/>
          <w:sz w:val="24"/>
        </w:rPr>
        <w:t xml:space="preserve">ROYAL BANK OF CANADA </w:t>
      </w:r>
    </w:p>
    <w:p>
      <w:pPr>
        <w:pStyle w:val="TextBody"/>
        <w:bidi w:val="0"/>
        <w:spacing w:before="0" w:after="0"/>
        <w:jc w:val="center"/>
        <w:rPr>
          <w:rFonts w:ascii="Times New Roman" w:hAnsi="Times New Roman"/>
          <w:b/>
          <w:sz w:val="24"/>
        </w:rPr>
      </w:pPr>
      <w:r>
        <w:rPr>
          <w:rFonts w:ascii="Times New Roman" w:hAnsi="Times New Roman"/>
          <w:b/>
          <w:sz w:val="24"/>
        </w:rPr>
        <w:t xml:space="preserve">AS CO-DOCUMENTATION AGENTS; </w:t>
      </w:r>
    </w:p>
    <w:p>
      <w:pPr>
        <w:pStyle w:val="TextBody"/>
        <w:bidi w:val="0"/>
        <w:spacing w:before="240" w:after="0"/>
        <w:jc w:val="center"/>
        <w:rPr>
          <w:rFonts w:ascii="Times New Roman" w:hAnsi="Times New Roman"/>
          <w:b/>
          <w:sz w:val="24"/>
        </w:rPr>
      </w:pPr>
      <w:r>
        <w:rPr>
          <w:rFonts w:ascii="Times New Roman" w:hAnsi="Times New Roman"/>
          <w:b/>
          <w:sz w:val="24"/>
        </w:rPr>
        <w:t xml:space="preserve">AND </w:t>
      </w:r>
    </w:p>
    <w:p>
      <w:pPr>
        <w:pStyle w:val="TextBody"/>
        <w:bidi w:val="0"/>
        <w:spacing w:before="240" w:after="0"/>
        <w:jc w:val="center"/>
        <w:rPr>
          <w:rFonts w:ascii="Times New Roman" w:hAnsi="Times New Roman"/>
          <w:b/>
          <w:sz w:val="24"/>
        </w:rPr>
      </w:pPr>
      <w:r>
        <w:rPr>
          <w:rFonts w:ascii="Times New Roman" w:hAnsi="Times New Roman"/>
          <w:b/>
          <w:sz w:val="24"/>
        </w:rPr>
        <w:t xml:space="preserve">MIZUHO BANK, LTD. </w:t>
      </w:r>
    </w:p>
    <w:p>
      <w:pPr>
        <w:pStyle w:val="TextBody"/>
        <w:bidi w:val="0"/>
        <w:spacing w:before="0" w:after="0"/>
        <w:jc w:val="center"/>
        <w:rPr>
          <w:rFonts w:ascii="Times New Roman" w:hAnsi="Times New Roman"/>
          <w:b/>
          <w:sz w:val="24"/>
        </w:rPr>
      </w:pPr>
      <w:r>
        <w:rPr>
          <w:rFonts w:ascii="Times New Roman" w:hAnsi="Times New Roman"/>
          <w:b/>
          <w:sz w:val="24"/>
        </w:rPr>
        <w:t xml:space="preserve">TD SECURITIES (USA) LLC </w:t>
      </w:r>
    </w:p>
    <w:p>
      <w:pPr>
        <w:pStyle w:val="TextBody"/>
        <w:bidi w:val="0"/>
        <w:spacing w:before="0" w:after="0"/>
        <w:jc w:val="center"/>
        <w:rPr>
          <w:rFonts w:ascii="Times New Roman" w:hAnsi="Times New Roman"/>
          <w:b/>
          <w:sz w:val="24"/>
        </w:rPr>
      </w:pPr>
      <w:r>
        <w:rPr>
          <w:rFonts w:ascii="Times New Roman" w:hAnsi="Times New Roman"/>
          <w:b/>
          <w:strike/>
          <w:color w:val="FF0000"/>
          <w:sz w:val="24"/>
        </w:rPr>
        <w:t>BARCLAYS BANK PLC</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BOFA SECURITIES, INC. </w:t>
      </w:r>
    </w:p>
    <w:p>
      <w:pPr>
        <w:pStyle w:val="TextBody"/>
        <w:bidi w:val="0"/>
        <w:spacing w:before="0" w:after="0"/>
        <w:jc w:val="center"/>
        <w:rPr>
          <w:rFonts w:ascii="Times New Roman" w:hAnsi="Times New Roman"/>
          <w:b/>
          <w:sz w:val="24"/>
        </w:rPr>
      </w:pPr>
      <w:r>
        <w:rPr>
          <w:rFonts w:ascii="Times New Roman" w:hAnsi="Times New Roman"/>
          <w:b/>
          <w:sz w:val="24"/>
        </w:rPr>
        <w:t xml:space="preserve">CITIBANK, N.A. </w:t>
      </w:r>
    </w:p>
    <w:p>
      <w:pPr>
        <w:pStyle w:val="TextBody"/>
        <w:bidi w:val="0"/>
        <w:spacing w:before="0" w:after="0"/>
        <w:jc w:val="center"/>
        <w:rPr>
          <w:rFonts w:ascii="Times New Roman" w:hAnsi="Times New Roman"/>
          <w:b/>
          <w:sz w:val="24"/>
        </w:rPr>
      </w:pPr>
      <w:r>
        <w:rPr>
          <w:rFonts w:ascii="Times New Roman" w:hAnsi="Times New Roman"/>
          <w:b/>
          <w:sz w:val="24"/>
        </w:rPr>
        <w:t xml:space="preserve">JPMORGAN CHASE BANK, N.A. </w:t>
      </w:r>
    </w:p>
    <w:p>
      <w:pPr>
        <w:pStyle w:val="TextBody"/>
        <w:bidi w:val="0"/>
        <w:spacing w:before="0" w:after="0"/>
        <w:jc w:val="center"/>
        <w:rPr>
          <w:rFonts w:ascii="Times New Roman" w:hAnsi="Times New Roman"/>
          <w:b/>
          <w:sz w:val="24"/>
        </w:rPr>
      </w:pPr>
      <w:r>
        <w:rPr>
          <w:rFonts w:ascii="Times New Roman" w:hAnsi="Times New Roman"/>
          <w:b/>
          <w:color w:val="0000FF"/>
          <w:sz w:val="24"/>
          <w:u w:val="single"/>
          <w:bdr w:val="double" w:sz="2" w:space="1" w:color="000000"/>
        </w:rPr>
        <w:t>MORGAN STANLEY BANK, N.A.</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MORGAN STANLEY MUFG LOAN PARTNERS, LLC </w:t>
      </w:r>
    </w:p>
    <w:p>
      <w:pPr>
        <w:pStyle w:val="TextBody"/>
        <w:bidi w:val="0"/>
        <w:spacing w:before="0" w:after="0"/>
        <w:jc w:val="center"/>
        <w:rPr>
          <w:rFonts w:ascii="Times New Roman" w:hAnsi="Times New Roman"/>
          <w:b/>
          <w:sz w:val="24"/>
        </w:rPr>
      </w:pPr>
      <w:r>
        <w:rPr>
          <w:rFonts w:ascii="Times New Roman" w:hAnsi="Times New Roman"/>
          <w:b/>
          <w:sz w:val="24"/>
        </w:rPr>
        <w:t xml:space="preserve">and </w:t>
      </w:r>
    </w:p>
    <w:p>
      <w:pPr>
        <w:pStyle w:val="TextBody"/>
        <w:bidi w:val="0"/>
        <w:spacing w:before="0" w:after="0"/>
        <w:jc w:val="center"/>
        <w:rPr>
          <w:rFonts w:ascii="Times New Roman" w:hAnsi="Times New Roman"/>
          <w:b/>
          <w:sz w:val="24"/>
        </w:rPr>
      </w:pPr>
      <w:r>
        <w:rPr>
          <w:rFonts w:ascii="Times New Roman" w:hAnsi="Times New Roman"/>
          <w:b/>
          <w:sz w:val="24"/>
        </w:rPr>
        <w:t xml:space="preserve">RBC CAPITAL MARKETS1 </w:t>
      </w:r>
    </w:p>
    <w:p>
      <w:pPr>
        <w:pStyle w:val="TextBody"/>
        <w:bidi w:val="0"/>
        <w:spacing w:before="0" w:after="0"/>
        <w:jc w:val="center"/>
        <w:rPr>
          <w:rFonts w:ascii="Times New Roman" w:hAnsi="Times New Roman"/>
          <w:b/>
          <w:sz w:val="24"/>
        </w:rPr>
      </w:pPr>
      <w:r>
        <w:rPr>
          <w:rFonts w:ascii="Times New Roman" w:hAnsi="Times New Roman"/>
          <w:b/>
          <w:sz w:val="24"/>
        </w:rPr>
        <w:t xml:space="preserve">AS JOINT LEAD ARRANGERS AND JOINT BOOKRUNNERS.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1 </w:t>
            </w:r>
          </w:p>
        </w:tc>
        <w:tc>
          <w:tcPr>
            <w:tcW w:w="9697"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 brand name for the capital markets business of ROYAL BANK OF CANADA.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Dated as of December 8, 2021, </w:t>
      </w:r>
    </w:p>
    <w:p>
      <w:pPr>
        <w:pStyle w:val="TextBody"/>
        <w:bidi w:val="0"/>
        <w:spacing w:before="240" w:after="0"/>
        <w:jc w:val="center"/>
        <w:rPr>
          <w:rFonts w:ascii="Times New Roman" w:hAnsi="Times New Roman"/>
          <w:b/>
          <w:sz w:val="24"/>
        </w:rPr>
      </w:pPr>
      <w:r>
        <w:rPr>
          <w:rFonts w:ascii="Times New Roman" w:hAnsi="Times New Roman"/>
          <w:b/>
          <w:sz w:val="24"/>
        </w:rPr>
        <w:t xml:space="preserve">as amended by Amendment No. 1, as of June 29, 2023, </w:t>
      </w:r>
      <w:r>
        <w:rPr>
          <w:rFonts w:ascii="Times New Roman" w:hAnsi="Times New Roman"/>
          <w:b/>
          <w:strike/>
          <w:color w:val="FF0000"/>
          <w:sz w:val="24"/>
        </w:rPr>
        <w:t xml:space="preserve">and </w:t>
      </w:r>
      <w:r>
        <w:rPr>
          <w:rFonts w:ascii="Times New Roman" w:hAnsi="Times New Roman"/>
          <w:b/>
          <w:sz w:val="24"/>
        </w:rPr>
        <w:t xml:space="preserve">Amendment No. 2, dated as of </w:t>
      </w:r>
    </w:p>
    <w:p>
      <w:pPr>
        <w:pStyle w:val="TextBody"/>
        <w:bidi w:val="0"/>
        <w:spacing w:before="0" w:after="0"/>
        <w:jc w:val="center"/>
        <w:rPr>
          <w:rFonts w:ascii="Times New Roman" w:hAnsi="Times New Roman"/>
          <w:b/>
          <w:sz w:val="24"/>
        </w:rPr>
      </w:pPr>
      <w:r>
        <w:rPr>
          <w:rFonts w:ascii="Times New Roman" w:hAnsi="Times New Roman"/>
          <w:b/>
          <w:sz w:val="24"/>
        </w:rPr>
        <w:t>January 28, 2025</w:t>
      </w:r>
      <w:r>
        <w:rPr>
          <w:rFonts w:ascii="Times New Roman" w:hAnsi="Times New Roman"/>
          <w:b/>
          <w:color w:val="0000FF"/>
          <w:sz w:val="24"/>
          <w:u w:val="single"/>
          <w:bdr w:val="double" w:sz="2" w:space="1" w:color="000000"/>
        </w:rPr>
        <w:t>, and Amendment No. 3 dated as of May 7, 2026</w:t>
      </w:r>
      <w:r>
        <w:rPr>
          <w:rFonts w:ascii="Times New Roman" w:hAnsi="Times New Roman"/>
          <w:b/>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6"/>
        <w:gridCol w:w="84"/>
        <w:gridCol w:w="7942"/>
        <w:gridCol w:w="123"/>
        <w:gridCol w:w="60"/>
        <w:gridCol w:w="517"/>
        <w:gridCol w:w="63"/>
      </w:tblGrid>
      <w:tr>
        <w:trPr/>
        <w:tc>
          <w:tcPr>
            <w:tcW w:w="1416"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794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u w:val="single"/>
              </w:rPr>
            </w:pPr>
            <w:r>
              <w:rPr>
                <w:b/>
                <w:u w:val="single"/>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42" w:type="dxa"/>
            <w:gridSpan w:val="3"/>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1 - DEFINITIONS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1.1</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Definitions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1.2</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Interpretation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1.3</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Cross References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1.4</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Accounting Provisions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1.5</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Divisions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1.6</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Rates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442" w:type="dxa"/>
            <w:gridSpan w:val="3"/>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2 - LOANS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2.1</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The Term Loans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2.2</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Manner of Advance and Disbursement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2.3</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Interest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2.4</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Fees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2.5</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2021 Term Loan Commitment Termination and Reductions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2.6</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Prepayments and Repayments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2.7</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Notes; Loan Accounts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2.8</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Manner of Payment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2.9</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Reimbursement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2.10</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Pro Rata Treatment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2.11</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Capital Adequacy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2.12</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Lender Tax Forms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2.13</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Incremental Term Loans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2.14</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Defaulting Lender</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442" w:type="dxa"/>
            <w:gridSpan w:val="3"/>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3 - CONDITIONS PRECEDENT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3.1</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[Reserved]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3.2</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Conditions Precedent to Second Restatement Date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3.3</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Non-Merger Conditions Precedent to 2021 Term Loan Funding Date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3.4</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Certain Funds Conditions Precedent to 2021 Term Loan Funding Date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442" w:type="dxa"/>
            <w:gridSpan w:val="3"/>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4 - REPRESENTATIONS AND WARRANTIES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4.1</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Representations and Warranties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416" w:type="dxa"/>
            <w:tcBorders/>
            <w:vAlign w:val="center"/>
          </w:tcPr>
          <w:p>
            <w:pPr>
              <w:pStyle w:val="TableContents"/>
              <w:bidi w:val="0"/>
              <w:spacing w:before="0" w:after="283"/>
              <w:jc w:val="left"/>
              <w:rPr>
                <w:sz w:val="4"/>
                <w:szCs w:val="4"/>
              </w:rPr>
            </w:pPr>
            <w:r>
              <w:rPr>
                <w:sz w:val="4"/>
                <w:szCs w:val="4"/>
              </w:rPr>
            </w:r>
          </w:p>
        </w:tc>
        <w:tc>
          <w:tcPr>
            <w:tcW w:w="802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416" w:type="dxa"/>
            <w:tcBorders/>
          </w:tcPr>
          <w:p>
            <w:pPr>
              <w:pStyle w:val="TableContents"/>
              <w:bidi w:val="0"/>
              <w:spacing w:before="0" w:after="0"/>
              <w:jc w:val="left"/>
              <w:rPr>
                <w:rFonts w:ascii="Times New Roman" w:hAnsi="Times New Roman"/>
                <w:sz w:val="24"/>
              </w:rPr>
            </w:pPr>
            <w:r>
              <w:rPr>
                <w:rFonts w:ascii="Times New Roman" w:hAnsi="Times New Roman"/>
                <w:sz w:val="24"/>
              </w:rPr>
              <w:t>Section 4.2</w:t>
            </w:r>
          </w:p>
        </w:tc>
        <w:tc>
          <w:tcPr>
            <w:tcW w:w="84" w:type="dxa"/>
            <w:tcBorders/>
            <w:vAlign w:val="bottom"/>
          </w:tcPr>
          <w:p>
            <w:pPr>
              <w:pStyle w:val="TableContents"/>
              <w:bidi w:val="0"/>
              <w:spacing w:before="0" w:after="283"/>
              <w:jc w:val="left"/>
              <w:rPr/>
            </w:pPr>
            <w:r>
              <w:rPr/>
              <w:t> </w:t>
            </w:r>
          </w:p>
        </w:tc>
        <w:tc>
          <w:tcPr>
            <w:tcW w:w="7942" w:type="dxa"/>
            <w:tcBorders/>
            <w:vAlign w:val="bottom"/>
          </w:tcPr>
          <w:p>
            <w:pPr>
              <w:pStyle w:val="TableContents"/>
              <w:bidi w:val="0"/>
              <w:spacing w:before="0" w:after="283"/>
              <w:jc w:val="left"/>
              <w:rPr/>
            </w:pPr>
            <w:r>
              <w:rPr/>
              <w:t>Survival of Representations and Warranties, Etc.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i/>
          <w:sz w:val="24"/>
        </w:rPr>
        <w:t>(i)</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8"/>
        <w:gridCol w:w="120"/>
        <w:gridCol w:w="1707"/>
        <w:gridCol w:w="120"/>
        <w:gridCol w:w="7374"/>
        <w:gridCol w:w="162"/>
        <w:gridCol w:w="60"/>
        <w:gridCol w:w="260"/>
        <w:gridCol w:w="64"/>
      </w:tblGrid>
      <w:tr>
        <w:trPr/>
        <w:tc>
          <w:tcPr>
            <w:tcW w:w="3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74"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9" w:type="dxa"/>
            <w:gridSpan w:val="5"/>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5"/>
            <w:tcBorders/>
          </w:tcPr>
          <w:p>
            <w:pPr>
              <w:pStyle w:val="TableContents"/>
              <w:bidi w:val="0"/>
              <w:spacing w:before="0" w:after="0"/>
              <w:jc w:val="both"/>
              <w:rPr>
                <w:rFonts w:ascii="Times New Roman" w:hAnsi="Times New Roman"/>
                <w:sz w:val="24"/>
              </w:rPr>
            </w:pPr>
            <w:r>
              <w:rPr>
                <w:rFonts w:ascii="Times New Roman" w:hAnsi="Times New Roman"/>
                <w:sz w:val="24"/>
              </w:rPr>
              <w:t>Article 5 - GENERAL COVENANTS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5.1</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Preservation of Existence and Similar Matters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5.2</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Compliance with Applicable Law</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5.3</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Maintenance of Properties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5.4</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Accounting Methods and Financial Records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5.5</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Insurance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5.6</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Payment of Taxes and Claims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5.7</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Visits and Inspections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5.8</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Use of Proceeds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5.9</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Maintenance of REIT Status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5.10</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Senior Credit Facilities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9659" w:type="dxa"/>
            <w:gridSpan w:val="5"/>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5"/>
            <w:tcBorders/>
          </w:tcPr>
          <w:p>
            <w:pPr>
              <w:pStyle w:val="TableContents"/>
              <w:bidi w:val="0"/>
              <w:spacing w:before="0" w:after="0"/>
              <w:jc w:val="both"/>
              <w:rPr>
                <w:rFonts w:ascii="Times New Roman" w:hAnsi="Times New Roman"/>
                <w:sz w:val="24"/>
              </w:rPr>
            </w:pPr>
            <w:r>
              <w:rPr>
                <w:rFonts w:ascii="Times New Roman" w:hAnsi="Times New Roman"/>
                <w:sz w:val="24"/>
              </w:rPr>
              <w:t>Article 6 - INFORMATION COVENANTS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6.1</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Quarterly Financial Statements and Information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6.2</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Annual Financial Statements and Information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6.3</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Performance Certificates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6.4</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Copies of Other Reports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6.5</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Notice of Litigation and Other Matters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6.6</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Certain Electronic Delivery; Public Information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6.7</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Know Your Customer Information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6.8</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Additional Requested Information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9659" w:type="dxa"/>
            <w:gridSpan w:val="5"/>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5"/>
            <w:tcBorders/>
          </w:tcPr>
          <w:p>
            <w:pPr>
              <w:pStyle w:val="TableContents"/>
              <w:bidi w:val="0"/>
              <w:spacing w:before="0" w:after="0"/>
              <w:jc w:val="both"/>
              <w:rPr>
                <w:rFonts w:ascii="Times New Roman" w:hAnsi="Times New Roman"/>
                <w:sz w:val="24"/>
              </w:rPr>
            </w:pPr>
            <w:r>
              <w:rPr>
                <w:rFonts w:ascii="Times New Roman" w:hAnsi="Times New Roman"/>
                <w:sz w:val="24"/>
              </w:rPr>
              <w:t>Article 7 - NEGATIVE COVENANTS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7.1</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Indebtedness; Guaranties of the Borrower and itsBorrower’s Subsidiaries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7.2</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Limitation on Liens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7.3</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Liquidation, Merger or Disposition of Assets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7.4</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Restricted Payments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7.5</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Senior Secured Leverage Ratio[Reserved]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7.6</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Total Borrower Leverage Ratio</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7.7</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[Reserved]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7.8</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Affiliate Transactions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7.9</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Restrictive Agreements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7.10</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Use of Proceeds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9659" w:type="dxa"/>
            <w:gridSpan w:val="5"/>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9659" w:type="dxa"/>
            <w:gridSpan w:val="5"/>
            <w:tcBorders/>
          </w:tcPr>
          <w:p>
            <w:pPr>
              <w:pStyle w:val="TableContents"/>
              <w:bidi w:val="0"/>
              <w:spacing w:before="0" w:after="0"/>
              <w:jc w:val="both"/>
              <w:rPr>
                <w:rFonts w:ascii="Times New Roman" w:hAnsi="Times New Roman"/>
                <w:sz w:val="24"/>
              </w:rPr>
            </w:pPr>
            <w:r>
              <w:rPr>
                <w:rFonts w:ascii="Times New Roman" w:hAnsi="Times New Roman"/>
                <w:sz w:val="24"/>
              </w:rPr>
              <w:t>Article 8 - DEFAULT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8.1</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Events of Default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7494" w:type="dxa"/>
            <w:gridSpan w:val="2"/>
            <w:tcBorders/>
            <w:vAlign w:val="center"/>
          </w:tcPr>
          <w:p>
            <w:pPr>
              <w:pStyle w:val="TableContents"/>
              <w:bidi w:val="0"/>
              <w:spacing w:before="0" w:after="283"/>
              <w:jc w:val="left"/>
              <w:rPr>
                <w:sz w:val="4"/>
                <w:szCs w:val="4"/>
              </w:rPr>
            </w:pPr>
            <w:r>
              <w:rPr>
                <w:sz w:val="4"/>
                <w:szCs w:val="4"/>
              </w:rPr>
            </w:r>
          </w:p>
        </w:tc>
        <w:tc>
          <w:tcPr>
            <w:tcW w:w="546" w:type="dxa"/>
            <w:gridSpan w:val="4"/>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left"/>
              <w:rPr>
                <w:rFonts w:ascii="Times New Roman" w:hAnsi="Times New Roman"/>
                <w:sz w:val="24"/>
              </w:rPr>
            </w:pPr>
            <w:r>
              <w:rPr>
                <w:rFonts w:ascii="Times New Roman" w:hAnsi="Times New Roman"/>
                <w:sz w:val="24"/>
              </w:rPr>
              <w:t>Section 8.2</w:t>
            </w:r>
          </w:p>
        </w:tc>
        <w:tc>
          <w:tcPr>
            <w:tcW w:w="120" w:type="dxa"/>
            <w:tcBorders/>
            <w:vAlign w:val="bottom"/>
          </w:tcPr>
          <w:p>
            <w:pPr>
              <w:pStyle w:val="TableContents"/>
              <w:bidi w:val="0"/>
              <w:spacing w:before="0" w:after="283"/>
              <w:jc w:val="left"/>
              <w:rPr/>
            </w:pPr>
            <w:r>
              <w:rPr/>
              <w:t> </w:t>
            </w:r>
          </w:p>
        </w:tc>
        <w:tc>
          <w:tcPr>
            <w:tcW w:w="7374" w:type="dxa"/>
            <w:tcBorders/>
          </w:tcPr>
          <w:p>
            <w:pPr>
              <w:pStyle w:val="TableContents"/>
              <w:bidi w:val="0"/>
              <w:spacing w:before="0" w:after="0"/>
              <w:jc w:val="left"/>
              <w:rPr>
                <w:rFonts w:ascii="Times New Roman" w:hAnsi="Times New Roman"/>
                <w:sz w:val="24"/>
              </w:rPr>
            </w:pPr>
            <w:r>
              <w:rPr>
                <w:rFonts w:ascii="Times New Roman" w:hAnsi="Times New Roman"/>
                <w:sz w:val="24"/>
              </w:rPr>
              <w:t>Remedies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i/>
          <w:sz w:val="24"/>
        </w:rPr>
        <w:t>(ii)</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1"/>
        <w:gridCol w:w="84"/>
        <w:gridCol w:w="1517"/>
        <w:gridCol w:w="137"/>
        <w:gridCol w:w="7654"/>
        <w:gridCol w:w="137"/>
        <w:gridCol w:w="60"/>
        <w:gridCol w:w="260"/>
        <w:gridCol w:w="65"/>
      </w:tblGrid>
      <w:tr>
        <w:trPr/>
        <w:tc>
          <w:tcPr>
            <w:tcW w:w="29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654"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8.3</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Payments Subsequent to Declaration of Event of Default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rHeight w:val="120" w:hRule="atLeast"/>
        </w:trPr>
        <w:tc>
          <w:tcPr>
            <w:tcW w:w="9683" w:type="dxa"/>
            <w:gridSpan w:val="5"/>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5"/>
            <w:tcBorders/>
          </w:tcPr>
          <w:p>
            <w:pPr>
              <w:pStyle w:val="TableContents"/>
              <w:bidi w:val="0"/>
              <w:spacing w:before="0" w:after="0"/>
              <w:jc w:val="left"/>
              <w:rPr>
                <w:rFonts w:ascii="Times New Roman" w:hAnsi="Times New Roman"/>
                <w:sz w:val="24"/>
              </w:rPr>
            </w:pPr>
            <w:r>
              <w:rPr>
                <w:rFonts w:ascii="Times New Roman" w:hAnsi="Times New Roman"/>
                <w:sz w:val="24"/>
              </w:rPr>
              <w:t>Article 9 - THE ADMINISTRATIVE AGENT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9.1</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Appointment and Authorization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9.2</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Rights as a Lender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9.3</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Exculpatory Provisions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9.4</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Reliance by Administrative Agent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9.5</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Resignation of Administrative Agent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9.6</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Non-Reliance on Administrative Agent and Other Lenders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9.7</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Indemnification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9.8</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No Responsibilities of the Agents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9.9</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Lender ERISA Matters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9.10</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Erroneous Payments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9683" w:type="dxa"/>
            <w:gridSpan w:val="5"/>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5"/>
            <w:tcBorders/>
          </w:tcPr>
          <w:p>
            <w:pPr>
              <w:pStyle w:val="TableContents"/>
              <w:bidi w:val="0"/>
              <w:spacing w:before="0" w:after="0"/>
              <w:jc w:val="left"/>
              <w:rPr>
                <w:rFonts w:ascii="Times New Roman" w:hAnsi="Times New Roman"/>
                <w:sz w:val="24"/>
              </w:rPr>
            </w:pPr>
            <w:r>
              <w:rPr>
                <w:rFonts w:ascii="Times New Roman" w:hAnsi="Times New Roman"/>
                <w:sz w:val="24"/>
              </w:rPr>
              <w:t>Article 10 - CHANGES IN CIRCUMSTANCES AFFECTING SOFR ADVANCES AND INCREASED COSTS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10.1</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Alternate Rate of Interest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10.2</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Illegality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10.3</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Increased Costs and Additional Amounts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10.4</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Effect On Other Advances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10.5</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Claims for Increased Costs and Taxes; Replacement Lenders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rHeight w:val="120" w:hRule="atLeast"/>
        </w:trPr>
        <w:tc>
          <w:tcPr>
            <w:tcW w:w="9683" w:type="dxa"/>
            <w:gridSpan w:val="5"/>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5"/>
            <w:tcBorders/>
          </w:tcPr>
          <w:p>
            <w:pPr>
              <w:pStyle w:val="TableContents"/>
              <w:bidi w:val="0"/>
              <w:spacing w:before="0" w:after="0"/>
              <w:jc w:val="left"/>
              <w:rPr>
                <w:rFonts w:ascii="Times New Roman" w:hAnsi="Times New Roman"/>
                <w:sz w:val="24"/>
              </w:rPr>
            </w:pPr>
            <w:r>
              <w:rPr>
                <w:rFonts w:ascii="Times New Roman" w:hAnsi="Times New Roman"/>
                <w:sz w:val="24"/>
              </w:rPr>
              <w:t>Article 11 - MISCELLANEOUS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11.1</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Notices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11.2</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Expenses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11.3</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Waivers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11.4</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Assignment and Participation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11.5</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Indemnity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11.6</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Counterparts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11.7</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Governing Law; Jurisdiction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11.8</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Severability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11.9</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Interest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11.10</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Table of Contents and Headings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11.11</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Amendment and Waiver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11.12</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Entire Agreement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11.13</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Other Relationships; No Fiduciary Relationships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11.14</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Directly or Indirectly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rHeight w:val="120" w:hRule="atLeast"/>
        </w:trPr>
        <w:tc>
          <w:tcPr>
            <w:tcW w:w="291" w:type="dxa"/>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291"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left"/>
              <w:rPr/>
            </w:pPr>
            <w:r>
              <w:rPr/>
              <w:t>Section 11.15</w:t>
            </w:r>
          </w:p>
        </w:tc>
        <w:tc>
          <w:tcPr>
            <w:tcW w:w="137" w:type="dxa"/>
            <w:tcBorders/>
            <w:vAlign w:val="bottom"/>
          </w:tcPr>
          <w:p>
            <w:pPr>
              <w:pStyle w:val="TableContents"/>
              <w:bidi w:val="0"/>
              <w:spacing w:before="0" w:after="283"/>
              <w:jc w:val="left"/>
              <w:rPr/>
            </w:pPr>
            <w:r>
              <w:rPr/>
              <w:t>  </w:t>
            </w:r>
          </w:p>
        </w:tc>
        <w:tc>
          <w:tcPr>
            <w:tcW w:w="7654" w:type="dxa"/>
            <w:tcBorders/>
            <w:vAlign w:val="bottom"/>
          </w:tcPr>
          <w:p>
            <w:pPr>
              <w:pStyle w:val="TableContents"/>
              <w:bidi w:val="0"/>
              <w:spacing w:before="0" w:after="283"/>
              <w:jc w:val="left"/>
              <w:rPr/>
            </w:pPr>
            <w:r>
              <w:rPr/>
              <w:t>Reliance on and Survival of Various Provisions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i/>
          <w:sz w:val="24"/>
        </w:rPr>
        <w:t>(iii)</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4"/>
        <w:gridCol w:w="116"/>
        <w:gridCol w:w="1841"/>
        <w:gridCol w:w="116"/>
        <w:gridCol w:w="7251"/>
        <w:gridCol w:w="160"/>
        <w:gridCol w:w="60"/>
        <w:gridCol w:w="262"/>
        <w:gridCol w:w="65"/>
      </w:tblGrid>
      <w:tr>
        <w:trPr/>
        <w:tc>
          <w:tcPr>
            <w:tcW w:w="33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725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4" w:type="dxa"/>
            <w:tcBorders/>
            <w:vAlign w:val="center"/>
          </w:tcPr>
          <w:p>
            <w:pPr>
              <w:pStyle w:val="TableContents"/>
              <w:bidi w:val="0"/>
              <w:spacing w:before="0" w:after="283"/>
              <w:jc w:val="left"/>
              <w:rPr>
                <w:sz w:val="4"/>
                <w:szCs w:val="4"/>
              </w:rPr>
            </w:pPr>
            <w:r>
              <w:rPr>
                <w:sz w:val="4"/>
                <w:szCs w:val="4"/>
              </w:rPr>
            </w:r>
          </w:p>
        </w:tc>
        <w:tc>
          <w:tcPr>
            <w:tcW w:w="1957" w:type="dxa"/>
            <w:gridSpan w:val="2"/>
            <w:tcBorders/>
            <w:vAlign w:val="center"/>
          </w:tcPr>
          <w:p>
            <w:pPr>
              <w:pStyle w:val="TableContents"/>
              <w:bidi w:val="0"/>
              <w:spacing w:before="0" w:after="283"/>
              <w:jc w:val="left"/>
              <w:rPr>
                <w:sz w:val="4"/>
                <w:szCs w:val="4"/>
              </w:rPr>
            </w:pPr>
            <w:r>
              <w:rPr>
                <w:sz w:val="4"/>
                <w:szCs w:val="4"/>
              </w:rPr>
            </w:r>
          </w:p>
        </w:tc>
        <w:tc>
          <w:tcPr>
            <w:tcW w:w="7367"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0"/>
              <w:jc w:val="left"/>
              <w:rPr>
                <w:rFonts w:ascii="Times New Roman" w:hAnsi="Times New Roman"/>
                <w:sz w:val="24"/>
              </w:rPr>
            </w:pPr>
            <w:r>
              <w:rPr>
                <w:rFonts w:ascii="Times New Roman" w:hAnsi="Times New Roman"/>
                <w:sz w:val="24"/>
              </w:rPr>
              <w:t>Section 11.16</w:t>
            </w:r>
          </w:p>
        </w:tc>
        <w:tc>
          <w:tcPr>
            <w:tcW w:w="116" w:type="dxa"/>
            <w:tcBorders/>
            <w:vAlign w:val="bottom"/>
          </w:tcPr>
          <w:p>
            <w:pPr>
              <w:pStyle w:val="TableContents"/>
              <w:bidi w:val="0"/>
              <w:spacing w:before="0" w:after="283"/>
              <w:jc w:val="left"/>
              <w:rPr/>
            </w:pPr>
            <w:r>
              <w:rPr/>
              <w:t> </w:t>
            </w:r>
          </w:p>
        </w:tc>
        <w:tc>
          <w:tcPr>
            <w:tcW w:w="7251" w:type="dxa"/>
            <w:tcBorders/>
          </w:tcPr>
          <w:p>
            <w:pPr>
              <w:pStyle w:val="TableContents"/>
              <w:bidi w:val="0"/>
              <w:spacing w:before="0" w:after="0"/>
              <w:jc w:val="left"/>
              <w:rPr>
                <w:rFonts w:ascii="Times New Roman" w:hAnsi="Times New Roman"/>
                <w:sz w:val="24"/>
              </w:rPr>
            </w:pPr>
            <w:r>
              <w:rPr>
                <w:rFonts w:ascii="Times New Roman" w:hAnsi="Times New Roman"/>
                <w:sz w:val="24"/>
              </w:rPr>
              <w:t>Senior Debt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rHeight w:val="120" w:hRule="atLeast"/>
        </w:trPr>
        <w:tc>
          <w:tcPr>
            <w:tcW w:w="334" w:type="dxa"/>
            <w:tcBorders/>
            <w:vAlign w:val="center"/>
          </w:tcPr>
          <w:p>
            <w:pPr>
              <w:pStyle w:val="TableContents"/>
              <w:bidi w:val="0"/>
              <w:spacing w:before="0" w:after="283"/>
              <w:jc w:val="left"/>
              <w:rPr>
                <w:sz w:val="4"/>
                <w:szCs w:val="4"/>
              </w:rPr>
            </w:pPr>
            <w:r>
              <w:rPr>
                <w:sz w:val="4"/>
                <w:szCs w:val="4"/>
              </w:rPr>
            </w:r>
          </w:p>
        </w:tc>
        <w:tc>
          <w:tcPr>
            <w:tcW w:w="1957" w:type="dxa"/>
            <w:gridSpan w:val="2"/>
            <w:tcBorders/>
            <w:vAlign w:val="center"/>
          </w:tcPr>
          <w:p>
            <w:pPr>
              <w:pStyle w:val="TableContents"/>
              <w:bidi w:val="0"/>
              <w:spacing w:before="0" w:after="283"/>
              <w:jc w:val="left"/>
              <w:rPr>
                <w:sz w:val="4"/>
                <w:szCs w:val="4"/>
              </w:rPr>
            </w:pPr>
            <w:r>
              <w:rPr>
                <w:sz w:val="4"/>
                <w:szCs w:val="4"/>
              </w:rPr>
            </w:r>
          </w:p>
        </w:tc>
        <w:tc>
          <w:tcPr>
            <w:tcW w:w="7367"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0"/>
              <w:jc w:val="left"/>
              <w:rPr>
                <w:rFonts w:ascii="Times New Roman" w:hAnsi="Times New Roman"/>
                <w:sz w:val="24"/>
              </w:rPr>
            </w:pPr>
            <w:r>
              <w:rPr>
                <w:rFonts w:ascii="Times New Roman" w:hAnsi="Times New Roman"/>
                <w:sz w:val="24"/>
              </w:rPr>
              <w:t>Section 11.17</w:t>
            </w:r>
          </w:p>
        </w:tc>
        <w:tc>
          <w:tcPr>
            <w:tcW w:w="116" w:type="dxa"/>
            <w:tcBorders/>
            <w:vAlign w:val="bottom"/>
          </w:tcPr>
          <w:p>
            <w:pPr>
              <w:pStyle w:val="TableContents"/>
              <w:bidi w:val="0"/>
              <w:spacing w:before="0" w:after="283"/>
              <w:jc w:val="left"/>
              <w:rPr/>
            </w:pPr>
            <w:r>
              <w:rPr/>
              <w:t> </w:t>
            </w:r>
          </w:p>
        </w:tc>
        <w:tc>
          <w:tcPr>
            <w:tcW w:w="7251" w:type="dxa"/>
            <w:tcBorders/>
          </w:tcPr>
          <w:p>
            <w:pPr>
              <w:pStyle w:val="TableContents"/>
              <w:bidi w:val="0"/>
              <w:spacing w:before="0" w:after="0"/>
              <w:jc w:val="left"/>
              <w:rPr>
                <w:rFonts w:ascii="Times New Roman" w:hAnsi="Times New Roman"/>
                <w:sz w:val="24"/>
              </w:rPr>
            </w:pPr>
            <w:r>
              <w:rPr>
                <w:rFonts w:ascii="Times New Roman" w:hAnsi="Times New Roman"/>
                <w:sz w:val="24"/>
              </w:rPr>
              <w:t>Obligations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rHeight w:val="120" w:hRule="atLeast"/>
        </w:trPr>
        <w:tc>
          <w:tcPr>
            <w:tcW w:w="334" w:type="dxa"/>
            <w:tcBorders/>
            <w:vAlign w:val="center"/>
          </w:tcPr>
          <w:p>
            <w:pPr>
              <w:pStyle w:val="TableContents"/>
              <w:bidi w:val="0"/>
              <w:spacing w:before="0" w:after="283"/>
              <w:jc w:val="left"/>
              <w:rPr>
                <w:sz w:val="4"/>
                <w:szCs w:val="4"/>
              </w:rPr>
            </w:pPr>
            <w:r>
              <w:rPr>
                <w:sz w:val="4"/>
                <w:szCs w:val="4"/>
              </w:rPr>
            </w:r>
          </w:p>
        </w:tc>
        <w:tc>
          <w:tcPr>
            <w:tcW w:w="1957" w:type="dxa"/>
            <w:gridSpan w:val="2"/>
            <w:tcBorders/>
            <w:vAlign w:val="center"/>
          </w:tcPr>
          <w:p>
            <w:pPr>
              <w:pStyle w:val="TableContents"/>
              <w:bidi w:val="0"/>
              <w:spacing w:before="0" w:after="283"/>
              <w:jc w:val="left"/>
              <w:rPr>
                <w:sz w:val="4"/>
                <w:szCs w:val="4"/>
              </w:rPr>
            </w:pPr>
            <w:r>
              <w:rPr>
                <w:sz w:val="4"/>
                <w:szCs w:val="4"/>
              </w:rPr>
            </w:r>
          </w:p>
        </w:tc>
        <w:tc>
          <w:tcPr>
            <w:tcW w:w="7367"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0"/>
              <w:jc w:val="left"/>
              <w:rPr>
                <w:rFonts w:ascii="Times New Roman" w:hAnsi="Times New Roman"/>
                <w:sz w:val="24"/>
              </w:rPr>
            </w:pPr>
            <w:r>
              <w:rPr>
                <w:rFonts w:ascii="Times New Roman" w:hAnsi="Times New Roman"/>
                <w:sz w:val="24"/>
              </w:rPr>
              <w:t>Section 11.18</w:t>
            </w:r>
          </w:p>
        </w:tc>
        <w:tc>
          <w:tcPr>
            <w:tcW w:w="116" w:type="dxa"/>
            <w:tcBorders/>
            <w:vAlign w:val="bottom"/>
          </w:tcPr>
          <w:p>
            <w:pPr>
              <w:pStyle w:val="TableContents"/>
              <w:bidi w:val="0"/>
              <w:spacing w:before="0" w:after="283"/>
              <w:jc w:val="left"/>
              <w:rPr/>
            </w:pPr>
            <w:r>
              <w:rPr/>
              <w:t> </w:t>
            </w:r>
          </w:p>
        </w:tc>
        <w:tc>
          <w:tcPr>
            <w:tcW w:w="7251" w:type="dxa"/>
            <w:tcBorders/>
          </w:tcPr>
          <w:p>
            <w:pPr>
              <w:pStyle w:val="TableContents"/>
              <w:bidi w:val="0"/>
              <w:spacing w:before="0" w:after="0"/>
              <w:jc w:val="left"/>
              <w:rPr>
                <w:rFonts w:ascii="Times New Roman" w:hAnsi="Times New Roman"/>
                <w:sz w:val="24"/>
              </w:rPr>
            </w:pPr>
            <w:r>
              <w:rPr>
                <w:rFonts w:ascii="Times New Roman" w:hAnsi="Times New Roman"/>
                <w:sz w:val="24"/>
              </w:rPr>
              <w:t>Confidentiality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rHeight w:val="120" w:hRule="atLeast"/>
        </w:trPr>
        <w:tc>
          <w:tcPr>
            <w:tcW w:w="334" w:type="dxa"/>
            <w:tcBorders/>
            <w:vAlign w:val="center"/>
          </w:tcPr>
          <w:p>
            <w:pPr>
              <w:pStyle w:val="TableContents"/>
              <w:bidi w:val="0"/>
              <w:spacing w:before="0" w:after="283"/>
              <w:jc w:val="left"/>
              <w:rPr>
                <w:sz w:val="4"/>
                <w:szCs w:val="4"/>
              </w:rPr>
            </w:pPr>
            <w:r>
              <w:rPr>
                <w:sz w:val="4"/>
                <w:szCs w:val="4"/>
              </w:rPr>
            </w:r>
          </w:p>
        </w:tc>
        <w:tc>
          <w:tcPr>
            <w:tcW w:w="1957" w:type="dxa"/>
            <w:gridSpan w:val="2"/>
            <w:tcBorders/>
            <w:vAlign w:val="center"/>
          </w:tcPr>
          <w:p>
            <w:pPr>
              <w:pStyle w:val="TableContents"/>
              <w:bidi w:val="0"/>
              <w:spacing w:before="0" w:after="283"/>
              <w:jc w:val="left"/>
              <w:rPr>
                <w:sz w:val="4"/>
                <w:szCs w:val="4"/>
              </w:rPr>
            </w:pPr>
            <w:r>
              <w:rPr>
                <w:sz w:val="4"/>
                <w:szCs w:val="4"/>
              </w:rPr>
            </w:r>
          </w:p>
        </w:tc>
        <w:tc>
          <w:tcPr>
            <w:tcW w:w="7367"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0"/>
              <w:jc w:val="left"/>
              <w:rPr>
                <w:rFonts w:ascii="Times New Roman" w:hAnsi="Times New Roman"/>
                <w:sz w:val="24"/>
              </w:rPr>
            </w:pPr>
            <w:r>
              <w:rPr>
                <w:rFonts w:ascii="Times New Roman" w:hAnsi="Times New Roman"/>
                <w:sz w:val="24"/>
              </w:rPr>
              <w:t>Section 11.19</w:t>
            </w:r>
          </w:p>
        </w:tc>
        <w:tc>
          <w:tcPr>
            <w:tcW w:w="116" w:type="dxa"/>
            <w:tcBorders/>
            <w:vAlign w:val="bottom"/>
          </w:tcPr>
          <w:p>
            <w:pPr>
              <w:pStyle w:val="TableContents"/>
              <w:bidi w:val="0"/>
              <w:spacing w:before="0" w:after="283"/>
              <w:jc w:val="left"/>
              <w:rPr/>
            </w:pPr>
            <w:r>
              <w:rPr/>
              <w:t> </w:t>
            </w:r>
          </w:p>
        </w:tc>
        <w:tc>
          <w:tcPr>
            <w:tcW w:w="7251" w:type="dxa"/>
            <w:tcBorders/>
          </w:tcPr>
          <w:p>
            <w:pPr>
              <w:pStyle w:val="TableContents"/>
              <w:bidi w:val="0"/>
              <w:spacing w:before="0" w:after="0"/>
              <w:jc w:val="left"/>
              <w:rPr>
                <w:rFonts w:ascii="Times New Roman" w:hAnsi="Times New Roman"/>
                <w:sz w:val="24"/>
              </w:rPr>
            </w:pPr>
            <w:r>
              <w:rPr>
                <w:rFonts w:ascii="Times New Roman" w:hAnsi="Times New Roman"/>
                <w:sz w:val="24"/>
              </w:rPr>
              <w:t>USA PATRIOT ACT and Beneficial Ownership Regulation Notice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rHeight w:val="120" w:hRule="atLeast"/>
        </w:trPr>
        <w:tc>
          <w:tcPr>
            <w:tcW w:w="334" w:type="dxa"/>
            <w:tcBorders/>
            <w:vAlign w:val="center"/>
          </w:tcPr>
          <w:p>
            <w:pPr>
              <w:pStyle w:val="TableContents"/>
              <w:bidi w:val="0"/>
              <w:spacing w:before="0" w:after="283"/>
              <w:jc w:val="left"/>
              <w:rPr>
                <w:sz w:val="4"/>
                <w:szCs w:val="4"/>
              </w:rPr>
            </w:pPr>
            <w:r>
              <w:rPr>
                <w:sz w:val="4"/>
                <w:szCs w:val="4"/>
              </w:rPr>
            </w:r>
          </w:p>
        </w:tc>
        <w:tc>
          <w:tcPr>
            <w:tcW w:w="1957" w:type="dxa"/>
            <w:gridSpan w:val="2"/>
            <w:tcBorders/>
            <w:vAlign w:val="center"/>
          </w:tcPr>
          <w:p>
            <w:pPr>
              <w:pStyle w:val="TableContents"/>
              <w:bidi w:val="0"/>
              <w:spacing w:before="0" w:after="283"/>
              <w:jc w:val="left"/>
              <w:rPr>
                <w:sz w:val="4"/>
                <w:szCs w:val="4"/>
              </w:rPr>
            </w:pPr>
            <w:r>
              <w:rPr>
                <w:sz w:val="4"/>
                <w:szCs w:val="4"/>
              </w:rPr>
            </w:r>
          </w:p>
        </w:tc>
        <w:tc>
          <w:tcPr>
            <w:tcW w:w="7367"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0"/>
              <w:jc w:val="left"/>
              <w:rPr/>
            </w:pPr>
            <w:r>
              <w:rPr/>
              <w:t> </w:t>
            </w:r>
          </w:p>
        </w:tc>
        <w:tc>
          <w:tcPr>
            <w:tcW w:w="116"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0"/>
              <w:jc w:val="left"/>
              <w:rPr>
                <w:rFonts w:ascii="Times New Roman" w:hAnsi="Times New Roman"/>
                <w:sz w:val="24"/>
              </w:rPr>
            </w:pPr>
            <w:r>
              <w:rPr>
                <w:rFonts w:ascii="Times New Roman" w:hAnsi="Times New Roman"/>
                <w:sz w:val="24"/>
              </w:rPr>
              <w:t>Section 11.20</w:t>
            </w:r>
          </w:p>
        </w:tc>
        <w:tc>
          <w:tcPr>
            <w:tcW w:w="116" w:type="dxa"/>
            <w:tcBorders/>
            <w:vAlign w:val="bottom"/>
          </w:tcPr>
          <w:p>
            <w:pPr>
              <w:pStyle w:val="TableContents"/>
              <w:bidi w:val="0"/>
              <w:spacing w:before="0" w:after="283"/>
              <w:jc w:val="left"/>
              <w:rPr/>
            </w:pPr>
            <w:r>
              <w:rPr/>
              <w:t> </w:t>
            </w:r>
          </w:p>
        </w:tc>
        <w:tc>
          <w:tcPr>
            <w:tcW w:w="7251" w:type="dxa"/>
            <w:tcBorders/>
          </w:tcPr>
          <w:p>
            <w:pPr>
              <w:pStyle w:val="TableContents"/>
              <w:bidi w:val="0"/>
              <w:spacing w:before="0" w:after="0"/>
              <w:jc w:val="left"/>
              <w:rPr>
                <w:rFonts w:ascii="Times New Roman" w:hAnsi="Times New Roman"/>
                <w:sz w:val="24"/>
              </w:rPr>
            </w:pPr>
            <w:r>
              <w:rPr>
                <w:rFonts w:ascii="Times New Roman" w:hAnsi="Times New Roman"/>
                <w:sz w:val="24"/>
              </w:rPr>
              <w:t>Acknowledgement and Consent to Bail-In of Affected Financial Institutions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5" w:type="dxa"/>
            <w:tcBorders/>
            <w:vAlign w:val="bottom"/>
          </w:tcPr>
          <w:p>
            <w:pPr>
              <w:pStyle w:val="TableContents"/>
              <w:bidi w:val="0"/>
              <w:spacing w:before="0" w:after="283"/>
              <w:jc w:val="left"/>
              <w:rPr/>
            </w:pPr>
            <w:r>
              <w:rPr/>
              <w:t> </w:t>
            </w:r>
          </w:p>
        </w:tc>
      </w:tr>
      <w:tr>
        <w:trPr>
          <w:trHeight w:val="120" w:hRule="atLeast"/>
        </w:trPr>
        <w:tc>
          <w:tcPr>
            <w:tcW w:w="334" w:type="dxa"/>
            <w:tcBorders/>
            <w:vAlign w:val="center"/>
          </w:tcPr>
          <w:p>
            <w:pPr>
              <w:pStyle w:val="TableContents"/>
              <w:bidi w:val="0"/>
              <w:spacing w:before="0" w:after="283"/>
              <w:jc w:val="left"/>
              <w:rPr>
                <w:sz w:val="4"/>
                <w:szCs w:val="4"/>
              </w:rPr>
            </w:pPr>
            <w:r>
              <w:rPr>
                <w:sz w:val="4"/>
                <w:szCs w:val="4"/>
              </w:rPr>
            </w:r>
          </w:p>
        </w:tc>
        <w:tc>
          <w:tcPr>
            <w:tcW w:w="1957" w:type="dxa"/>
            <w:gridSpan w:val="2"/>
            <w:tcBorders/>
            <w:vAlign w:val="center"/>
          </w:tcPr>
          <w:p>
            <w:pPr>
              <w:pStyle w:val="TableContents"/>
              <w:bidi w:val="0"/>
              <w:spacing w:before="0" w:after="283"/>
              <w:jc w:val="left"/>
              <w:rPr>
                <w:sz w:val="4"/>
                <w:szCs w:val="4"/>
              </w:rPr>
            </w:pPr>
            <w:r>
              <w:rPr>
                <w:sz w:val="4"/>
                <w:szCs w:val="4"/>
              </w:rPr>
            </w:r>
          </w:p>
        </w:tc>
        <w:tc>
          <w:tcPr>
            <w:tcW w:w="7367"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0"/>
              <w:jc w:val="left"/>
              <w:rPr>
                <w:rFonts w:ascii="Times New Roman" w:hAnsi="Times New Roman"/>
                <w:sz w:val="24"/>
              </w:rPr>
            </w:pPr>
            <w:r>
              <w:rPr>
                <w:rFonts w:ascii="Times New Roman" w:hAnsi="Times New Roman"/>
                <w:sz w:val="24"/>
              </w:rPr>
              <w:t>Section 11.21</w:t>
            </w:r>
          </w:p>
        </w:tc>
        <w:tc>
          <w:tcPr>
            <w:tcW w:w="116" w:type="dxa"/>
            <w:tcBorders/>
            <w:vAlign w:val="bottom"/>
          </w:tcPr>
          <w:p>
            <w:pPr>
              <w:pStyle w:val="TableContents"/>
              <w:bidi w:val="0"/>
              <w:spacing w:before="0" w:after="283"/>
              <w:jc w:val="left"/>
              <w:rPr/>
            </w:pPr>
            <w:r>
              <w:rPr/>
              <w:t> </w:t>
            </w:r>
          </w:p>
        </w:tc>
        <w:tc>
          <w:tcPr>
            <w:tcW w:w="7251" w:type="dxa"/>
            <w:tcBorders/>
          </w:tcPr>
          <w:p>
            <w:pPr>
              <w:pStyle w:val="TableContents"/>
              <w:bidi w:val="0"/>
              <w:spacing w:before="0" w:after="0"/>
              <w:jc w:val="left"/>
              <w:rPr>
                <w:rFonts w:ascii="Times New Roman" w:hAnsi="Times New Roman"/>
                <w:sz w:val="24"/>
              </w:rPr>
            </w:pPr>
            <w:r>
              <w:rPr>
                <w:rFonts w:ascii="Times New Roman" w:hAnsi="Times New Roman"/>
                <w:sz w:val="24"/>
              </w:rPr>
              <w:t>Right of Set-off</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5" w:type="dxa"/>
            <w:tcBorders/>
            <w:vAlign w:val="bottom"/>
          </w:tcPr>
          <w:p>
            <w:pPr>
              <w:pStyle w:val="TableContents"/>
              <w:bidi w:val="0"/>
              <w:spacing w:before="0" w:after="283"/>
              <w:jc w:val="left"/>
              <w:rPr/>
            </w:pPr>
            <w:r>
              <w:rPr/>
              <w:t> </w:t>
            </w:r>
          </w:p>
        </w:tc>
      </w:tr>
      <w:tr>
        <w:trPr>
          <w:trHeight w:val="120" w:hRule="atLeast"/>
        </w:trPr>
        <w:tc>
          <w:tcPr>
            <w:tcW w:w="9658" w:type="dxa"/>
            <w:gridSpan w:val="5"/>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5"/>
            <w:tcBorders/>
          </w:tcPr>
          <w:p>
            <w:pPr>
              <w:pStyle w:val="TableContents"/>
              <w:bidi w:val="0"/>
              <w:spacing w:before="0" w:after="0"/>
              <w:jc w:val="both"/>
              <w:rPr>
                <w:rFonts w:ascii="Times New Roman" w:hAnsi="Times New Roman"/>
                <w:sz w:val="24"/>
              </w:rPr>
            </w:pPr>
            <w:r>
              <w:rPr>
                <w:rFonts w:ascii="Times New Roman" w:hAnsi="Times New Roman"/>
                <w:sz w:val="24"/>
              </w:rPr>
              <w:t>Article 12 - WAIVER OF JURY TRIAL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rHeight w:val="120" w:hRule="atLeast"/>
        </w:trPr>
        <w:tc>
          <w:tcPr>
            <w:tcW w:w="334" w:type="dxa"/>
            <w:tcBorders/>
            <w:vAlign w:val="center"/>
          </w:tcPr>
          <w:p>
            <w:pPr>
              <w:pStyle w:val="TableContents"/>
              <w:bidi w:val="0"/>
              <w:spacing w:before="0" w:after="283"/>
              <w:jc w:val="left"/>
              <w:rPr>
                <w:sz w:val="4"/>
                <w:szCs w:val="4"/>
              </w:rPr>
            </w:pPr>
            <w:r>
              <w:rPr>
                <w:sz w:val="4"/>
                <w:szCs w:val="4"/>
              </w:rPr>
            </w:r>
          </w:p>
        </w:tc>
        <w:tc>
          <w:tcPr>
            <w:tcW w:w="1957" w:type="dxa"/>
            <w:gridSpan w:val="2"/>
            <w:tcBorders/>
            <w:vAlign w:val="center"/>
          </w:tcPr>
          <w:p>
            <w:pPr>
              <w:pStyle w:val="TableContents"/>
              <w:bidi w:val="0"/>
              <w:spacing w:before="0" w:after="283"/>
              <w:jc w:val="left"/>
              <w:rPr>
                <w:sz w:val="4"/>
                <w:szCs w:val="4"/>
              </w:rPr>
            </w:pPr>
            <w:r>
              <w:rPr>
                <w:sz w:val="4"/>
                <w:szCs w:val="4"/>
              </w:rPr>
            </w:r>
          </w:p>
        </w:tc>
        <w:tc>
          <w:tcPr>
            <w:tcW w:w="7367"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0"/>
              <w:jc w:val="left"/>
              <w:rPr>
                <w:rFonts w:ascii="Times New Roman" w:hAnsi="Times New Roman"/>
                <w:sz w:val="24"/>
              </w:rPr>
            </w:pPr>
            <w:r>
              <w:rPr>
                <w:rFonts w:ascii="Times New Roman" w:hAnsi="Times New Roman"/>
                <w:sz w:val="24"/>
              </w:rPr>
              <w:t>Section 12.1</w:t>
            </w:r>
          </w:p>
        </w:tc>
        <w:tc>
          <w:tcPr>
            <w:tcW w:w="116" w:type="dxa"/>
            <w:tcBorders/>
            <w:vAlign w:val="bottom"/>
          </w:tcPr>
          <w:p>
            <w:pPr>
              <w:pStyle w:val="TableContents"/>
              <w:bidi w:val="0"/>
              <w:spacing w:before="0" w:after="283"/>
              <w:jc w:val="left"/>
              <w:rPr/>
            </w:pPr>
            <w:r>
              <w:rPr/>
              <w:t> </w:t>
            </w:r>
          </w:p>
        </w:tc>
        <w:tc>
          <w:tcPr>
            <w:tcW w:w="7251" w:type="dxa"/>
            <w:tcBorders/>
          </w:tcPr>
          <w:p>
            <w:pPr>
              <w:pStyle w:val="TableContents"/>
              <w:bidi w:val="0"/>
              <w:spacing w:before="0" w:after="0"/>
              <w:jc w:val="left"/>
              <w:rPr>
                <w:rFonts w:ascii="Times New Roman" w:hAnsi="Times New Roman"/>
                <w:sz w:val="24"/>
              </w:rPr>
            </w:pPr>
            <w:r>
              <w:rPr>
                <w:rFonts w:ascii="Times New Roman" w:hAnsi="Times New Roman"/>
                <w:sz w:val="24"/>
              </w:rPr>
              <w:t>Waiver of Jury Trial</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i/>
          <w:sz w:val="24"/>
        </w:rPr>
        <w:t>(iv)</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62"/>
        <w:gridCol w:w="120"/>
        <w:gridCol w:w="8523"/>
      </w:tblGrid>
      <w:tr>
        <w:trPr/>
        <w:tc>
          <w:tcPr>
            <w:tcW w:w="15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23" w:type="dxa"/>
            <w:tcBorders/>
            <w:vAlign w:val="center"/>
          </w:tcPr>
          <w:p>
            <w:pPr>
              <w:pStyle w:val="TableContents"/>
              <w:bidi w:val="0"/>
              <w:spacing w:before="0" w:after="283"/>
              <w:jc w:val="left"/>
              <w:rPr>
                <w:sz w:val="4"/>
                <w:szCs w:val="4"/>
              </w:rPr>
            </w:pPr>
            <w:r>
              <w:rPr>
                <w:sz w:val="4"/>
                <w:szCs w:val="4"/>
              </w:rPr>
            </w:r>
          </w:p>
        </w:tc>
      </w:tr>
      <w:tr>
        <w:trPr/>
        <w:tc>
          <w:tcPr>
            <w:tcW w:w="1562" w:type="dxa"/>
            <w:tcBorders/>
          </w:tcPr>
          <w:p>
            <w:pPr>
              <w:pStyle w:val="TableContents"/>
              <w:bidi w:val="0"/>
              <w:spacing w:before="0" w:after="283"/>
              <w:jc w:val="left"/>
              <w:rPr>
                <w:b/>
              </w:rPr>
            </w:pPr>
            <w:r>
              <w:rPr>
                <w:b/>
              </w:rPr>
              <w:t>SCHEDULES</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562" w:type="dxa"/>
            <w:tcBorders/>
            <w:vAlign w:val="center"/>
          </w:tcPr>
          <w:p>
            <w:pPr>
              <w:pStyle w:val="TableContents"/>
              <w:bidi w:val="0"/>
              <w:spacing w:before="0" w:after="283"/>
              <w:jc w:val="left"/>
              <w:rPr>
                <w:sz w:val="4"/>
                <w:szCs w:val="4"/>
              </w:rPr>
            </w:pPr>
            <w:r>
              <w:rPr>
                <w:sz w:val="4"/>
                <w:szCs w:val="4"/>
              </w:rPr>
            </w:r>
          </w:p>
        </w:tc>
        <w:tc>
          <w:tcPr>
            <w:tcW w:w="8643" w:type="dxa"/>
            <w:gridSpan w:val="2"/>
            <w:tcBorders/>
            <w:vAlign w:val="center"/>
          </w:tcPr>
          <w:p>
            <w:pPr>
              <w:pStyle w:val="TableContents"/>
              <w:bidi w:val="0"/>
              <w:spacing w:before="0" w:after="283"/>
              <w:jc w:val="left"/>
              <w:rPr>
                <w:sz w:val="4"/>
                <w:szCs w:val="4"/>
              </w:rPr>
            </w:pPr>
            <w:r>
              <w:rPr>
                <w:sz w:val="4"/>
                <w:szCs w:val="4"/>
              </w:rPr>
            </w:r>
          </w:p>
        </w:tc>
      </w:tr>
      <w:tr>
        <w:trPr/>
        <w:tc>
          <w:tcPr>
            <w:tcW w:w="1562" w:type="dxa"/>
            <w:tcBorders/>
            <w:vAlign w:val="bottom"/>
          </w:tcPr>
          <w:p>
            <w:pPr>
              <w:pStyle w:val="TableContents"/>
              <w:bidi w:val="0"/>
              <w:spacing w:before="0" w:after="283"/>
              <w:jc w:val="left"/>
              <w:rPr/>
            </w:pPr>
            <w:r>
              <w:rPr/>
              <w:t>Schedule 1</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Term Loan Commitment Amounts</w:t>
            </w:r>
          </w:p>
        </w:tc>
      </w:tr>
      <w:tr>
        <w:trPr/>
        <w:tc>
          <w:tcPr>
            <w:tcW w:w="1562" w:type="dxa"/>
            <w:tcBorders/>
            <w:vAlign w:val="bottom"/>
          </w:tcPr>
          <w:p>
            <w:pPr>
              <w:pStyle w:val="TableContents"/>
              <w:bidi w:val="0"/>
              <w:spacing w:before="0" w:after="283"/>
              <w:jc w:val="left"/>
              <w:rPr/>
            </w:pPr>
            <w:r>
              <w:rPr/>
              <w:t>Schedule 2</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Existing ABS Facilities</w:t>
            </w:r>
          </w:p>
        </w:tc>
      </w:tr>
      <w:tr>
        <w:trPr/>
        <w:tc>
          <w:tcPr>
            <w:tcW w:w="1562" w:type="dxa"/>
            <w:tcBorders/>
            <w:vAlign w:val="bottom"/>
          </w:tcPr>
          <w:p>
            <w:pPr>
              <w:pStyle w:val="TableContents"/>
              <w:bidi w:val="0"/>
              <w:spacing w:before="0" w:after="283"/>
              <w:jc w:val="left"/>
              <w:rPr/>
            </w:pPr>
            <w:r>
              <w:rPr/>
              <w:t>Schedule 3</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Subsidiaries on the Second Restatement Date</w:t>
            </w:r>
          </w:p>
        </w:tc>
      </w:tr>
      <w:tr>
        <w:trPr/>
        <w:tc>
          <w:tcPr>
            <w:tcW w:w="1562" w:type="dxa"/>
            <w:tcBorders/>
            <w:vAlign w:val="bottom"/>
          </w:tcPr>
          <w:p>
            <w:pPr>
              <w:pStyle w:val="TableContents"/>
              <w:bidi w:val="0"/>
              <w:spacing w:before="0" w:after="283"/>
              <w:jc w:val="left"/>
              <w:rPr/>
            </w:pPr>
            <w:r>
              <w:rPr/>
              <w:t>Schedule 4</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Administrative Agent’s Office, Certain Notice Addresses</w:t>
            </w:r>
          </w:p>
        </w:tc>
      </w:tr>
      <w:tr>
        <w:trPr>
          <w:trHeight w:val="240" w:hRule="atLeast"/>
        </w:trPr>
        <w:tc>
          <w:tcPr>
            <w:tcW w:w="1562" w:type="dxa"/>
            <w:tcBorders/>
            <w:vAlign w:val="center"/>
          </w:tcPr>
          <w:p>
            <w:pPr>
              <w:pStyle w:val="TableContents"/>
              <w:bidi w:val="0"/>
              <w:spacing w:before="0" w:after="283"/>
              <w:jc w:val="left"/>
              <w:rPr>
                <w:sz w:val="4"/>
                <w:szCs w:val="4"/>
              </w:rPr>
            </w:pPr>
            <w:r>
              <w:rPr>
                <w:sz w:val="4"/>
                <w:szCs w:val="4"/>
              </w:rPr>
            </w:r>
          </w:p>
        </w:tc>
        <w:tc>
          <w:tcPr>
            <w:tcW w:w="8643" w:type="dxa"/>
            <w:gridSpan w:val="2"/>
            <w:tcBorders/>
            <w:vAlign w:val="center"/>
          </w:tcPr>
          <w:p>
            <w:pPr>
              <w:pStyle w:val="TableContents"/>
              <w:bidi w:val="0"/>
              <w:spacing w:before="0" w:after="283"/>
              <w:jc w:val="left"/>
              <w:rPr>
                <w:sz w:val="4"/>
                <w:szCs w:val="4"/>
              </w:rPr>
            </w:pPr>
            <w:r>
              <w:rPr>
                <w:sz w:val="4"/>
                <w:szCs w:val="4"/>
              </w:rPr>
            </w:r>
          </w:p>
        </w:tc>
      </w:tr>
      <w:tr>
        <w:trPr/>
        <w:tc>
          <w:tcPr>
            <w:tcW w:w="1562" w:type="dxa"/>
            <w:tcBorders/>
          </w:tcPr>
          <w:p>
            <w:pPr>
              <w:pStyle w:val="TableContents"/>
              <w:bidi w:val="0"/>
              <w:spacing w:before="0" w:after="283"/>
              <w:jc w:val="left"/>
              <w:rPr>
                <w:b/>
              </w:rPr>
            </w:pPr>
            <w:r>
              <w:rPr>
                <w:b/>
              </w:rPr>
              <w:t>EXHIBITS</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562" w:type="dxa"/>
            <w:tcBorders/>
            <w:vAlign w:val="center"/>
          </w:tcPr>
          <w:p>
            <w:pPr>
              <w:pStyle w:val="TableContents"/>
              <w:bidi w:val="0"/>
              <w:spacing w:before="0" w:after="283"/>
              <w:jc w:val="left"/>
              <w:rPr>
                <w:sz w:val="4"/>
                <w:szCs w:val="4"/>
              </w:rPr>
            </w:pPr>
            <w:r>
              <w:rPr>
                <w:sz w:val="4"/>
                <w:szCs w:val="4"/>
              </w:rPr>
            </w:r>
          </w:p>
        </w:tc>
        <w:tc>
          <w:tcPr>
            <w:tcW w:w="8643" w:type="dxa"/>
            <w:gridSpan w:val="2"/>
            <w:tcBorders/>
            <w:vAlign w:val="center"/>
          </w:tcPr>
          <w:p>
            <w:pPr>
              <w:pStyle w:val="TableContents"/>
              <w:bidi w:val="0"/>
              <w:spacing w:before="0" w:after="283"/>
              <w:jc w:val="left"/>
              <w:rPr>
                <w:sz w:val="4"/>
                <w:szCs w:val="4"/>
              </w:rPr>
            </w:pPr>
            <w:r>
              <w:rPr>
                <w:sz w:val="4"/>
                <w:szCs w:val="4"/>
              </w:rPr>
            </w:r>
          </w:p>
        </w:tc>
      </w:tr>
      <w:tr>
        <w:trPr/>
        <w:tc>
          <w:tcPr>
            <w:tcW w:w="1562" w:type="dxa"/>
            <w:tcBorders/>
            <w:vAlign w:val="bottom"/>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Request for Advance</w:t>
            </w:r>
          </w:p>
        </w:tc>
      </w:tr>
      <w:tr>
        <w:trPr/>
        <w:tc>
          <w:tcPr>
            <w:tcW w:w="1562" w:type="dxa"/>
            <w:tcBorders/>
            <w:vAlign w:val="bottom"/>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[Reserved]</w:t>
            </w:r>
          </w:p>
        </w:tc>
      </w:tr>
      <w:tr>
        <w:trPr/>
        <w:tc>
          <w:tcPr>
            <w:tcW w:w="1562" w:type="dxa"/>
            <w:tcBorders/>
            <w:vAlign w:val="bottom"/>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Note</w:t>
            </w:r>
          </w:p>
        </w:tc>
      </w:tr>
      <w:tr>
        <w:trPr/>
        <w:tc>
          <w:tcPr>
            <w:tcW w:w="1562" w:type="dxa"/>
            <w:tcBorders/>
            <w:vAlign w:val="bottom"/>
          </w:tcPr>
          <w:p>
            <w:pPr>
              <w:pStyle w:val="TableContents"/>
              <w:bidi w:val="0"/>
              <w:spacing w:before="0" w:after="283"/>
              <w:jc w:val="left"/>
              <w:rPr/>
            </w:pPr>
            <w:r>
              <w:rPr/>
              <w:t>Exhibit</w:t>
              <w:br/>
              <w:t>D</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Loan Certificate</w:t>
            </w:r>
          </w:p>
        </w:tc>
      </w:tr>
      <w:tr>
        <w:trPr/>
        <w:tc>
          <w:tcPr>
            <w:tcW w:w="1562" w:type="dxa"/>
            <w:tcBorders/>
            <w:vAlign w:val="bottom"/>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Performance Certificate</w:t>
            </w:r>
          </w:p>
        </w:tc>
      </w:tr>
      <w:tr>
        <w:trPr/>
        <w:tc>
          <w:tcPr>
            <w:tcW w:w="1562" w:type="dxa"/>
            <w:tcBorders/>
            <w:vAlign w:val="bottom"/>
          </w:tcPr>
          <w:p>
            <w:pPr>
              <w:pStyle w:val="TableContents"/>
              <w:bidi w:val="0"/>
              <w:spacing w:before="0" w:after="283"/>
              <w:jc w:val="left"/>
              <w:rPr/>
            </w:pPr>
            <w:r>
              <w:rPr/>
              <w:t>Exhibit F</w:t>
            </w:r>
          </w:p>
        </w:tc>
        <w:tc>
          <w:tcPr>
            <w:tcW w:w="120" w:type="dxa"/>
            <w:tcBorders/>
            <w:vAlign w:val="bottom"/>
          </w:tcPr>
          <w:p>
            <w:pPr>
              <w:pStyle w:val="TableContents"/>
              <w:bidi w:val="0"/>
              <w:spacing w:before="0" w:after="283"/>
              <w:jc w:val="left"/>
              <w:rPr/>
            </w:pPr>
            <w:r>
              <w:rPr/>
              <w:t>  </w:t>
            </w:r>
          </w:p>
        </w:tc>
        <w:tc>
          <w:tcPr>
            <w:tcW w:w="8523"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Form of Assignment and Assumption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i/>
          <w:sz w:val="24"/>
        </w:rPr>
        <w:t>(v)</w:t>
      </w:r>
      <w:r>
        <w:rPr>
          <w:rFonts w:ascii="Times New Roman" w:hAnsi="Times New Roman"/>
          <w:sz w:val="24"/>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u w:val="single"/>
        </w:rPr>
      </w:pPr>
      <w:r>
        <w:rPr>
          <w:rFonts w:ascii="Times New Roman" w:hAnsi="Times New Roman"/>
          <w:b/>
          <w:sz w:val="24"/>
          <w:u w:val="single"/>
        </w:rPr>
        <w:t xml:space="preserve">SECOND AMENDED AND RESTATED TERM LOAN AGREEMENT </w:t>
      </w:r>
    </w:p>
    <w:p>
      <w:pPr>
        <w:pStyle w:val="TextBody"/>
        <w:bidi w:val="0"/>
        <w:spacing w:before="240" w:after="0"/>
        <w:jc w:val="both"/>
        <w:rPr>
          <w:rFonts w:ascii="Times New Roman" w:hAnsi="Times New Roman"/>
          <w:sz w:val="24"/>
        </w:rPr>
      </w:pPr>
      <w:r>
        <w:rPr>
          <w:rFonts w:ascii="Times New Roman" w:hAnsi="Times New Roman"/>
          <w:sz w:val="24"/>
        </w:rPr>
        <w:t xml:space="preserve">This Second Amended and Restated Term Loan Agreement is made as of December 8, 2021, by and among </w:t>
      </w:r>
      <w:r>
        <w:rPr>
          <w:rFonts w:ascii="Times New Roman" w:hAnsi="Times New Roman"/>
          <w:b/>
          <w:sz w:val="24"/>
        </w:rPr>
        <w:t>AMERICAN TOWER CORPORATION</w:t>
      </w:r>
      <w:r>
        <w:rPr>
          <w:rFonts w:ascii="Times New Roman" w:hAnsi="Times New Roman"/>
          <w:sz w:val="24"/>
        </w:rPr>
        <w:t xml:space="preserve">, a Delaware corporation, as Borrower, </w:t>
      </w:r>
      <w:r>
        <w:rPr>
          <w:rFonts w:ascii="Times New Roman" w:hAnsi="Times New Roman"/>
          <w:b/>
          <w:sz w:val="24"/>
        </w:rPr>
        <w:t>MIZUHO BANK, LTD.</w:t>
      </w:r>
      <w:r>
        <w:rPr>
          <w:rFonts w:ascii="Times New Roman" w:hAnsi="Times New Roman"/>
          <w:sz w:val="24"/>
        </w:rPr>
        <w:t xml:space="preserve">, as Administrative Agent, and the financial institutions parties hereto (together with any permitted successors and assigns of the foregoing). </w:t>
      </w:r>
    </w:p>
    <w:p>
      <w:pPr>
        <w:pStyle w:val="TextBody"/>
        <w:bidi w:val="0"/>
        <w:spacing w:before="240" w:after="0"/>
        <w:jc w:val="center"/>
        <w:rPr>
          <w:rFonts w:ascii="Times New Roman" w:hAnsi="Times New Roman"/>
          <w:b/>
          <w:sz w:val="24"/>
          <w:u w:val="single"/>
        </w:rPr>
      </w:pPr>
      <w:r>
        <w:rPr>
          <w:rFonts w:ascii="Times New Roman" w:hAnsi="Times New Roman"/>
          <w:b/>
          <w:sz w:val="24"/>
          <w:u w:val="single"/>
        </w:rPr>
        <w:t xml:space="preserve">RECITALS </w:t>
      </w:r>
    </w:p>
    <w:p>
      <w:pPr>
        <w:pStyle w:val="TextBody"/>
        <w:bidi w:val="0"/>
        <w:spacing w:before="240" w:after="0"/>
        <w:jc w:val="both"/>
        <w:rPr>
          <w:rFonts w:ascii="Times New Roman" w:hAnsi="Times New Roman"/>
          <w:sz w:val="24"/>
        </w:rPr>
      </w:pPr>
      <w:r>
        <w:rPr>
          <w:rFonts w:ascii="Times New Roman" w:hAnsi="Times New Roman"/>
          <w:b/>
          <w:sz w:val="24"/>
        </w:rPr>
        <w:t>WHEREAS</w:t>
      </w:r>
      <w:r>
        <w:rPr>
          <w:rFonts w:ascii="Times New Roman" w:hAnsi="Times New Roman"/>
          <w:sz w:val="24"/>
        </w:rPr>
        <w:t>, the Borrower is party to that certain Amended and Restated Term Loan Agreement, dated as of December 20, 2019, as amended as of February 10, 2021 (as so amended, the “</w:t>
      </w:r>
      <w:r>
        <w:rPr>
          <w:rFonts w:ascii="Times New Roman" w:hAnsi="Times New Roman"/>
          <w:sz w:val="24"/>
          <w:u w:val="single"/>
        </w:rPr>
        <w:t>Existing Agreement</w:t>
      </w:r>
      <w:r>
        <w:rPr>
          <w:rFonts w:ascii="Times New Roman" w:hAnsi="Times New Roman"/>
          <w:sz w:val="24"/>
        </w:rPr>
        <w:t>”) among the Borrower, the Administrative Agent and the lenders party thereto from time to time (such lenders immediately prior to the Second Restatement Date, the “</w:t>
      </w:r>
      <w:r>
        <w:rPr>
          <w:rFonts w:ascii="Times New Roman" w:hAnsi="Times New Roman"/>
          <w:sz w:val="24"/>
          <w:u w:val="single"/>
        </w:rPr>
        <w:t>Existing Lenders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b/>
          <w:sz w:val="24"/>
        </w:rPr>
        <w:t>WHEREAS</w:t>
      </w:r>
      <w:r>
        <w:rPr>
          <w:rFonts w:ascii="Times New Roman" w:hAnsi="Times New Roman"/>
          <w:sz w:val="24"/>
        </w:rPr>
        <w:t>, under the terms of the Existing Agreement, the Existing Lenders agreed to extend credit to the Borrower in the form of (i) a term loan in the aggregate principal amount of $1,000,000,000 on the First Restatement Date (the “</w:t>
      </w:r>
      <w:r>
        <w:rPr>
          <w:rFonts w:ascii="Times New Roman" w:hAnsi="Times New Roman"/>
          <w:sz w:val="24"/>
          <w:u w:val="single"/>
        </w:rPr>
        <w:t>Initial Term Loans</w:t>
      </w:r>
      <w:r>
        <w:rPr>
          <w:rFonts w:ascii="Times New Roman" w:hAnsi="Times New Roman"/>
          <w:sz w:val="24"/>
        </w:rPr>
        <w:t xml:space="preserve">”), as reduced for any repayments or prepayments of “Term Loans” under the Existing Agreement such that the aggregate principal amount of Term Loans outstanding immediately prior to the Second Restatement Date was $500,000,000. </w:t>
      </w:r>
    </w:p>
    <w:p>
      <w:pPr>
        <w:pStyle w:val="TextBody"/>
        <w:bidi w:val="0"/>
        <w:spacing w:before="240" w:after="0"/>
        <w:jc w:val="both"/>
        <w:rPr>
          <w:rFonts w:ascii="Times New Roman" w:hAnsi="Times New Roman"/>
          <w:sz w:val="24"/>
        </w:rPr>
      </w:pPr>
      <w:r>
        <w:rPr>
          <w:rFonts w:ascii="Times New Roman" w:hAnsi="Times New Roman"/>
          <w:b/>
          <w:sz w:val="24"/>
        </w:rPr>
        <w:t>WHEREAS</w:t>
      </w:r>
      <w:r>
        <w:rPr>
          <w:rFonts w:ascii="Times New Roman" w:hAnsi="Times New Roman"/>
          <w:sz w:val="24"/>
        </w:rPr>
        <w:t>, the Borrower has requested that the Existing Lenders extend the maturity date of the Initial Term Loans to the Term Loan Maturity Date (as defined herein) (such Initial Term Loans, as extended, the “</w:t>
      </w:r>
      <w:r>
        <w:rPr>
          <w:rFonts w:ascii="Times New Roman" w:hAnsi="Times New Roman"/>
          <w:sz w:val="24"/>
          <w:u w:val="single"/>
        </w:rPr>
        <w:t>Extended Term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b/>
          <w:sz w:val="24"/>
        </w:rPr>
        <w:t>WHEREAS</w:t>
      </w:r>
      <w:r>
        <w:rPr>
          <w:rFonts w:ascii="Times New Roman" w:hAnsi="Times New Roman"/>
          <w:sz w:val="24"/>
        </w:rPr>
        <w:t>, certain entities listed on Schedule 1 hereto have agreed to provide the Extended Term Loan Commitments in the amounts indicated therein under the column labeled “Extended Term Loan Commitments” (such entities, the “</w:t>
      </w:r>
      <w:r>
        <w:rPr>
          <w:rFonts w:ascii="Times New Roman" w:hAnsi="Times New Roman"/>
          <w:sz w:val="24"/>
          <w:u w:val="single"/>
        </w:rPr>
        <w:t>Extended Term Loan Lenders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b/>
          <w:sz w:val="24"/>
        </w:rPr>
        <w:t>WHEREAS</w:t>
      </w:r>
      <w:r>
        <w:rPr>
          <w:rFonts w:ascii="Times New Roman" w:hAnsi="Times New Roman"/>
          <w:sz w:val="24"/>
        </w:rPr>
        <w:t xml:space="preserve">, the Borrower has requested an increase in the Term Loan Commitments of $500,000,000 so that the aggregate amount of Term Loan Commitments, as of the Second Restatement Date, will be equal to $1,000,000,000. </w:t>
      </w:r>
    </w:p>
    <w:p>
      <w:pPr>
        <w:pStyle w:val="TextBody"/>
        <w:bidi w:val="0"/>
        <w:spacing w:before="240" w:after="0"/>
        <w:jc w:val="both"/>
        <w:rPr>
          <w:rFonts w:ascii="Times New Roman" w:hAnsi="Times New Roman"/>
          <w:sz w:val="24"/>
        </w:rPr>
      </w:pPr>
      <w:r>
        <w:rPr>
          <w:rFonts w:ascii="Times New Roman" w:hAnsi="Times New Roman"/>
          <w:b/>
          <w:sz w:val="24"/>
        </w:rPr>
        <w:t>WHEREAS</w:t>
      </w:r>
      <w:r>
        <w:rPr>
          <w:rFonts w:ascii="Times New Roman" w:hAnsi="Times New Roman"/>
          <w:sz w:val="24"/>
        </w:rPr>
        <w:t>, certain entities listed on Schedule 1 hereto have agreed to provide the 2021 Term Loan Commitments in the amounts indicated therein under the column labeled “2021 Term Loan Commitments” (such entities, the “</w:t>
      </w:r>
      <w:r>
        <w:rPr>
          <w:rFonts w:ascii="Times New Roman" w:hAnsi="Times New Roman"/>
          <w:sz w:val="24"/>
          <w:u w:val="single"/>
        </w:rPr>
        <w:t>2021 Term Loan Lenders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b/>
          <w:sz w:val="24"/>
        </w:rPr>
        <w:t>NOW, THEREFORE</w:t>
      </w:r>
      <w:r>
        <w:rPr>
          <w:rFonts w:ascii="Times New Roman" w:hAnsi="Times New Roman"/>
          <w:sz w:val="24"/>
        </w:rPr>
        <w:t xml:space="preserve">, for good and valuable consideration, the receipt and sufficiency of which are hereby acknowledged by each of the parties hereto, the parties hereby agree to amend and restate the Amended and Restated Term Loan Agreement on the Second Restatement Date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1 - DEFINITIONS </w:t>
      </w:r>
    </w:p>
    <w:p>
      <w:pPr>
        <w:pStyle w:val="TextBody"/>
        <w:bidi w:val="0"/>
        <w:spacing w:before="240" w:after="0"/>
        <w:jc w:val="both"/>
        <w:rPr>
          <w:rFonts w:ascii="Times New Roman" w:hAnsi="Times New Roman"/>
          <w:sz w:val="24"/>
        </w:rPr>
      </w:pPr>
      <w:r>
        <w:rPr>
          <w:rFonts w:ascii="Times New Roman" w:hAnsi="Times New Roman"/>
          <w:sz w:val="24"/>
        </w:rPr>
        <w:t>Section 1.1 </w:t>
      </w:r>
      <w:r>
        <w:rPr>
          <w:rFonts w:ascii="Times New Roman" w:hAnsi="Times New Roman"/>
          <w:sz w:val="24"/>
          <w:u w:val="single"/>
        </w:rPr>
        <w:t>Definitions</w:t>
      </w:r>
      <w:r>
        <w:rPr>
          <w:rFonts w:ascii="Times New Roman" w:hAnsi="Times New Roman"/>
          <w:sz w:val="24"/>
        </w:rPr>
        <w:t xml:space="preserve">. For the purposes of this Agreement: </w:t>
      </w:r>
    </w:p>
    <w:p>
      <w:pPr>
        <w:pStyle w:val="TextBody"/>
        <w:bidi w:val="0"/>
        <w:spacing w:before="240" w:after="0"/>
        <w:jc w:val="both"/>
        <w:rPr/>
      </w:pPr>
      <w:r>
        <w:rPr/>
        <w:t>“</w:t>
      </w:r>
      <w:r>
        <w:rPr>
          <w:rFonts w:ascii="Times New Roman" w:hAnsi="Times New Roman"/>
          <w:sz w:val="24"/>
          <w:u w:val="single"/>
        </w:rPr>
        <w:t>2-Year Term Loan Agreement</w:t>
      </w:r>
      <w:r>
        <w:rPr>
          <w:rFonts w:ascii="Times New Roman" w:hAnsi="Times New Roman"/>
          <w:sz w:val="24"/>
        </w:rPr>
        <w:t xml:space="preserve">” shall have the meaning ascribed thereto in the definition of “Effective Date Credit Agreements”. </w:t>
      </w:r>
    </w:p>
    <w:p>
      <w:pPr>
        <w:pStyle w:val="TextBody"/>
        <w:bidi w:val="0"/>
        <w:spacing w:before="240" w:after="0"/>
        <w:jc w:val="both"/>
        <w:rPr/>
      </w:pPr>
      <w:r>
        <w:rPr/>
        <w:t>“</w:t>
      </w:r>
      <w:r>
        <w:rPr>
          <w:rFonts w:ascii="Times New Roman" w:hAnsi="Times New Roman"/>
          <w:sz w:val="24"/>
          <w:u w:val="single"/>
        </w:rPr>
        <w:t>364-Day Term Loan Agreement</w:t>
      </w:r>
      <w:r>
        <w:rPr>
          <w:rFonts w:ascii="Times New Roman" w:hAnsi="Times New Roman"/>
          <w:sz w:val="24"/>
        </w:rPr>
        <w:t xml:space="preserve">” shall have the meaning ascribed thereto in the definition of “Effective Date Credit Agreements”. </w:t>
      </w:r>
    </w:p>
    <w:p>
      <w:pPr>
        <w:pStyle w:val="TextBody"/>
        <w:bidi w:val="0"/>
        <w:spacing w:before="240" w:after="0"/>
        <w:jc w:val="both"/>
        <w:rPr/>
      </w:pPr>
      <w:r>
        <w:rPr/>
        <w:t>“</w:t>
      </w:r>
      <w:r>
        <w:rPr>
          <w:rFonts w:ascii="Times New Roman" w:hAnsi="Times New Roman"/>
          <w:sz w:val="24"/>
          <w:u w:val="single"/>
        </w:rPr>
        <w:t>2021 Term Loan Commitment</w:t>
      </w:r>
      <w:r>
        <w:rPr>
          <w:rFonts w:ascii="Times New Roman" w:hAnsi="Times New Roman"/>
          <w:sz w:val="24"/>
        </w:rPr>
        <w:t xml:space="preserve">” shall mean, as to each 2021 Term Loan Lender, its obligation to make a 2021 Term Loan to the Borrower pursuant to </w:t>
      </w:r>
      <w:r>
        <w:rPr>
          <w:rFonts w:ascii="Times New Roman" w:hAnsi="Times New Roman"/>
          <w:sz w:val="24"/>
          <w:u w:val="single"/>
        </w:rPr>
        <w:t>Section 2.1(b)</w:t>
      </w:r>
      <w:r>
        <w:rPr>
          <w:rFonts w:ascii="Times New Roman" w:hAnsi="Times New Roman"/>
          <w:sz w:val="24"/>
        </w:rPr>
        <w:t xml:space="preserve"> in a principal amount not to exceed the (a) amount set forth in the column labeled “2021 Term Loan Commitment” opposite such Lender’s name on </w:t>
      </w:r>
      <w:r>
        <w:rPr>
          <w:rFonts w:ascii="Times New Roman" w:hAnsi="Times New Roman"/>
          <w:sz w:val="24"/>
          <w:u w:val="single"/>
        </w:rPr>
        <w:t>Schedule 1</w:t>
      </w:r>
      <w:r>
        <w:rPr>
          <w:rFonts w:ascii="Times New Roman" w:hAnsi="Times New Roman"/>
          <w:sz w:val="24"/>
        </w:rPr>
        <w:t xml:space="preserve"> or (b) the Term Loan Commitment amount set forth in the Assignment and Assumption pursuant to which such Lender becomes a party hereto, as applicable. </w:t>
      </w:r>
    </w:p>
    <w:p>
      <w:pPr>
        <w:pStyle w:val="TextBody"/>
        <w:bidi w:val="0"/>
        <w:spacing w:before="240" w:after="0"/>
        <w:jc w:val="both"/>
        <w:rPr/>
      </w:pPr>
      <w:r>
        <w:rPr/>
        <w:t>“</w:t>
      </w:r>
      <w:r>
        <w:rPr>
          <w:rFonts w:ascii="Times New Roman" w:hAnsi="Times New Roman"/>
          <w:sz w:val="24"/>
          <w:u w:val="single"/>
        </w:rPr>
        <w:t>2021 Term Loan Commitment Termination Date</w:t>
      </w:r>
      <w:r>
        <w:rPr>
          <w:rFonts w:ascii="Times New Roman" w:hAnsi="Times New Roman"/>
          <w:sz w:val="24"/>
        </w:rPr>
        <w:t xml:space="preserve">” shall mean the earliest to occur of (i) the consummation of the Specified Merger without the funding of the 2021 Term Loans, (ii) the termination in accordance with the terms of the Specified Merger Agreement or the public announcement by the Borrower of the abandonment of the Specified Merger (provided that, for the avoidance of doubt, the Borrower may fund the 2021 Term Loans pursuant to Section 3.3 so long as the Borrower has submitted a Request for Advance by such termination date) and (iii) 11:59 p.m., New York City time, on May 13, 2022. </w:t>
      </w:r>
    </w:p>
    <w:p>
      <w:pPr>
        <w:pStyle w:val="TextBody"/>
        <w:bidi w:val="0"/>
        <w:spacing w:before="240" w:after="0"/>
        <w:jc w:val="both"/>
        <w:rPr/>
      </w:pPr>
      <w:r>
        <w:rPr/>
        <w:t>“</w:t>
      </w:r>
      <w:r>
        <w:rPr>
          <w:rFonts w:ascii="Times New Roman" w:hAnsi="Times New Roman"/>
          <w:sz w:val="24"/>
          <w:u w:val="single"/>
        </w:rPr>
        <w:t>2021 Term Loan Funding Date</w:t>
      </w:r>
      <w:r>
        <w:rPr>
          <w:rFonts w:ascii="Times New Roman" w:hAnsi="Times New Roman"/>
          <w:sz w:val="24"/>
        </w:rPr>
        <w:t xml:space="preserve">” shall mean each date when all of the conditions set forth in Section 3.3 or Section 3.4, as applicable, shall have been satisfied or waived. </w:t>
      </w:r>
    </w:p>
    <w:p>
      <w:pPr>
        <w:pStyle w:val="TextBody"/>
        <w:bidi w:val="0"/>
        <w:spacing w:before="240" w:after="0"/>
        <w:jc w:val="both"/>
        <w:rPr/>
      </w:pPr>
      <w:r>
        <w:rPr/>
        <w:t>“</w:t>
      </w:r>
      <w:r>
        <w:rPr>
          <w:rFonts w:ascii="Times New Roman" w:hAnsi="Times New Roman"/>
          <w:sz w:val="24"/>
          <w:u w:val="single"/>
        </w:rPr>
        <w:t>2021 Term Loan Lenders</w:t>
      </w:r>
      <w:r>
        <w:rPr>
          <w:rFonts w:ascii="Times New Roman" w:hAnsi="Times New Roman"/>
          <w:sz w:val="24"/>
        </w:rPr>
        <w:t xml:space="preserve">” shall have the meaning ascribed thereto in the Recitals hereof. </w:t>
      </w:r>
    </w:p>
    <w:p>
      <w:pPr>
        <w:pStyle w:val="TextBody"/>
        <w:bidi w:val="0"/>
        <w:spacing w:before="240" w:after="0"/>
        <w:jc w:val="both"/>
        <w:rPr/>
      </w:pPr>
      <w:r>
        <w:rPr/>
        <w:t>“</w:t>
      </w:r>
      <w:r>
        <w:rPr>
          <w:rFonts w:ascii="Times New Roman" w:hAnsi="Times New Roman"/>
          <w:sz w:val="24"/>
          <w:u w:val="single"/>
        </w:rPr>
        <w:t>2021 Term Loans</w:t>
      </w:r>
      <w:r>
        <w:rPr>
          <w:rFonts w:ascii="Times New Roman" w:hAnsi="Times New Roman"/>
          <w:sz w:val="24"/>
        </w:rPr>
        <w:t xml:space="preserve">” shall mean, collectively, the amounts advanced by the Lenders with a 2021 Term Loan Commitment to the Borrower pursuant to this Agreement. As of the Second Restatement Date, the aggregate principal amount of 2021 Term Loans is $500,000,000. </w:t>
      </w:r>
    </w:p>
    <w:p>
      <w:pPr>
        <w:pStyle w:val="TextBody"/>
        <w:bidi w:val="0"/>
        <w:spacing w:before="240" w:after="0"/>
        <w:jc w:val="both"/>
        <w:rPr/>
      </w:pPr>
      <w:r>
        <w:rPr/>
        <w:t>“</w:t>
      </w:r>
      <w:r>
        <w:rPr>
          <w:rFonts w:ascii="Times New Roman" w:hAnsi="Times New Roman"/>
          <w:sz w:val="24"/>
          <w:u w:val="single"/>
        </w:rPr>
        <w:t>ABS Facility</w:t>
      </w:r>
      <w:r>
        <w:rPr>
          <w:rFonts w:ascii="Times New Roman" w:hAnsi="Times New Roman"/>
          <w:sz w:val="24"/>
        </w:rPr>
        <w:t xml:space="preserve">” shall mean one or more secured loans, borrowings or facilities that may be included in a commercial real estate securitization transaction. </w:t>
      </w:r>
    </w:p>
    <w:p>
      <w:pPr>
        <w:pStyle w:val="TextBody"/>
        <w:bidi w:val="0"/>
        <w:spacing w:before="240" w:after="0"/>
        <w:jc w:val="both"/>
        <w:rPr/>
      </w:pPr>
      <w:r>
        <w:rPr/>
        <w:t>“</w:t>
      </w:r>
      <w:r>
        <w:rPr>
          <w:rFonts w:ascii="Times New Roman" w:hAnsi="Times New Roman"/>
          <w:sz w:val="24"/>
          <w:u w:val="single"/>
        </w:rPr>
        <w:t>Acquisition</w:t>
      </w:r>
      <w:r>
        <w:rPr>
          <w:rFonts w:ascii="Times New Roman" w:hAnsi="Times New Roman"/>
          <w:sz w:val="24"/>
        </w:rPr>
        <w:t xml:space="preserve">” shall mean (whether by purchase, lease, exchange, issuance of stock or other equity or debt securities, merger, reorganization or any other method) (i) any acquisition by the Borrower or any of its Subsidiaries of any Person that is not a Subsidiary of the Borrower, which Person shall then become consolidated with the Borrower or such Subsidiary in accordance with GAAP; (ii) any acquisition by the Borrower or any of its Subsidiaries of all or any substantial part of the assets of any Person that is not a Subsidiary of the Borrower; (iii) any acquisition by the Borrower or any of its Subsidiaries of any business (or related contracts) primarily engaged in the tower, tower management or related businesses; or (iv) any acquisition by the Borrower or any of its Subsidiaries of any communications towers or communications tower sites.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Adjusted EBITDA</w:t>
      </w:r>
      <w:r>
        <w:rPr>
          <w:rFonts w:ascii="Times New Roman" w:hAnsi="Times New Roman"/>
          <w:sz w:val="24"/>
        </w:rPr>
        <w:t>” shall mean, for the twelve (12) month period preceding the calculation date, for any Person, the sum of (a) Net Income, plus (b) to the extent deducted in determining Net Income, the sum, without duplication, of such Person’s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 -recurring non -cash charges and expenses, (v) all other non -cash charges, expenses and interest (including, without limitation, any non -cash losses in respect of Hedge Agreements, non -cash impairment charges, non -cash valuation charges for stock option grants or vesting of restricted stock awards or any other non -cash compensation charges, and losses from the early extinguishment of Indebtedness), (vi) non -recurring integration costs and expenses resulting from operational changes and improvements (including, without limitation, severance costs and business optimization expenses) and (</w:t>
      </w:r>
      <w:r>
        <w:rPr>
          <w:rFonts w:ascii="Times New Roman" w:hAnsi="Times New Roman"/>
          <w:strike/>
          <w:color w:val="FF0000"/>
          <w:sz w:val="24"/>
        </w:rPr>
        <w:t>vii)v)</w:t>
      </w:r>
      <w:r>
        <w:rPr>
          <w:rFonts w:ascii="Times New Roman" w:hAnsi="Times New Roman"/>
          <w:sz w:val="24"/>
        </w:rPr>
        <w:t xml:space="preserve"> non -recurring charges and expenses, restructuring charges, transaction expenses (including, without limitation, transaction expenses incurred in connection with any merger or acquisition) and underwriters’ fees, and severance and retention payments in connection with any merger or acquisition, in each case for such period, less extraordinary gains and cash payments (not otherwise deducted in determining Net Income) made during such period with respect to non -cash charges that were added back in a prior period;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(A) with respect to any Person that became a Subsidiary of the Borrower, or was merged with or consolidated into the Borrower or any of its Subsidiaries, during such period, or any acquisition by the Borrower or any of its Subsidiaries of the assets of any Person during such period, “</w:t>
      </w:r>
      <w:r>
        <w:rPr>
          <w:rFonts w:ascii="Times New Roman" w:hAnsi="Times New Roman"/>
          <w:sz w:val="24"/>
          <w:u w:val="single"/>
        </w:rPr>
        <w:t>Adjusted EBITDA</w:t>
      </w:r>
      <w:r>
        <w:rPr>
          <w:rFonts w:ascii="Times New Roman" w:hAnsi="Times New Roman"/>
          <w:sz w:val="24"/>
        </w:rPr>
        <w:t>” shall, at the option of the Borrower in respect of any or all of the foregoing, also include the Adjusted EBITDA of such Person or attributable to such assets, as applicable, during such period as if such acquisition, merger or consolidation, including any concurrent transaction entered into by such Person or with respect to such assets as part of such acquisition, merger or consolidation, had occurred on the first day of such period and (B) with respect to any Person that has ceased to be a Subsidiary of the Borrower during such period, or any material assets of the Borrower or any of its Subsidiaries sold or otherwise disposed of by the Borrower or any of its Subsidiaries during such period, “</w:t>
      </w:r>
      <w:r>
        <w:rPr>
          <w:rFonts w:ascii="Times New Roman" w:hAnsi="Times New Roman"/>
          <w:sz w:val="24"/>
          <w:u w:val="single"/>
        </w:rPr>
        <w:t>Adjusted EBITDA</w:t>
      </w:r>
      <w:r>
        <w:rPr>
          <w:rFonts w:ascii="Times New Roman" w:hAnsi="Times New Roman"/>
          <w:sz w:val="24"/>
        </w:rPr>
        <w:t xml:space="preserve">”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240" w:after="0"/>
        <w:jc w:val="both"/>
        <w:rPr/>
      </w:pPr>
      <w:r>
        <w:rPr>
          <w:strike/>
          <w:color w:val="FF0000"/>
        </w:rPr>
        <w:t>“</w:t>
      </w:r>
      <w:r>
        <w:rPr>
          <w:rFonts w:ascii="Times New Roman" w:hAnsi="Times New Roman"/>
          <w:strike/>
          <w:color w:val="FF0000"/>
          <w:sz w:val="24"/>
        </w:rPr>
        <w:t xml:space="preserve">Adjusted Term SOFR” shall mean, for purposes of any calculation and subject to the provisions of Section 10.1(b), the rate per annum equal to (a) Term SOFR for such calculation plus (b) the Term SOFR Adjustment; provided that if Adjusted </w:t>
      </w:r>
      <w:r>
        <w:rPr>
          <w:rFonts w:ascii="Times New Roman" w:hAnsi="Times New Roman"/>
          <w:strike/>
          <w:color w:val="00C000"/>
          <w:sz w:val="24"/>
        </w:rPr>
        <w:t xml:space="preserve">Term SOFR as so determined </w:t>
      </w:r>
      <w:r>
        <w:rPr>
          <w:rFonts w:ascii="Times New Roman" w:hAnsi="Times New Roman"/>
          <w:strike/>
          <w:color w:val="FF0000"/>
          <w:sz w:val="24"/>
        </w:rPr>
        <w:t xml:space="preserve">shall ever be less than the Floor, then Adjusted Term </w:t>
      </w:r>
      <w:r>
        <w:rPr>
          <w:rFonts w:ascii="Times New Roman" w:hAnsi="Times New Roman"/>
          <w:strike/>
          <w:color w:val="00C000"/>
          <w:sz w:val="24"/>
        </w:rPr>
        <w:t>SOFR shall be deemed to be the Floor</w:t>
      </w:r>
      <w:r>
        <w:rPr>
          <w:rFonts w:ascii="Times New Roman" w:hAnsi="Times New Roman"/>
          <w:strike/>
          <w:color w:val="FF0000"/>
          <w:sz w:val="24"/>
        </w:rPr>
        <w: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Administrative Agent</w:t>
      </w:r>
      <w:r>
        <w:rPr>
          <w:rFonts w:ascii="Times New Roman" w:hAnsi="Times New Roman"/>
          <w:sz w:val="24"/>
        </w:rPr>
        <w:t xml:space="preserve">” shall mean Mizuho Bank, Ltd., in its capacity as Administrative Agent for the Lenders, or any successor Administrative Agent appointed pursuant to Section 9.5 hereof. </w:t>
      </w:r>
    </w:p>
    <w:p>
      <w:pPr>
        <w:pStyle w:val="TextBody"/>
        <w:bidi w:val="0"/>
        <w:spacing w:before="240" w:after="0"/>
        <w:jc w:val="both"/>
        <w:rPr/>
      </w:pPr>
      <w:r>
        <w:rPr/>
        <w:t>“</w:t>
      </w:r>
      <w:r>
        <w:rPr>
          <w:rFonts w:ascii="Times New Roman" w:hAnsi="Times New Roman"/>
          <w:sz w:val="24"/>
          <w:u w:val="single"/>
        </w:rPr>
        <w:t>Administrative Agent’s Office</w:t>
      </w:r>
      <w:r>
        <w:rPr>
          <w:rFonts w:ascii="Times New Roman" w:hAnsi="Times New Roman"/>
          <w:sz w:val="24"/>
        </w:rPr>
        <w:t xml:space="preserve">” shall mean the Administrative Agent’s address and, as appropriate, account as set forth on Schedule 4, or such other address or account as may be designated pursuant to the provisions of Section 11.1 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Advance</w:t>
      </w:r>
      <w:r>
        <w:rPr>
          <w:rFonts w:ascii="Times New Roman" w:hAnsi="Times New Roman"/>
          <w:sz w:val="24"/>
        </w:rPr>
        <w:t>” shall mean, initially, the borrowing consisting of simultaneous Loans by the Lenders. After the Loans are outstanding, “Advance” shall mean the aggregate amounts advanced by the Lenders to the Borrower pursuant to Article 2 hereof and having the same Interest Rate Basis and Interest Period; and “</w:t>
      </w:r>
      <w:r>
        <w:rPr>
          <w:rFonts w:ascii="Times New Roman" w:hAnsi="Times New Roman"/>
          <w:sz w:val="24"/>
          <w:u w:val="single"/>
        </w:rPr>
        <w:t>Advances</w:t>
      </w:r>
      <w:r>
        <w:rPr>
          <w:rFonts w:ascii="Times New Roman" w:hAnsi="Times New Roman"/>
          <w:sz w:val="24"/>
        </w:rPr>
        <w:t xml:space="preserve">” shall mean more than one Advance. </w:t>
      </w:r>
    </w:p>
    <w:p>
      <w:pPr>
        <w:pStyle w:val="TextBody"/>
        <w:bidi w:val="0"/>
        <w:spacing w:before="240" w:after="0"/>
        <w:jc w:val="both"/>
        <w:rPr/>
      </w:pPr>
      <w:r>
        <w:rPr/>
        <w:t>“</w:t>
      </w:r>
      <w:r>
        <w:rPr>
          <w:rFonts w:ascii="Times New Roman" w:hAnsi="Times New Roman"/>
          <w:sz w:val="24"/>
          <w:u w:val="single"/>
        </w:rPr>
        <w:t>Affected Financial Institution</w:t>
      </w:r>
      <w:r>
        <w:rPr>
          <w:rFonts w:ascii="Times New Roman" w:hAnsi="Times New Roman"/>
          <w:sz w:val="24"/>
        </w:rPr>
        <w:t xml:space="preserve">” shall mean (a) any EEA Financial Institution, or (b) any UK Financial Institution. </w:t>
      </w:r>
    </w:p>
    <w:p>
      <w:pPr>
        <w:pStyle w:val="TextBody"/>
        <w:bidi w:val="0"/>
        <w:spacing w:before="240" w:after="0"/>
        <w:jc w:val="both"/>
        <w:rPr/>
      </w:pPr>
      <w:r>
        <w:rPr/>
        <w:t>“</w:t>
      </w:r>
      <w:r>
        <w:rPr>
          <w:rFonts w:ascii="Times New Roman" w:hAnsi="Times New Roman"/>
          <w:sz w:val="24"/>
          <w:u w:val="single"/>
        </w:rPr>
        <w:t>Affected Lender</w:t>
      </w:r>
      <w:r>
        <w:rPr>
          <w:rFonts w:ascii="Times New Roman" w:hAnsi="Times New Roman"/>
          <w:sz w:val="24"/>
        </w:rPr>
        <w:t xml:space="preserve">” shall have the meaning ascribed thereto in Section 10.5 hereof. </w:t>
      </w:r>
    </w:p>
    <w:p>
      <w:pPr>
        <w:pStyle w:val="TextBody"/>
        <w:bidi w:val="0"/>
        <w:spacing w:before="240" w:after="0"/>
        <w:jc w:val="both"/>
        <w:rPr/>
      </w:pPr>
      <w:r>
        <w:rPr/>
        <w:t>“</w:t>
      </w:r>
      <w:r>
        <w:rPr>
          <w:rFonts w:ascii="Times New Roman" w:hAnsi="Times New Roman"/>
          <w:sz w:val="24"/>
          <w:u w:val="single"/>
        </w:rPr>
        <w:t>Affiliate</w:t>
      </w:r>
      <w:r>
        <w:rPr>
          <w:rFonts w:ascii="Times New Roman" w:hAnsi="Times New Roman"/>
          <w:sz w:val="24"/>
        </w:rPr>
        <w:t xml:space="preserve">” shall mean, with respect to a Person, any other Person directly or indirectly controlling, controlled by, or under common control with, such first Person. For purposes of this definition, “control,” when used with respect to any Person, shall mean the power to direct or cause the direction of the management and policies of such Person whether by contract or otherwise. </w:t>
      </w:r>
    </w:p>
    <w:p>
      <w:pPr>
        <w:pStyle w:val="TextBody"/>
        <w:bidi w:val="0"/>
        <w:spacing w:before="240" w:after="0"/>
        <w:jc w:val="both"/>
        <w:rPr/>
      </w:pPr>
      <w:r>
        <w:rPr/>
        <w:t>“</w:t>
      </w:r>
      <w:r>
        <w:rPr>
          <w:rFonts w:ascii="Times New Roman" w:hAnsi="Times New Roman"/>
          <w:sz w:val="24"/>
          <w:u w:val="single"/>
        </w:rPr>
        <w:t>Agreement</w:t>
      </w:r>
      <w:r>
        <w:rPr>
          <w:rFonts w:ascii="Times New Roman" w:hAnsi="Times New Roman"/>
          <w:sz w:val="24"/>
        </w:rPr>
        <w:t xml:space="preserve">” shall mean this Second Amended and Restated Term Loan Agreement, as amended, supplemented, restated or otherwise modified in writing from time to time. </w:t>
      </w:r>
    </w:p>
    <w:p>
      <w:pPr>
        <w:pStyle w:val="TextBody"/>
        <w:bidi w:val="0"/>
        <w:spacing w:before="240" w:after="0"/>
        <w:jc w:val="both"/>
        <w:rPr/>
      </w:pPr>
      <w:r>
        <w:rPr/>
        <w:t>“</w:t>
      </w:r>
      <w:r>
        <w:rPr>
          <w:rFonts w:ascii="Times New Roman" w:hAnsi="Times New Roman"/>
          <w:sz w:val="24"/>
          <w:u w:val="single"/>
        </w:rPr>
        <w:t>Amendment No. 1</w:t>
      </w:r>
      <w:r>
        <w:rPr>
          <w:rFonts w:ascii="Times New Roman" w:hAnsi="Times New Roman"/>
          <w:sz w:val="24"/>
        </w:rPr>
        <w:t xml:space="preserve">” shall mean that certain Amendment No. 1 to the Second Amended and Restated Term Loan Agreement, dated as of the Amendment No. 1 Effective Date, by and among the Borrower, the Lenders party thereto and the Administrative Agent. </w:t>
      </w:r>
    </w:p>
    <w:p>
      <w:pPr>
        <w:pStyle w:val="TextBody"/>
        <w:bidi w:val="0"/>
        <w:spacing w:before="240" w:after="0"/>
        <w:jc w:val="both"/>
        <w:rPr/>
      </w:pPr>
      <w:r>
        <w:rPr/>
        <w:t>“</w:t>
      </w:r>
      <w:r>
        <w:rPr>
          <w:rFonts w:ascii="Times New Roman" w:hAnsi="Times New Roman"/>
          <w:sz w:val="24"/>
          <w:u w:val="single"/>
        </w:rPr>
        <w:t>Amendment No. 1 Effective Date</w:t>
      </w:r>
      <w:r>
        <w:rPr>
          <w:rFonts w:ascii="Times New Roman" w:hAnsi="Times New Roman"/>
          <w:sz w:val="24"/>
        </w:rPr>
        <w:t xml:space="preserve">” shall mean June 29, 2023. </w:t>
      </w:r>
    </w:p>
    <w:p>
      <w:pPr>
        <w:pStyle w:val="TextBody"/>
        <w:bidi w:val="0"/>
        <w:spacing w:before="240" w:after="0"/>
        <w:jc w:val="both"/>
        <w:rPr/>
      </w:pPr>
      <w:r>
        <w:rPr/>
        <w:t>“</w:t>
      </w:r>
      <w:r>
        <w:rPr>
          <w:rFonts w:ascii="Times New Roman" w:hAnsi="Times New Roman"/>
          <w:sz w:val="24"/>
          <w:u w:val="single"/>
        </w:rPr>
        <w:t>Amendment No. 2</w:t>
      </w:r>
      <w:r>
        <w:rPr>
          <w:rFonts w:ascii="Times New Roman" w:hAnsi="Times New Roman"/>
          <w:sz w:val="24"/>
        </w:rPr>
        <w:t xml:space="preserve">” shall mean that certain Amendment No. 2 to the Second Amended and Restated Term Loan Agreement, dated as of the Amendment No. 2 Effective Date, by and among the Borrower, the Lenders party thereto and the Administrative Agent. </w:t>
      </w:r>
    </w:p>
    <w:p>
      <w:pPr>
        <w:pStyle w:val="TextBody"/>
        <w:bidi w:val="0"/>
        <w:spacing w:before="240" w:after="0"/>
        <w:jc w:val="both"/>
        <w:rPr/>
      </w:pPr>
      <w:r>
        <w:rPr/>
        <w:t>“</w:t>
      </w:r>
      <w:r>
        <w:rPr>
          <w:rFonts w:ascii="Times New Roman" w:hAnsi="Times New Roman"/>
          <w:sz w:val="24"/>
          <w:u w:val="single"/>
        </w:rPr>
        <w:t>Amendment No. 2 Effective Date</w:t>
      </w:r>
      <w:r>
        <w:rPr>
          <w:rFonts w:ascii="Times New Roman" w:hAnsi="Times New Roman"/>
          <w:sz w:val="24"/>
        </w:rPr>
        <w:t xml:space="preserve">” shall mean January 28, 2025.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Amendment No. 3” shall mean that certain Amendment No. 3 to the Second Amended and Restated Term Loan Agreement, dated as of the Amendment No. 3 Effective Date, by and among the Borrower, the Lenders party thereto and the Administrative Agent.</w:t>
      </w:r>
      <w:r>
        <w:rPr>
          <w:rFonts w:ascii="Times New Roman" w:hAnsi="Times New Roman"/>
          <w:sz w:val="24"/>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color w:val="0000FF"/>
          <w:sz w:val="24"/>
          <w:u w:val="single"/>
          <w:bdr w:val="double" w:sz="2" w:space="1" w:color="000000"/>
        </w:rPr>
        <w:t>Amendment No. 3 Effective Date” shall mean May 7, 2026.</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Anti-Corruption Laws</w:t>
      </w:r>
      <w:r>
        <w:rPr>
          <w:rFonts w:ascii="Times New Roman" w:hAnsi="Times New Roman"/>
          <w:sz w:val="24"/>
        </w:rPr>
        <w:t xml:space="preserve">” shall mean all laws, rules, and regulations of any jurisdiction applicable to the Borrower or its Subsidiaries from time to time concerning or relating to money laundering, bribery or corruption. </w:t>
      </w:r>
    </w:p>
    <w:p>
      <w:pPr>
        <w:pStyle w:val="TextBody"/>
        <w:bidi w:val="0"/>
        <w:spacing w:before="240" w:after="0"/>
        <w:jc w:val="both"/>
        <w:rPr/>
      </w:pPr>
      <w:r>
        <w:rPr/>
        <w:t>“</w:t>
      </w:r>
      <w:r>
        <w:rPr>
          <w:rFonts w:ascii="Times New Roman" w:hAnsi="Times New Roman"/>
          <w:sz w:val="24"/>
          <w:u w:val="single"/>
        </w:rPr>
        <w:t>Applicable Debt Rating</w:t>
      </w:r>
      <w:r>
        <w:rPr>
          <w:rFonts w:ascii="Times New Roman" w:hAnsi="Times New Roman"/>
          <w:sz w:val="24"/>
        </w:rPr>
        <w:t xml:space="preserve">” shall mean the highest Debt Rating received from any of S&amp;P, Moody’s and Fitch; provided that if the lowest Debt Rating received from any such rating agency is two or more rating levels below the highest Debt Rating received from any such rating agency, the Applicable Debt Rating shall be the level that is one level below the highest of such Debt Ratings;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two ratings are at the same highest level, the Applicable Debt Rating shall be the highest level.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Applicable Law</w:t>
      </w:r>
      <w:r>
        <w:rPr>
          <w:rFonts w:ascii="Times New Roman" w:hAnsi="Times New Roman"/>
          <w:sz w:val="24"/>
        </w:rPr>
        <w:t xml:space="preserve">” shall mean, in respect of any Person, all provisions of constitutions, statutes, treaties, rules, regulations and orders of governmental bodies or regulatory agencies applicable to such Person, including, without limiting the foregoing, the Licenses, the Communications Act, zoning ordinances and all environmental laws, and all orders, decisions, judgments and decrees of all courts and arbitrators in proceedings or actions to which the Person in question is a party or by which it is bound. </w:t>
      </w:r>
    </w:p>
    <w:p>
      <w:pPr>
        <w:pStyle w:val="TextBody"/>
        <w:bidi w:val="0"/>
        <w:spacing w:before="240" w:after="0"/>
        <w:jc w:val="both"/>
        <w:rPr/>
      </w:pPr>
      <w:r>
        <w:rPr/>
        <w:t>“</w:t>
      </w:r>
      <w:r>
        <w:rPr>
          <w:rFonts w:ascii="Times New Roman" w:hAnsi="Times New Roman"/>
          <w:sz w:val="24"/>
          <w:u w:val="single"/>
        </w:rPr>
        <w:t>Applicable Margin</w:t>
      </w:r>
      <w:r>
        <w:rPr>
          <w:rFonts w:ascii="Times New Roman" w:hAnsi="Times New Roman"/>
          <w:sz w:val="24"/>
        </w:rPr>
        <w:t xml:space="preserve">” shall mean the interest rate margin applicable to Base Rate Advances and SOFR Advances, as the case may be, in each case determined in accordance with Section 2.3(f) hereof. </w:t>
      </w:r>
    </w:p>
    <w:p>
      <w:pPr>
        <w:pStyle w:val="TextBody"/>
        <w:bidi w:val="0"/>
        <w:spacing w:before="240" w:after="0"/>
        <w:jc w:val="both"/>
        <w:rPr/>
      </w:pPr>
      <w:r>
        <w:rPr/>
        <w:t>“</w:t>
      </w:r>
      <w:r>
        <w:rPr>
          <w:rFonts w:ascii="Times New Roman" w:hAnsi="Times New Roman"/>
          <w:sz w:val="24"/>
          <w:u w:val="single"/>
        </w:rPr>
        <w:t>Approved Fund</w:t>
      </w:r>
      <w:r>
        <w:rPr>
          <w:rFonts w:ascii="Times New Roman" w:hAnsi="Times New Roman"/>
          <w:sz w:val="24"/>
        </w:rPr>
        <w:t xml:space="preserve">” shall mean any Fund that is administered or managed by (a) a Lender, (b) an Affiliate of a Lender or (c) an entity or an Affiliate of an entity that administers or manages a Lender. </w:t>
      </w:r>
    </w:p>
    <w:p>
      <w:pPr>
        <w:pStyle w:val="TextBody"/>
        <w:bidi w:val="0"/>
        <w:spacing w:before="240" w:after="0"/>
        <w:jc w:val="both"/>
        <w:rPr/>
      </w:pPr>
      <w:r>
        <w:rPr/>
        <w:t>“</w:t>
      </w:r>
      <w:r>
        <w:rPr>
          <w:rFonts w:ascii="Times New Roman" w:hAnsi="Times New Roman"/>
          <w:sz w:val="24"/>
          <w:u w:val="single"/>
        </w:rPr>
        <w:t>Assignment and Assumption</w:t>
      </w:r>
      <w:r>
        <w:rPr>
          <w:rFonts w:ascii="Times New Roman" w:hAnsi="Times New Roman"/>
          <w:sz w:val="24"/>
        </w:rPr>
        <w:t xml:space="preserve">” shall mean an Assignment and Assumption agreement substantially in the form of Exhibit F attached hereto. </w:t>
      </w:r>
    </w:p>
    <w:p>
      <w:pPr>
        <w:pStyle w:val="TextBody"/>
        <w:bidi w:val="0"/>
        <w:spacing w:before="240" w:after="0"/>
        <w:jc w:val="both"/>
        <w:rPr/>
      </w:pPr>
      <w:r>
        <w:rPr/>
        <w:t>“</w:t>
      </w:r>
      <w:r>
        <w:rPr>
          <w:rFonts w:ascii="Times New Roman" w:hAnsi="Times New Roman"/>
          <w:sz w:val="24"/>
          <w:u w:val="single"/>
        </w:rPr>
        <w:t>Attributable Debt</w:t>
      </w:r>
      <w:r>
        <w:rPr>
          <w:rFonts w:ascii="Times New Roman" w:hAnsi="Times New Roman"/>
          <w:sz w:val="24"/>
        </w:rPr>
        <w:t xml:space="preserve">” in respect of any Sale and Leaseback Transaction shall mean,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p>
    <w:p>
      <w:pPr>
        <w:pStyle w:val="TextBody"/>
        <w:bidi w:val="0"/>
        <w:spacing w:before="240" w:after="0"/>
        <w:jc w:val="both"/>
        <w:rPr/>
      </w:pPr>
      <w:r>
        <w:rPr/>
        <w:t>“</w:t>
      </w:r>
      <w:r>
        <w:rPr>
          <w:rFonts w:ascii="Times New Roman" w:hAnsi="Times New Roman"/>
          <w:sz w:val="24"/>
          <w:u w:val="single"/>
        </w:rPr>
        <w:t>Authorized Signatory</w:t>
      </w:r>
      <w:r>
        <w:rPr>
          <w:rFonts w:ascii="Times New Roman" w:hAnsi="Times New Roman"/>
          <w:sz w:val="24"/>
        </w:rPr>
        <w:t xml:space="preserve">” shall mean such senior personnel of a Person as may be duly authorized and designated in writing by such Person to execute documents, agreements and instruments on behalf of such Person. </w:t>
      </w:r>
    </w:p>
    <w:p>
      <w:pPr>
        <w:pStyle w:val="TextBody"/>
        <w:bidi w:val="0"/>
        <w:spacing w:before="240" w:after="0"/>
        <w:jc w:val="both"/>
        <w:rPr/>
      </w:pPr>
      <w:r>
        <w:rPr/>
        <w:t>“</w:t>
      </w:r>
      <w:r>
        <w:rPr>
          <w:rFonts w:ascii="Times New Roman" w:hAnsi="Times New Roman"/>
          <w:sz w:val="24"/>
          <w:u w:val="single"/>
        </w:rPr>
        <w:t>Available Tenor</w:t>
      </w:r>
      <w:r>
        <w:rPr>
          <w:rFonts w:ascii="Times New Roman" w:hAnsi="Times New Roman"/>
          <w:sz w:val="24"/>
        </w:rPr>
        <w:t xml:space="preserve">”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10.1(e). </w:t>
      </w:r>
    </w:p>
    <w:p>
      <w:pPr>
        <w:pStyle w:val="TextBody"/>
        <w:bidi w:val="0"/>
        <w:spacing w:before="240" w:after="0"/>
        <w:jc w:val="both"/>
        <w:rPr/>
      </w:pPr>
      <w:r>
        <w:rPr/>
        <w:t>“</w:t>
      </w:r>
      <w:r>
        <w:rPr>
          <w:rFonts w:ascii="Times New Roman" w:hAnsi="Times New Roman"/>
          <w:sz w:val="24"/>
          <w:u w:val="single"/>
        </w:rPr>
        <w:t>Bail-In Action</w:t>
      </w:r>
      <w:r>
        <w:rPr>
          <w:rFonts w:ascii="Times New Roman" w:hAnsi="Times New Roman"/>
          <w:sz w:val="24"/>
        </w:rPr>
        <w:t xml:space="preserve">” shall mean the exercise of any Write-Down and Conversion Powers by the applicable Resolution Authority in respect of any liability of an Affected Financial Institution. </w:t>
      </w:r>
    </w:p>
    <w:p>
      <w:pPr>
        <w:pStyle w:val="TextBody"/>
        <w:bidi w:val="0"/>
        <w:spacing w:before="240" w:after="0"/>
        <w:jc w:val="both"/>
        <w:rPr/>
      </w:pPr>
      <w:r>
        <w:rPr/>
        <w:t>“</w:t>
      </w:r>
      <w:r>
        <w:rPr>
          <w:rFonts w:ascii="Times New Roman" w:hAnsi="Times New Roman"/>
          <w:sz w:val="24"/>
          <w:u w:val="single"/>
        </w:rPr>
        <w:t>Bail-In Legislation</w:t>
      </w:r>
      <w:r>
        <w:rPr>
          <w:rFonts w:ascii="Times New Roman" w:hAnsi="Times New Roman"/>
          <w:sz w:val="24"/>
        </w:rPr>
        <w:t xml:space="preserve">” shall mean,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both"/>
        <w:rPr/>
      </w:pPr>
      <w:r>
        <w:rPr/>
        <w:t>“</w:t>
      </w:r>
      <w:r>
        <w:rPr>
          <w:rFonts w:ascii="Times New Roman" w:hAnsi="Times New Roman"/>
          <w:sz w:val="24"/>
          <w:u w:val="single"/>
        </w:rPr>
        <w:t>Base Rate</w:t>
      </w:r>
      <w:r>
        <w:rPr>
          <w:rFonts w:ascii="Times New Roman" w:hAnsi="Times New Roman"/>
          <w:sz w:val="24"/>
        </w:rPr>
        <w:t>” shall mean for any day a fluctuating rate per annum equal to the higher of (a) the Federal Funds Rate plus 1/2 of 1%, (b) the Prime Rate in effect on such day and (c)</w:t>
      </w:r>
      <w:r>
        <w:rPr>
          <w:rFonts w:ascii="Times New Roman" w:hAnsi="Times New Roman"/>
          <w:strike/>
          <w:color w:val="FF0000"/>
          <w:sz w:val="24"/>
        </w:rPr>
        <w:t xml:space="preserve"> Adjusted </w:t>
      </w:r>
      <w:r>
        <w:rPr>
          <w:rFonts w:ascii="Times New Roman" w:hAnsi="Times New Roman"/>
          <w:sz w:val="24"/>
        </w:rPr>
        <w:t xml:space="preserve">Term SOFR for a one -month tenor in effect on such day </w:t>
      </w:r>
      <w:r>
        <w:rPr>
          <w:rFonts w:ascii="Times New Roman" w:hAnsi="Times New Roman"/>
          <w:sz w:val="24"/>
          <w:u w:val="single"/>
        </w:rPr>
        <w:t>plus</w:t>
      </w:r>
      <w:r>
        <w:rPr>
          <w:rFonts w:ascii="Times New Roman" w:hAnsi="Times New Roman"/>
          <w:sz w:val="24"/>
        </w:rPr>
        <w:t xml:space="preserve"> 1.00%. Any change in the Base Rate due to a change in the Prime Rate, the Federal Funds Rate or </w:t>
      </w:r>
      <w:r>
        <w:rPr>
          <w:rFonts w:ascii="Times New Roman" w:hAnsi="Times New Roman"/>
          <w:strike/>
          <w:color w:val="FF0000"/>
          <w:sz w:val="24"/>
        </w:rPr>
        <w:t xml:space="preserve">Adjusted </w:t>
      </w:r>
      <w:r>
        <w:rPr>
          <w:rFonts w:ascii="Times New Roman" w:hAnsi="Times New Roman"/>
          <w:sz w:val="24"/>
        </w:rPr>
        <w:t xml:space="preserve">Term SOFR shall be effective from and including the effective date of such change in the Prime Rate, the Federal Funds Rate or </w:t>
      </w:r>
      <w:r>
        <w:rPr>
          <w:rFonts w:ascii="Times New Roman" w:hAnsi="Times New Roman"/>
          <w:strike/>
          <w:color w:val="FF0000"/>
          <w:sz w:val="24"/>
        </w:rPr>
        <w:t xml:space="preserve">Adjusted </w:t>
      </w:r>
      <w:r>
        <w:rPr>
          <w:rFonts w:ascii="Times New Roman" w:hAnsi="Times New Roman"/>
          <w:sz w:val="24"/>
        </w:rPr>
        <w:t xml:space="preserve">Term SOFR, respectively. </w:t>
      </w:r>
    </w:p>
    <w:p>
      <w:pPr>
        <w:pStyle w:val="TextBody"/>
        <w:bidi w:val="0"/>
        <w:spacing w:before="240" w:after="0"/>
        <w:jc w:val="both"/>
        <w:rPr/>
      </w:pPr>
      <w:r>
        <w:rPr/>
        <w:t>“</w:t>
      </w:r>
      <w:r>
        <w:rPr>
          <w:rFonts w:ascii="Times New Roman" w:hAnsi="Times New Roman"/>
          <w:sz w:val="24"/>
          <w:u w:val="single"/>
        </w:rPr>
        <w:t>Base Rate Advance</w:t>
      </w:r>
      <w:r>
        <w:rPr>
          <w:rFonts w:ascii="Times New Roman" w:hAnsi="Times New Roman"/>
          <w:sz w:val="24"/>
        </w:rPr>
        <w:t xml:space="preserve">” shall mean an Advance which the Borrower requests to be made as a Base Rate Advance or is Converted to a Base Rate Advance, in accordance with the provisions of Section 2.2 hereof, and which shall be in a principal amount of at least $1,000,000.00 and in an integral multiple of $500,000.00. </w:t>
      </w:r>
    </w:p>
    <w:p>
      <w:pPr>
        <w:pStyle w:val="TextBody"/>
        <w:bidi w:val="0"/>
        <w:spacing w:before="240" w:after="0"/>
        <w:jc w:val="both"/>
        <w:rPr/>
      </w:pPr>
      <w:r>
        <w:rPr/>
        <w:t>“</w:t>
      </w:r>
      <w:r>
        <w:rPr>
          <w:rFonts w:ascii="Times New Roman" w:hAnsi="Times New Roman"/>
          <w:sz w:val="24"/>
          <w:u w:val="single"/>
        </w:rPr>
        <w:t>Base Rate Basis</w:t>
      </w:r>
      <w:r>
        <w:rPr>
          <w:rFonts w:ascii="Times New Roman" w:hAnsi="Times New Roman"/>
          <w:sz w:val="24"/>
        </w:rPr>
        <w:t xml:space="preserve">” shall mean a simple interest rate equal to the sum of (i) the Base Rate and (ii) the Applicable Margin applicable to Base Rate Advances for the applicable Loans. The Base Rate Basis shall be adjusted automatically as of the opening of business on the effective date of each change in the Base Rate to account for such change, and shall also be adjusted to reflect changes of the Applicable Margin applicable to Base Rate Advances. </w:t>
      </w:r>
    </w:p>
    <w:p>
      <w:pPr>
        <w:pStyle w:val="TextBody"/>
        <w:bidi w:val="0"/>
        <w:spacing w:before="240" w:after="0"/>
        <w:jc w:val="both"/>
        <w:rPr/>
      </w:pPr>
      <w:r>
        <w:rPr/>
        <w:t>“</w:t>
      </w:r>
      <w:r>
        <w:rPr>
          <w:rFonts w:ascii="Times New Roman" w:hAnsi="Times New Roman"/>
          <w:sz w:val="24"/>
          <w:u w:val="single"/>
        </w:rPr>
        <w:t>Base Rate Loan</w:t>
      </w:r>
      <w:r>
        <w:rPr>
          <w:rFonts w:ascii="Times New Roman" w:hAnsi="Times New Roman"/>
          <w:sz w:val="24"/>
        </w:rPr>
        <w:t xml:space="preserve">” shall mean a Loan that bears interest based on the Base Rate. </w:t>
      </w:r>
    </w:p>
    <w:p>
      <w:pPr>
        <w:pStyle w:val="TextBody"/>
        <w:bidi w:val="0"/>
        <w:spacing w:before="240" w:after="0"/>
        <w:jc w:val="both"/>
        <w:rPr/>
      </w:pPr>
      <w:r>
        <w:rPr/>
        <w:t>“</w:t>
      </w:r>
      <w:r>
        <w:rPr>
          <w:rFonts w:ascii="Times New Roman" w:hAnsi="Times New Roman"/>
          <w:sz w:val="24"/>
          <w:u w:val="single"/>
        </w:rPr>
        <w:t>Base Rate Term SOFR Determination Day</w:t>
      </w:r>
      <w:r>
        <w:rPr>
          <w:rFonts w:ascii="Times New Roman" w:hAnsi="Times New Roman"/>
          <w:sz w:val="24"/>
        </w:rPr>
        <w:t xml:space="preserve">” has the meaning specified in the definition of “Term SOFR”. </w:t>
      </w:r>
    </w:p>
    <w:p>
      <w:pPr>
        <w:pStyle w:val="TextBody"/>
        <w:bidi w:val="0"/>
        <w:spacing w:before="240" w:after="0"/>
        <w:jc w:val="both"/>
        <w:rPr/>
      </w:pPr>
      <w:r>
        <w:rPr/>
        <w:t>“</w:t>
      </w:r>
      <w:r>
        <w:rPr>
          <w:rFonts w:ascii="Times New Roman" w:hAnsi="Times New Roman"/>
          <w:sz w:val="24"/>
          <w:u w:val="single"/>
        </w:rPr>
        <w:t>Benchmark</w:t>
      </w:r>
      <w:r>
        <w:rPr>
          <w:rFonts w:ascii="Times New Roman" w:hAnsi="Times New Roman"/>
          <w:sz w:val="24"/>
        </w:rPr>
        <w:t xml:space="preserve">” shall mean, initially, the Term SOFR Reference Rate; </w:t>
      </w:r>
      <w:r>
        <w:rPr>
          <w:rFonts w:ascii="Times New Roman" w:hAnsi="Times New Roman"/>
          <w:sz w:val="24"/>
          <w:u w:val="single"/>
        </w:rPr>
        <w:t>provided</w:t>
      </w:r>
      <w:r>
        <w:rPr>
          <w:rFonts w:ascii="Times New Roman" w:hAnsi="Times New Roman"/>
          <w:sz w:val="24"/>
        </w:rPr>
        <w:t xml:space="preserve">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Section 10.1(b). </w:t>
      </w:r>
    </w:p>
    <w:p>
      <w:pPr>
        <w:pStyle w:val="TextBody"/>
        <w:bidi w:val="0"/>
        <w:spacing w:before="240" w:after="0"/>
        <w:jc w:val="both"/>
        <w:rPr/>
      </w:pPr>
      <w:r>
        <w:rPr/>
        <w:t>“</w:t>
      </w:r>
      <w:r>
        <w:rPr>
          <w:rFonts w:ascii="Times New Roman" w:hAnsi="Times New Roman"/>
          <w:sz w:val="24"/>
          <w:u w:val="single"/>
        </w:rPr>
        <w:t>Benchmark Replacement</w:t>
      </w:r>
      <w:r>
        <w:rPr>
          <w:rFonts w:ascii="Times New Roman" w:hAnsi="Times New Roman"/>
          <w:sz w:val="24"/>
        </w:rPr>
        <w:t xml:space="preserve">” shall mean, with respect to any Benchmark Transition Event, the first alternative set forth in the order below that can be determined by the Administrative Agent for the applicable Benchmark Replacement Date: </w:t>
      </w:r>
    </w:p>
    <w:p>
      <w:pPr>
        <w:pStyle w:val="TextBody"/>
        <w:bidi w:val="0"/>
        <w:spacing w:before="240" w:after="0"/>
        <w:jc w:val="both"/>
        <w:rPr>
          <w:rFonts w:ascii="Times New Roman" w:hAnsi="Times New Roman"/>
          <w:sz w:val="24"/>
        </w:rPr>
      </w:pPr>
      <w:r>
        <w:rPr>
          <w:rFonts w:ascii="Times New Roman" w:hAnsi="Times New Roman"/>
          <w:sz w:val="24"/>
        </w:rPr>
        <w:t xml:space="preserve">(a) the sum of (i) Daily Simple SOFR and (ii) 0.10% (10 basis points); or </w:t>
      </w:r>
    </w:p>
    <w:p>
      <w:pPr>
        <w:pStyle w:val="TextBody"/>
        <w:bidi w:val="0"/>
        <w:spacing w:before="240" w:after="0"/>
        <w:jc w:val="both"/>
        <w:rPr>
          <w:rFonts w:ascii="Times New Roman" w:hAnsi="Times New Roman"/>
          <w:sz w:val="24"/>
        </w:rPr>
      </w:pPr>
      <w:r>
        <w:rPr>
          <w:rFonts w:ascii="Times New Roman" w:hAnsi="Times New Roman"/>
          <w:sz w:val="24"/>
        </w:rPr>
        <w:t xml:space="preserve">(b) the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If the Benchmark Replacement as determined pursuant to clause (a) or (b) above would be less than the Floor, the Benchmark Replacement will be deemed to be the Floor for the purposes of this Agreement and the other Loan Documents. </w:t>
      </w:r>
    </w:p>
    <w:p>
      <w:pPr>
        <w:pStyle w:val="TextBody"/>
        <w:bidi w:val="0"/>
        <w:spacing w:before="240" w:after="0"/>
        <w:jc w:val="both"/>
        <w:rPr/>
      </w:pPr>
      <w:r>
        <w:rPr/>
        <w:t>“</w:t>
      </w:r>
      <w:r>
        <w:rPr>
          <w:rFonts w:ascii="Times New Roman" w:hAnsi="Times New Roman"/>
          <w:sz w:val="24"/>
          <w:u w:val="single"/>
        </w:rPr>
        <w:t>Benchmark Replacement Adjustment</w:t>
      </w:r>
      <w:r>
        <w:rPr>
          <w:rFonts w:ascii="Times New Roman" w:hAnsi="Times New Roman"/>
          <w:sz w:val="24"/>
        </w:rPr>
        <w:t xml:space="preserve">”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both"/>
        <w:rPr/>
      </w:pPr>
      <w:r>
        <w:rPr/>
        <w:t>“</w:t>
      </w:r>
      <w:r>
        <w:rPr>
          <w:rFonts w:ascii="Times New Roman" w:hAnsi="Times New Roman"/>
          <w:sz w:val="24"/>
          <w:u w:val="single"/>
        </w:rPr>
        <w:t>Benchmark Replacement Date</w:t>
      </w:r>
      <w:r>
        <w:rPr>
          <w:rFonts w:ascii="Times New Roman" w:hAnsi="Times New Roman"/>
          <w:sz w:val="24"/>
        </w:rPr>
        <w:t xml:space="preserve">” shall mean a date and time determined by the Administrative Agent, which date shall be no later than the earliest to occur of the following events with respect to the then-current Benchmark: </w:t>
      </w:r>
    </w:p>
    <w:p>
      <w:pPr>
        <w:pStyle w:val="TextBody"/>
        <w:bidi w:val="0"/>
        <w:spacing w:before="240" w:after="0"/>
        <w:jc w:val="both"/>
        <w:rPr>
          <w:rFonts w:ascii="Times New Roman" w:hAnsi="Times New Roman"/>
          <w:sz w:val="24"/>
        </w:rPr>
      </w:pPr>
      <w:r>
        <w:rPr>
          <w:rFonts w:ascii="Times New Roman" w:hAnsi="Times New Roman"/>
          <w:sz w:val="24"/>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both"/>
        <w:rPr>
          <w:rFonts w:ascii="Times New Roman" w:hAnsi="Times New Roman"/>
          <w:sz w:val="24"/>
        </w:rPr>
      </w:pPr>
      <w:r>
        <w:rPr>
          <w:rFonts w:ascii="Times New Roman" w:hAnsi="Times New Roman"/>
          <w:sz w:val="24"/>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sz w:val="24"/>
          <w:u w:val="single"/>
        </w:rPr>
        <w:t>provided</w:t>
      </w:r>
      <w:r>
        <w:rPr>
          <w:rFonts w:ascii="Times New Roman" w:hAnsi="Times New Roman"/>
          <w:sz w:val="24"/>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both"/>
        <w:rPr>
          <w:rFonts w:ascii="Times New Roman" w:hAnsi="Times New Roman"/>
          <w:sz w:val="24"/>
        </w:rPr>
      </w:pPr>
      <w:r>
        <w:rPr>
          <w:rFonts w:ascii="Times New Roman" w:hAnsi="Times New Roman"/>
          <w:sz w:val="24"/>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both"/>
        <w:rPr/>
      </w:pPr>
      <w:r>
        <w:rPr/>
        <w:t>“</w:t>
      </w:r>
      <w:r>
        <w:rPr>
          <w:rFonts w:ascii="Times New Roman" w:hAnsi="Times New Roman"/>
          <w:sz w:val="24"/>
          <w:u w:val="single"/>
        </w:rPr>
        <w:t>Benchmark Transition Event</w:t>
      </w:r>
      <w:r>
        <w:rPr>
          <w:rFonts w:ascii="Times New Roman" w:hAnsi="Times New Roman"/>
          <w:sz w:val="24"/>
        </w:rPr>
        <w:t xml:space="preserve">” shall mean the occurrence of one or more of the following events with respect to the then-current Benchmark: </w:t>
      </w:r>
    </w:p>
    <w:p>
      <w:pPr>
        <w:pStyle w:val="TextBody"/>
        <w:bidi w:val="0"/>
        <w:spacing w:before="240" w:after="0"/>
        <w:jc w:val="both"/>
        <w:rPr>
          <w:rFonts w:ascii="Times New Roman" w:hAnsi="Times New Roman"/>
          <w:sz w:val="24"/>
        </w:rPr>
      </w:pPr>
      <w:r>
        <w:rPr>
          <w:rFonts w:ascii="Times New Roman" w:hAnsi="Times New Roman"/>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4"/>
          <w:u w:val="single"/>
        </w:rPr>
        <w:t>provided</w:t>
      </w:r>
      <w:r>
        <w:rPr>
          <w:rFonts w:ascii="Times New Roman" w:hAnsi="Times New Roman"/>
          <w:sz w:val="24"/>
        </w:rPr>
        <w:t xml:space="preserve"> that, at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time of such statement or publication, there is no successor administrator that will continue to provide any Available Tenor of such Benchmark (or such component thereof); </w:t>
      </w:r>
    </w:p>
    <w:p>
      <w:pPr>
        <w:pStyle w:val="TextBody"/>
        <w:bidi w:val="0"/>
        <w:spacing w:before="240" w:after="0"/>
        <w:jc w:val="both"/>
        <w:rPr>
          <w:rFonts w:ascii="Times New Roman" w:hAnsi="Times New Roman"/>
          <w:sz w:val="24"/>
        </w:rPr>
      </w:pPr>
      <w:r>
        <w:rPr>
          <w:rFonts w:ascii="Times New Roman" w:hAnsi="Times New Roman"/>
          <w:sz w:val="24"/>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sz w:val="24"/>
          <w:u w:val="single"/>
        </w:rPr>
        <w:t>provided</w:t>
      </w:r>
      <w:r>
        <w:rPr>
          <w:rFonts w:ascii="Times New Roman" w:hAnsi="Times New Roman"/>
          <w:sz w:val="24"/>
        </w:rPr>
        <w:t xml:space="preserve"> that, at the time of such statement or publication, there is no successor administrator that will continue to provide any Available Tenor of such Benchmark (or such component thereof); or </w:t>
      </w:r>
    </w:p>
    <w:p>
      <w:pPr>
        <w:pStyle w:val="TextBody"/>
        <w:bidi w:val="0"/>
        <w:spacing w:before="240" w:after="0"/>
        <w:jc w:val="both"/>
        <w:rPr>
          <w:rFonts w:ascii="Times New Roman" w:hAnsi="Times New Roman"/>
          <w:sz w:val="24"/>
        </w:rPr>
      </w:pPr>
      <w:r>
        <w:rPr>
          <w:rFonts w:ascii="Times New Roman" w:hAnsi="Times New Roman"/>
          <w:sz w:val="24"/>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240" w:after="0"/>
        <w:jc w:val="both"/>
        <w:rPr>
          <w:rFonts w:ascii="Times New Roman" w:hAnsi="Times New Roman"/>
          <w:sz w:val="24"/>
        </w:rPr>
      </w:pPr>
      <w:r>
        <w:rPr>
          <w:rFonts w:ascii="Times New Roman" w:hAnsi="Times New Roman"/>
          <w:sz w:val="24"/>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both"/>
        <w:rPr/>
      </w:pPr>
      <w:r>
        <w:rPr/>
        <w:t>“</w:t>
      </w:r>
      <w:r>
        <w:rPr>
          <w:rFonts w:ascii="Times New Roman" w:hAnsi="Times New Roman"/>
          <w:sz w:val="24"/>
          <w:u w:val="single"/>
        </w:rPr>
        <w:t>Benchmark Unavailability Period</w:t>
      </w:r>
      <w:r>
        <w:rPr>
          <w:rFonts w:ascii="Times New Roman" w:hAnsi="Times New Roman"/>
          <w:sz w:val="24"/>
        </w:rPr>
        <w:t xml:space="preserve">” shall mean, the period (if any) (a) beginning at the time that a Benchmark Replacement Date has occurred if, at such time, no Benchmark Replacement has replaced the then-current Benchmark for all purposes hereunder and under any Loan Document in accordance with Section 10.1 and (b) ending at the time that a Benchmark Replacement has replaced the then-current Benchmark for all purposes hereunder and under any Loan Document in accordance with Section 10.1. </w:t>
      </w:r>
    </w:p>
    <w:p>
      <w:pPr>
        <w:pStyle w:val="TextBody"/>
        <w:bidi w:val="0"/>
        <w:spacing w:before="240" w:after="0"/>
        <w:jc w:val="both"/>
        <w:rPr/>
      </w:pPr>
      <w:r>
        <w:rPr/>
        <w:t>“</w:t>
      </w:r>
      <w:r>
        <w:rPr>
          <w:rFonts w:ascii="Times New Roman" w:hAnsi="Times New Roman"/>
          <w:sz w:val="24"/>
          <w:u w:val="single"/>
        </w:rPr>
        <w:t>Beneficial Ownership Certification</w:t>
      </w:r>
      <w:r>
        <w:rPr>
          <w:rFonts w:ascii="Times New Roman" w:hAnsi="Times New Roman"/>
          <w:sz w:val="24"/>
        </w:rPr>
        <w:t xml:space="preserve">” shall mean a certification regarding beneficial ownership or control as required by the Beneficial Ownership Regulation. </w:t>
      </w:r>
    </w:p>
    <w:p>
      <w:pPr>
        <w:pStyle w:val="TextBody"/>
        <w:bidi w:val="0"/>
        <w:spacing w:before="240" w:after="0"/>
        <w:jc w:val="both"/>
        <w:rPr/>
      </w:pPr>
      <w:r>
        <w:rPr/>
        <w:t>“</w:t>
      </w:r>
      <w:r>
        <w:rPr>
          <w:rFonts w:ascii="Times New Roman" w:hAnsi="Times New Roman"/>
          <w:sz w:val="24"/>
          <w:u w:val="single"/>
        </w:rPr>
        <w:t>Beneficial Ownership Regulation</w:t>
      </w:r>
      <w:r>
        <w:rPr>
          <w:rFonts w:ascii="Times New Roman" w:hAnsi="Times New Roman"/>
          <w:sz w:val="24"/>
        </w:rPr>
        <w:t xml:space="preserve">” shall mean 31 C.F.R. § 1010.230. </w:t>
      </w:r>
    </w:p>
    <w:p>
      <w:pPr>
        <w:pStyle w:val="TextBody"/>
        <w:bidi w:val="0"/>
        <w:spacing w:before="240" w:after="0"/>
        <w:jc w:val="both"/>
        <w:rPr/>
      </w:pPr>
      <w:r>
        <w:rPr/>
        <w:t>“</w:t>
      </w:r>
      <w:r>
        <w:rPr>
          <w:rFonts w:ascii="Times New Roman" w:hAnsi="Times New Roman"/>
          <w:sz w:val="24"/>
          <w:u w:val="single"/>
        </w:rPr>
        <w:t>Borrower</w:t>
      </w:r>
      <w:r>
        <w:rPr>
          <w:rFonts w:ascii="Times New Roman" w:hAnsi="Times New Roman"/>
          <w:sz w:val="24"/>
        </w:rPr>
        <w:t xml:space="preserve">” shall mean American Tower Corporation, a Delaware corporation. </w:t>
      </w:r>
    </w:p>
    <w:p>
      <w:pPr>
        <w:pStyle w:val="TextBody"/>
        <w:bidi w:val="0"/>
        <w:spacing w:before="240" w:after="0"/>
        <w:jc w:val="both"/>
        <w:rPr/>
      </w:pPr>
      <w:r>
        <w:rPr/>
        <w:t>“</w:t>
      </w:r>
      <w:r>
        <w:rPr>
          <w:rFonts w:ascii="Times New Roman" w:hAnsi="Times New Roman"/>
          <w:sz w:val="24"/>
          <w:u w:val="single"/>
        </w:rPr>
        <w:t>Borrower Materials</w:t>
      </w:r>
      <w:r>
        <w:rPr>
          <w:rFonts w:ascii="Times New Roman" w:hAnsi="Times New Roman"/>
          <w:sz w:val="24"/>
        </w:rPr>
        <w:t xml:space="preserve">” shall have the meaning ascribed thereto in Section 6.6 hereof. </w:t>
      </w:r>
    </w:p>
    <w:p>
      <w:pPr>
        <w:pStyle w:val="TextBody"/>
        <w:bidi w:val="0"/>
        <w:spacing w:before="240" w:after="0"/>
        <w:jc w:val="both"/>
        <w:rPr/>
      </w:pPr>
      <w:r>
        <w:rPr/>
        <w:t>“</w:t>
      </w:r>
      <w:r>
        <w:rPr>
          <w:rFonts w:ascii="Times New Roman" w:hAnsi="Times New Roman"/>
          <w:sz w:val="24"/>
          <w:u w:val="single"/>
        </w:rPr>
        <w:t>Bridge Commitment Letter</w:t>
      </w:r>
      <w:r>
        <w:rPr>
          <w:rFonts w:ascii="Times New Roman" w:hAnsi="Times New Roman"/>
          <w:sz w:val="24"/>
        </w:rPr>
        <w:t xml:space="preserve">” shall mean the commitment letter with respect to the bridge facility dated November 14, 2021 between the Borrower and JPMorgan Chase Bank, N.A. </w:t>
      </w:r>
    </w:p>
    <w:p>
      <w:pPr>
        <w:pStyle w:val="TextBody"/>
        <w:bidi w:val="0"/>
        <w:spacing w:before="240" w:after="0"/>
        <w:jc w:val="both"/>
        <w:rPr/>
      </w:pPr>
      <w:r>
        <w:rPr/>
        <w:t>“</w:t>
      </w:r>
      <w:r>
        <w:rPr>
          <w:rFonts w:ascii="Times New Roman" w:hAnsi="Times New Roman"/>
          <w:sz w:val="24"/>
          <w:u w:val="single"/>
        </w:rPr>
        <w:t>Bridge Facility</w:t>
      </w:r>
      <w:r>
        <w:rPr>
          <w:rFonts w:ascii="Times New Roman" w:hAnsi="Times New Roman"/>
          <w:sz w:val="24"/>
        </w:rPr>
        <w:t xml:space="preserve">” shall mean the senior unsecured bridge facility of the Borrower in an aggregate principal amount of up to $10.5 billion described in the Bridge Commitment Letter.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Business Day</w:t>
      </w:r>
      <w:r>
        <w:rPr>
          <w:rFonts w:ascii="Times New Roman" w:hAnsi="Times New Roman"/>
          <w:sz w:val="24"/>
        </w:rPr>
        <w:t xml:space="preserve">” shall mean any day other than a Saturday, Sunday or other day on which commercial banks are authorized to close under the laws of, or are in fact closed in, the State of New York. </w:t>
      </w:r>
    </w:p>
    <w:p>
      <w:pPr>
        <w:pStyle w:val="TextBody"/>
        <w:bidi w:val="0"/>
        <w:spacing w:before="240" w:after="0"/>
        <w:jc w:val="both"/>
        <w:rPr/>
      </w:pPr>
      <w:r>
        <w:rPr/>
        <w:t>“</w:t>
      </w:r>
      <w:r>
        <w:rPr>
          <w:rFonts w:ascii="Times New Roman" w:hAnsi="Times New Roman"/>
          <w:sz w:val="24"/>
          <w:u w:val="single"/>
        </w:rPr>
        <w:t>Buyer</w:t>
      </w:r>
      <w:r>
        <w:rPr>
          <w:rFonts w:ascii="Times New Roman" w:hAnsi="Times New Roman"/>
          <w:sz w:val="24"/>
        </w:rPr>
        <w:t xml:space="preserve">” shall mean American Tower Investments LLC, a California limited liability company and a wholly-owned Subsidiary of the Borrower. </w:t>
      </w:r>
    </w:p>
    <w:p>
      <w:pPr>
        <w:pStyle w:val="TextBody"/>
        <w:bidi w:val="0"/>
        <w:spacing w:before="240" w:after="0"/>
        <w:jc w:val="both"/>
        <w:rPr/>
      </w:pPr>
      <w:r>
        <w:rPr/>
        <w:t>“</w:t>
      </w:r>
      <w:r>
        <w:rPr>
          <w:rFonts w:ascii="Times New Roman" w:hAnsi="Times New Roman"/>
          <w:sz w:val="24"/>
          <w:u w:val="single"/>
        </w:rPr>
        <w:t>Capitalized Lease Obligation</w:t>
      </w:r>
      <w:r>
        <w:rPr>
          <w:rFonts w:ascii="Times New Roman" w:hAnsi="Times New Roman"/>
          <w:sz w:val="24"/>
        </w:rPr>
        <w:t xml:space="preserve">” shall mean that portion of any obligation of a Person as lessee under a lease which at the time would be required to be capitalized on the balance sheet of such lessee in accordance with GAAP. </w:t>
      </w:r>
    </w:p>
    <w:p>
      <w:pPr>
        <w:pStyle w:val="TextBody"/>
        <w:bidi w:val="0"/>
        <w:spacing w:before="240" w:after="0"/>
        <w:jc w:val="both"/>
        <w:rPr/>
      </w:pPr>
      <w:r>
        <w:rPr/>
        <w:t>“</w:t>
      </w:r>
      <w:r>
        <w:rPr>
          <w:rFonts w:ascii="Times New Roman" w:hAnsi="Times New Roman"/>
          <w:sz w:val="24"/>
          <w:u w:val="single"/>
        </w:rPr>
        <w:t>Cash Equivalents</w:t>
      </w:r>
      <w:r>
        <w:rPr>
          <w:rFonts w:ascii="Times New Roman" w:hAnsi="Times New Roman"/>
          <w:sz w:val="24"/>
        </w:rPr>
        <w:t xml:space="preserve">” shall mean ‘cash equivalents’ as defined under and determined in accordance with generally accepted accounting principles. </w:t>
      </w:r>
    </w:p>
    <w:p>
      <w:pPr>
        <w:pStyle w:val="TextBody"/>
        <w:bidi w:val="0"/>
        <w:spacing w:before="240" w:after="0"/>
        <w:jc w:val="both"/>
        <w:rPr/>
      </w:pPr>
      <w:r>
        <w:rPr/>
        <w:t>“</w:t>
      </w:r>
      <w:r>
        <w:rPr>
          <w:rFonts w:ascii="Times New Roman" w:hAnsi="Times New Roman"/>
          <w:sz w:val="24"/>
          <w:u w:val="single"/>
        </w:rPr>
        <w:t>Change of Control</w:t>
      </w:r>
      <w:r>
        <w:rPr>
          <w:rFonts w:ascii="Times New Roman" w:hAnsi="Times New Roman"/>
          <w:sz w:val="24"/>
        </w:rPr>
        <w:t xml:space="preserve">” shall mean (a) the acquisition, directly or indirectly, by any Person or group (as such term is used in Section 13(d)(3) of the Exchange Act) of more than fifty percent (50%) of the voting power of the voting stock of either the Borrower (if the Borrower is not a Subsidiary of any Person) or of the ultimate parent entity of which the Borrower is a Subsidiary (if the Borrower is a Subsidiary of any Person), as the case may be, by way of merger or consolidation or otherwise, or (b) a change shall occur in a majority of the members of the Borrower’s board of directors (including the Chairman and President) within a year-long period such that such majority shall no longer consist of Continuing Directors. </w:t>
      </w:r>
    </w:p>
    <w:p>
      <w:pPr>
        <w:pStyle w:val="TextBody"/>
        <w:bidi w:val="0"/>
        <w:spacing w:before="240" w:after="0"/>
        <w:jc w:val="both"/>
        <w:rPr/>
      </w:pPr>
      <w:r>
        <w:rPr/>
        <w:t>“</w:t>
      </w:r>
      <w:r>
        <w:rPr>
          <w:rFonts w:ascii="Times New Roman" w:hAnsi="Times New Roman"/>
          <w:sz w:val="24"/>
          <w:u w:val="single"/>
        </w:rPr>
        <w:t>Code</w:t>
      </w:r>
      <w:r>
        <w:rPr>
          <w:rFonts w:ascii="Times New Roman" w:hAnsi="Times New Roman"/>
          <w:sz w:val="24"/>
        </w:rPr>
        <w:t xml:space="preserve">” shall mean the Internal Revenue Code of 1986, as amended from time to time. </w:t>
      </w:r>
    </w:p>
    <w:p>
      <w:pPr>
        <w:pStyle w:val="TextBody"/>
        <w:bidi w:val="0"/>
        <w:spacing w:before="240" w:after="0"/>
        <w:jc w:val="both"/>
        <w:rPr/>
      </w:pPr>
      <w:r>
        <w:rPr/>
        <w:t>“</w:t>
      </w:r>
      <w:r>
        <w:rPr>
          <w:rFonts w:ascii="Times New Roman" w:hAnsi="Times New Roman"/>
          <w:sz w:val="24"/>
          <w:u w:val="single"/>
        </w:rPr>
        <w:t>Commitments</w:t>
      </w:r>
      <w:r>
        <w:rPr>
          <w:rFonts w:ascii="Times New Roman" w:hAnsi="Times New Roman"/>
          <w:sz w:val="24"/>
        </w:rPr>
        <w:t xml:space="preserve">” shall mean the Term Loan Commitments and the Incremental Term Loan Commitments. </w:t>
      </w:r>
    </w:p>
    <w:p>
      <w:pPr>
        <w:pStyle w:val="TextBody"/>
        <w:bidi w:val="0"/>
        <w:spacing w:before="240" w:after="0"/>
        <w:jc w:val="both"/>
        <w:rPr/>
      </w:pPr>
      <w:r>
        <w:rPr/>
        <w:t>“</w:t>
      </w:r>
      <w:r>
        <w:rPr>
          <w:rFonts w:ascii="Times New Roman" w:hAnsi="Times New Roman"/>
          <w:sz w:val="24"/>
          <w:u w:val="single"/>
        </w:rPr>
        <w:t>Communications Act</w:t>
      </w:r>
      <w:r>
        <w:rPr>
          <w:rFonts w:ascii="Times New Roman" w:hAnsi="Times New Roman"/>
          <w:sz w:val="24"/>
        </w:rPr>
        <w:t xml:space="preserve">” shall mean the Communications Act of 1934, and any similar or successor Federal statute, and the rules and regulations of the FCC or other similar or successor agency thereunder, all as the same may be in effect from time to time. </w:t>
      </w:r>
    </w:p>
    <w:p>
      <w:pPr>
        <w:pStyle w:val="TextBody"/>
        <w:bidi w:val="0"/>
        <w:spacing w:before="240" w:after="0"/>
        <w:jc w:val="both"/>
        <w:rPr/>
      </w:pPr>
      <w:r>
        <w:rPr/>
        <w:t>“</w:t>
      </w:r>
      <w:r>
        <w:rPr>
          <w:rFonts w:ascii="Times New Roman" w:hAnsi="Times New Roman"/>
          <w:sz w:val="24"/>
          <w:u w:val="single"/>
        </w:rPr>
        <w:t>Conforming Changes</w:t>
      </w:r>
      <w:r>
        <w:rPr>
          <w:rFonts w:ascii="Times New Roman" w:hAnsi="Times New Roman"/>
          <w:sz w:val="24"/>
        </w:rPr>
        <w:t xml:space="preserve">” 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2.9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(in consultation with the Borrower) decides that adoption of any portion of such market practice is not administratively feasible or if the Administrative Agent determines (in consultation with the Borrower) that no market practice for the administration of any such rate exists, in such other manner of administration as the Administrative Agent decides (in consultation with the Borrower) is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reasonably necessary in connection with the administration of this Agreement and the other Loan Documents). </w:t>
      </w:r>
    </w:p>
    <w:p>
      <w:pPr>
        <w:pStyle w:val="TextBody"/>
        <w:bidi w:val="0"/>
        <w:spacing w:before="240" w:after="0"/>
        <w:jc w:val="both"/>
        <w:rPr/>
      </w:pPr>
      <w:r>
        <w:rPr/>
        <w:t>“</w:t>
      </w:r>
      <w:r>
        <w:rPr>
          <w:rFonts w:ascii="Times New Roman" w:hAnsi="Times New Roman"/>
          <w:sz w:val="24"/>
          <w:u w:val="single"/>
        </w:rPr>
        <w:t>Consolidated Total Assets</w:t>
      </w:r>
      <w:r>
        <w:rPr>
          <w:rFonts w:ascii="Times New Roman" w:hAnsi="Times New Roman"/>
          <w:sz w:val="24"/>
        </w:rPr>
        <w:t xml:space="preserve">” shall mean as of any date the total assets of the Borrower and its Subsidiaries on a consolidated basis shown on the consolidated balance sheet of the Borrower and its Subsidiaries as of such date and determined in accordance with GAAP. </w:t>
      </w:r>
    </w:p>
    <w:p>
      <w:pPr>
        <w:pStyle w:val="TextBody"/>
        <w:bidi w:val="0"/>
        <w:spacing w:before="240" w:after="0"/>
        <w:jc w:val="both"/>
        <w:rPr/>
      </w:pPr>
      <w:r>
        <w:rPr/>
        <w:t>“</w:t>
      </w:r>
      <w:r>
        <w:rPr>
          <w:rFonts w:ascii="Times New Roman" w:hAnsi="Times New Roman"/>
          <w:sz w:val="24"/>
          <w:u w:val="single"/>
        </w:rPr>
        <w:t>Continue</w:t>
      </w:r>
      <w:r>
        <w:rPr>
          <w:rFonts w:ascii="Times New Roman" w:hAnsi="Times New Roman"/>
          <w:sz w:val="24"/>
        </w:rPr>
        <w:t>”, “</w:t>
      </w:r>
      <w:r>
        <w:rPr>
          <w:rFonts w:ascii="Times New Roman" w:hAnsi="Times New Roman"/>
          <w:sz w:val="24"/>
          <w:u w:val="single"/>
        </w:rPr>
        <w:t>Continuation</w:t>
      </w:r>
      <w:r>
        <w:rPr>
          <w:rFonts w:ascii="Times New Roman" w:hAnsi="Times New Roman"/>
          <w:sz w:val="24"/>
        </w:rPr>
        <w:t>”, “</w:t>
      </w:r>
      <w:r>
        <w:rPr>
          <w:rFonts w:ascii="Times New Roman" w:hAnsi="Times New Roman"/>
          <w:sz w:val="24"/>
          <w:u w:val="single"/>
        </w:rPr>
        <w:t>Continuing</w:t>
      </w:r>
      <w:r>
        <w:rPr>
          <w:rFonts w:ascii="Times New Roman" w:hAnsi="Times New Roman"/>
          <w:sz w:val="24"/>
        </w:rPr>
        <w:t>” and “</w:t>
      </w:r>
      <w:r>
        <w:rPr>
          <w:rFonts w:ascii="Times New Roman" w:hAnsi="Times New Roman"/>
          <w:sz w:val="24"/>
          <w:u w:val="single"/>
        </w:rPr>
        <w:t>Continued</w:t>
      </w:r>
      <w:r>
        <w:rPr>
          <w:rFonts w:ascii="Times New Roman" w:hAnsi="Times New Roman"/>
          <w:sz w:val="24"/>
        </w:rPr>
        <w:t xml:space="preserve">” shall mean the continuation pursuant to Article 2 hereof of a SOFR Advance as a SOFR Advance from one Interest Period to a different Interest Period. </w:t>
      </w:r>
    </w:p>
    <w:p>
      <w:pPr>
        <w:pStyle w:val="TextBody"/>
        <w:bidi w:val="0"/>
        <w:spacing w:before="240" w:after="0"/>
        <w:jc w:val="both"/>
        <w:rPr/>
      </w:pPr>
      <w:r>
        <w:rPr/>
        <w:t>“</w:t>
      </w:r>
      <w:r>
        <w:rPr>
          <w:rFonts w:ascii="Times New Roman" w:hAnsi="Times New Roman"/>
          <w:sz w:val="24"/>
          <w:u w:val="single"/>
        </w:rPr>
        <w:t>Continuing Director</w:t>
      </w:r>
      <w:r>
        <w:rPr>
          <w:rFonts w:ascii="Times New Roman" w:hAnsi="Times New Roman"/>
          <w:sz w:val="24"/>
        </w:rPr>
        <w:t xml:space="preserve">” shall mean a director who either (a) was a member of the Borrower’s board of directors on the date of this Agreement, (b) becomes a member of the Borrower’s board of directors subsequent to the date of this Agreement and whose appointment, election or nomination for election by the Borrower’s stockholders is duly approved by a majority of the directors referred to in clause (a) above constituting at the time of such appointment, election or nomination at least a majority of that board, or (c) becomes a member of the Borrower’s board of directors subsequent to the date of this Agreement and whose appointment, election or nomination for election by the Borrower’s stockholders is duly approved by a majority of the directors referred to in clauses (a) and (b) above constituting at the time of such appointment, election or nomination at least a majority of that board. </w:t>
      </w:r>
    </w:p>
    <w:p>
      <w:pPr>
        <w:pStyle w:val="TextBody"/>
        <w:bidi w:val="0"/>
        <w:spacing w:before="240" w:after="0"/>
        <w:jc w:val="both"/>
        <w:rPr/>
      </w:pPr>
      <w:r>
        <w:rPr/>
        <w:t>“</w:t>
      </w:r>
      <w:r>
        <w:rPr>
          <w:rFonts w:ascii="Times New Roman" w:hAnsi="Times New Roman"/>
          <w:sz w:val="24"/>
          <w:u w:val="single"/>
        </w:rPr>
        <w:t>Convert</w:t>
      </w:r>
      <w:r>
        <w:rPr>
          <w:rFonts w:ascii="Times New Roman" w:hAnsi="Times New Roman"/>
          <w:sz w:val="24"/>
        </w:rPr>
        <w:t>”, “</w:t>
      </w:r>
      <w:r>
        <w:rPr>
          <w:rFonts w:ascii="Times New Roman" w:hAnsi="Times New Roman"/>
          <w:sz w:val="24"/>
          <w:u w:val="single"/>
        </w:rPr>
        <w:t>Conversion</w:t>
      </w:r>
      <w:r>
        <w:rPr>
          <w:rFonts w:ascii="Times New Roman" w:hAnsi="Times New Roman"/>
          <w:sz w:val="24"/>
        </w:rPr>
        <w:t>” and “</w:t>
      </w:r>
      <w:r>
        <w:rPr>
          <w:rFonts w:ascii="Times New Roman" w:hAnsi="Times New Roman"/>
          <w:sz w:val="24"/>
          <w:u w:val="single"/>
        </w:rPr>
        <w:t>Converted</w:t>
      </w:r>
      <w:r>
        <w:rPr>
          <w:rFonts w:ascii="Times New Roman" w:hAnsi="Times New Roman"/>
          <w:sz w:val="24"/>
        </w:rPr>
        <w:t xml:space="preserve">” shall mean a conversion pursuant to Article 2 hereof of a SOFR Advance into a Base Rate Advance or of a Base Rate Advance into a SOFR Advance, as applicable. </w:t>
      </w:r>
    </w:p>
    <w:p>
      <w:pPr>
        <w:pStyle w:val="TextBody"/>
        <w:bidi w:val="0"/>
        <w:spacing w:before="240" w:after="0"/>
        <w:jc w:val="both"/>
        <w:rPr/>
      </w:pPr>
      <w:r>
        <w:rPr/>
        <w:t>“</w:t>
      </w:r>
      <w:r>
        <w:rPr>
          <w:rFonts w:ascii="Times New Roman" w:hAnsi="Times New Roman"/>
          <w:sz w:val="24"/>
          <w:u w:val="single"/>
        </w:rPr>
        <w:t>Daily Simple SOFR</w:t>
      </w:r>
      <w:r>
        <w:rPr>
          <w:rFonts w:ascii="Times New Roman" w:hAnsi="Times New Roman"/>
          <w:sz w:val="24"/>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hAnsi="Times New Roman"/>
          <w:sz w:val="24"/>
          <w:u w:val="single"/>
        </w:rPr>
        <w:t>provided</w:t>
      </w:r>
      <w:r>
        <w:rPr>
          <w:rFonts w:ascii="Times New Roman" w:hAnsi="Times New Roman"/>
          <w:sz w:val="24"/>
        </w:rPr>
        <w:t xml:space="preserve"> 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240" w:after="0"/>
        <w:jc w:val="both"/>
        <w:rPr/>
      </w:pPr>
      <w:r>
        <w:rPr/>
        <w:t>“</w:t>
      </w:r>
      <w:r>
        <w:rPr>
          <w:rFonts w:ascii="Times New Roman" w:hAnsi="Times New Roman"/>
          <w:sz w:val="24"/>
          <w:u w:val="single"/>
        </w:rPr>
        <w:t>Debt Rating</w:t>
      </w:r>
      <w:r>
        <w:rPr>
          <w:rFonts w:ascii="Times New Roman" w:hAnsi="Times New Roman"/>
          <w:sz w:val="24"/>
        </w:rPr>
        <w:t xml:space="preserve">” shall mean, as of any date, the senior unsecured debt rating of the Borrower that has been most recently announced by S&amp;P, Moody’s or Fitch, as the case may be. </w:t>
      </w:r>
    </w:p>
    <w:p>
      <w:pPr>
        <w:pStyle w:val="TextBody"/>
        <w:bidi w:val="0"/>
        <w:spacing w:before="240" w:after="0"/>
        <w:jc w:val="both"/>
        <w:rPr/>
      </w:pPr>
      <w:r>
        <w:rPr/>
        <w:t>“</w:t>
      </w:r>
      <w:r>
        <w:rPr>
          <w:rFonts w:ascii="Times New Roman" w:hAnsi="Times New Roman"/>
          <w:sz w:val="24"/>
          <w:u w:val="single"/>
        </w:rPr>
        <w:t>Default</w:t>
      </w:r>
      <w:r>
        <w:rPr>
          <w:rFonts w:ascii="Times New Roman" w:hAnsi="Times New Roman"/>
          <w:sz w:val="24"/>
        </w:rPr>
        <w:t xml:space="preserve">” shall mean any Event of Default, and any of the events specified in Section 8.1 hereof, regardless of whether there shall have occurred any passage of time or giving of notice, or both, that would be necessary in order to constitute such event an Event of Default. </w:t>
      </w:r>
    </w:p>
    <w:p>
      <w:pPr>
        <w:pStyle w:val="TextBody"/>
        <w:bidi w:val="0"/>
        <w:spacing w:before="240" w:after="0"/>
        <w:jc w:val="both"/>
        <w:rPr/>
      </w:pPr>
      <w:r>
        <w:rPr/>
        <w:t>“</w:t>
      </w:r>
      <w:r>
        <w:rPr>
          <w:rFonts w:ascii="Times New Roman" w:hAnsi="Times New Roman"/>
          <w:sz w:val="24"/>
          <w:u w:val="single"/>
        </w:rPr>
        <w:t>Default Rate</w:t>
      </w:r>
      <w:r>
        <w:rPr>
          <w:rFonts w:ascii="Times New Roman" w:hAnsi="Times New Roman"/>
          <w:sz w:val="24"/>
        </w:rPr>
        <w:t xml:space="preserve">” shall mean a simple per annum interest rate equal to the sum of (a) the then applicable Interest Rate Basis (including the Applicable Margin), and (b) two percent (2.0%). </w:t>
      </w:r>
    </w:p>
    <w:p>
      <w:pPr>
        <w:pStyle w:val="TextBody"/>
        <w:bidi w:val="0"/>
        <w:spacing w:before="240" w:after="0"/>
        <w:jc w:val="both"/>
        <w:rPr/>
      </w:pPr>
      <w:r>
        <w:rPr/>
        <w:t>“</w:t>
      </w:r>
      <w:r>
        <w:rPr>
          <w:rFonts w:ascii="Times New Roman" w:hAnsi="Times New Roman"/>
          <w:sz w:val="24"/>
          <w:u w:val="single"/>
        </w:rPr>
        <w:t>Defaulting Lender</w:t>
      </w:r>
      <w:r>
        <w:rPr>
          <w:rFonts w:ascii="Times New Roman" w:hAnsi="Times New Roman"/>
          <w:sz w:val="24"/>
        </w:rPr>
        <w:t xml:space="preserve">” shall mean, subject to Section 2.14, any Lender that, as determined by the Administrative Agent, has, or has a direct or indirect parent company that has, other than via an Undisclosed Administration, (i) become the subject of a voluntary proceeding under any bankruptcy or other debtor relief law or has become the subject of a Bail-In Action, (ii) had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voluntary or involuntary proceeding under any bankruptcy or other debtor relief law or any such appointment; </w:t>
      </w:r>
      <w:r>
        <w:rPr>
          <w:rFonts w:ascii="Times New Roman" w:hAnsi="Times New Roman"/>
          <w:sz w:val="24"/>
          <w:u w:val="single"/>
        </w:rPr>
        <w:t>provided</w:t>
      </w:r>
      <w:r>
        <w:rPr>
          <w:rFonts w:ascii="Times New Roman" w:hAnsi="Times New Roman"/>
          <w:sz w:val="24"/>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(i) through (iii) above shall be conclusive and binding absent manifest error, and such Lender shall be deemed to be a Defaulting Lender (subject to Section 2.14) upon delivery of written notice of such determination to the Borrower and each Lender. </w:t>
      </w:r>
    </w:p>
    <w:p>
      <w:pPr>
        <w:pStyle w:val="TextBody"/>
        <w:bidi w:val="0"/>
        <w:spacing w:before="240" w:after="0"/>
        <w:jc w:val="both"/>
        <w:rPr/>
      </w:pPr>
      <w:r>
        <w:rPr/>
        <w:t>“</w:t>
      </w:r>
      <w:r>
        <w:rPr>
          <w:rFonts w:ascii="Times New Roman" w:hAnsi="Times New Roman"/>
          <w:sz w:val="24"/>
          <w:u w:val="single"/>
        </w:rPr>
        <w:t>Designated Person</w:t>
      </w:r>
      <w:r>
        <w:rPr>
          <w:rFonts w:ascii="Times New Roman" w:hAnsi="Times New Roman"/>
          <w:sz w:val="24"/>
        </w:rPr>
        <w:t>” shall mean a person or entity subject of Sanctions Law and Regulations, including, (a) listed in the annex to, or otherwise subject to the provisions of, any Executive Order (as defined in the definition of “Sanctions Laws and Regulations”), (b) named as a “Specifically Designated National and Blocked Person” on the most current list published by the U.S. Department of the Treasury Office of Foreign Assets Control at its official website or any replacement website or other replacement official publication of such list (the “</w:t>
      </w:r>
      <w:r>
        <w:rPr>
          <w:rFonts w:ascii="Times New Roman" w:hAnsi="Times New Roman"/>
          <w:sz w:val="24"/>
          <w:u w:val="single"/>
        </w:rPr>
        <w:t>SDN List</w:t>
      </w:r>
      <w:r>
        <w:rPr>
          <w:rFonts w:ascii="Times New Roman" w:hAnsi="Times New Roman"/>
          <w:sz w:val="24"/>
        </w:rPr>
        <w:t xml:space="preserve">”), (c) any Person listed in any sanctions-related list of designated Persons maintained by the United Nations Security Council, the European Union, the United Kingdom or any EU member state, (d) any Person located, organized or resident in a Sanctioned Country or (e) in which an entity or person on the SDN List (or any combination of such entities or persons) has 50% or greater direct or indirect ownership interest or that is otherwise controlled, directly or indirectly, by an entity or person on the SDN List (or any combination of such entities or persons). </w:t>
      </w:r>
    </w:p>
    <w:p>
      <w:pPr>
        <w:pStyle w:val="TextBody"/>
        <w:bidi w:val="0"/>
        <w:spacing w:before="240" w:after="0"/>
        <w:jc w:val="both"/>
        <w:rPr/>
      </w:pPr>
      <w:r>
        <w:rPr/>
        <w:t>“</w:t>
      </w:r>
      <w:r>
        <w:rPr>
          <w:rFonts w:ascii="Times New Roman" w:hAnsi="Times New Roman"/>
          <w:sz w:val="24"/>
          <w:u w:val="single"/>
        </w:rPr>
        <w:t>Dollars</w:t>
      </w:r>
      <w:r>
        <w:rPr>
          <w:rFonts w:ascii="Times New Roman" w:hAnsi="Times New Roman"/>
          <w:sz w:val="24"/>
        </w:rPr>
        <w:t>” or “</w:t>
      </w:r>
      <w:r>
        <w:rPr>
          <w:rFonts w:ascii="Times New Roman" w:hAnsi="Times New Roman"/>
          <w:sz w:val="24"/>
          <w:u w:val="single"/>
        </w:rPr>
        <w:t>$</w:t>
      </w:r>
      <w:r>
        <w:rPr>
          <w:rFonts w:ascii="Times New Roman" w:hAnsi="Times New Roman"/>
          <w:sz w:val="24"/>
        </w:rPr>
        <w:t xml:space="preserve">” refers to lawful money of the United States of America. </w:t>
      </w:r>
    </w:p>
    <w:p>
      <w:pPr>
        <w:pStyle w:val="TextBody"/>
        <w:bidi w:val="0"/>
        <w:spacing w:before="240" w:after="0"/>
        <w:jc w:val="both"/>
        <w:rPr/>
      </w:pPr>
      <w:r>
        <w:rPr/>
        <w:t>“</w:t>
      </w:r>
      <w:r>
        <w:rPr>
          <w:rFonts w:ascii="Times New Roman" w:hAnsi="Times New Roman"/>
          <w:sz w:val="24"/>
          <w:u w:val="single"/>
        </w:rPr>
        <w:t>EEA Financial Institution</w:t>
      </w:r>
      <w:r>
        <w:rPr>
          <w:rFonts w:ascii="Times New Roman" w:hAnsi="Times New Roman"/>
          <w:sz w:val="24"/>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both"/>
        <w:rPr/>
      </w:pPr>
      <w:r>
        <w:rPr/>
        <w:t>“</w:t>
      </w:r>
      <w:r>
        <w:rPr>
          <w:rFonts w:ascii="Times New Roman" w:hAnsi="Times New Roman"/>
          <w:sz w:val="24"/>
          <w:u w:val="single"/>
        </w:rPr>
        <w:t>EEA Member Country</w:t>
      </w:r>
      <w:r>
        <w:rPr>
          <w:rFonts w:ascii="Times New Roman" w:hAnsi="Times New Roman"/>
          <w:sz w:val="24"/>
        </w:rPr>
        <w:t xml:space="preserve">” shall mean any of the member states of the European Union, Iceland, Liechtenstein, and Norway. </w:t>
      </w:r>
    </w:p>
    <w:p>
      <w:pPr>
        <w:pStyle w:val="TextBody"/>
        <w:bidi w:val="0"/>
        <w:spacing w:before="240" w:after="0"/>
        <w:jc w:val="both"/>
        <w:rPr/>
      </w:pPr>
      <w:r>
        <w:rPr/>
        <w:t>“</w:t>
      </w:r>
      <w:r>
        <w:rPr>
          <w:rFonts w:ascii="Times New Roman" w:hAnsi="Times New Roman"/>
          <w:sz w:val="24"/>
          <w:u w:val="single"/>
        </w:rPr>
        <w:t>EEA Resolution Authority</w:t>
      </w:r>
      <w:r>
        <w:rPr>
          <w:rFonts w:ascii="Times New Roman" w:hAnsi="Times New Roman"/>
          <w:sz w:val="24"/>
        </w:rPr>
        <w:t xml:space="preserve">” shall mean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both"/>
        <w:rPr/>
      </w:pPr>
      <w:r>
        <w:rPr/>
        <w:t>“</w:t>
      </w:r>
      <w:r>
        <w:rPr>
          <w:rFonts w:ascii="Times New Roman" w:hAnsi="Times New Roman"/>
          <w:sz w:val="24"/>
          <w:u w:val="single"/>
        </w:rPr>
        <w:t>Effective Date</w:t>
      </w:r>
      <w:r>
        <w:rPr>
          <w:rFonts w:ascii="Times New Roman" w:hAnsi="Times New Roman"/>
          <w:sz w:val="24"/>
        </w:rPr>
        <w:t xml:space="preserve">” shall mean December 8, 2021.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Effective Date Credit Agreements</w:t>
      </w:r>
      <w:r>
        <w:rPr>
          <w:rFonts w:ascii="Times New Roman" w:hAnsi="Times New Roman"/>
          <w:sz w:val="24"/>
        </w:rPr>
        <w:t>” shall mean (i) the Third Amended and Restated Multicurrency Revolving Credit Agreement dated as of the Effective Date, among the Borrower, the subsidiary borrowers, and certain agents and lenders from time to time party thereto, (ii) the Fourth Amended and Restated Revolving Credit Agreement dated as of the Effective Date, among the Borrower and certain agents and lenders from time to time party thereto, (iii) the 2-Year Term Loan Agreement, dated as of the Effective Date, among the Borrower, JPMorgan Chase Bank, N.A., as administrative agent, and certain agents and lenders from time to time party thereto (the “</w:t>
      </w:r>
      <w:r>
        <w:rPr>
          <w:rFonts w:ascii="Times New Roman" w:hAnsi="Times New Roman"/>
          <w:sz w:val="24"/>
          <w:u w:val="single"/>
        </w:rPr>
        <w:t>2-Year Term Loan Agreement</w:t>
      </w:r>
      <w:r>
        <w:rPr>
          <w:rFonts w:ascii="Times New Roman" w:hAnsi="Times New Roman"/>
          <w:sz w:val="24"/>
        </w:rPr>
        <w:t>”) and (iv) the 364-Day Term Loan Agreement, dated as of the Effective Date, among the Borrower, JPMorgan Chase Bank, N.A., as administrative agent, and certain agents and lenders from time to time party thereto (the “</w:t>
      </w:r>
      <w:r>
        <w:rPr>
          <w:rFonts w:ascii="Times New Roman" w:hAnsi="Times New Roman"/>
          <w:sz w:val="24"/>
          <w:u w:val="single"/>
        </w:rPr>
        <w:t>364-Day Term Loan Agreement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ERISA</w:t>
      </w:r>
      <w:r>
        <w:rPr>
          <w:rFonts w:ascii="Times New Roman" w:hAnsi="Times New Roman"/>
          <w:sz w:val="24"/>
        </w:rPr>
        <w:t xml:space="preserve">” shall mean the Employee Retirement Income Security Act of 1974, as in effect from time to time, and the rules and regulations promulgated thereunder. </w:t>
      </w:r>
    </w:p>
    <w:p>
      <w:pPr>
        <w:pStyle w:val="TextBody"/>
        <w:bidi w:val="0"/>
        <w:spacing w:before="240" w:after="0"/>
        <w:jc w:val="both"/>
        <w:rPr/>
      </w:pPr>
      <w:r>
        <w:rPr/>
        <w:t>“</w:t>
      </w:r>
      <w:r>
        <w:rPr>
          <w:rFonts w:ascii="Times New Roman" w:hAnsi="Times New Roman"/>
          <w:sz w:val="24"/>
          <w:u w:val="single"/>
        </w:rPr>
        <w:t>ERISA Affiliate</w:t>
      </w:r>
      <w:r>
        <w:rPr>
          <w:rFonts w:ascii="Times New Roman" w:hAnsi="Times New Roman"/>
          <w:sz w:val="24"/>
        </w:rPr>
        <w:t xml:space="preserve">” shall mean any Person, including a Subsidiary or an Affiliate of the Borrower, that is a member of any group of organizations of which the Borrower is a member and is treated as a single employer with the Borrower under Section 414 of the Code. </w:t>
      </w:r>
    </w:p>
    <w:p>
      <w:pPr>
        <w:pStyle w:val="TextBody"/>
        <w:bidi w:val="0"/>
        <w:spacing w:before="240" w:after="0"/>
        <w:jc w:val="both"/>
        <w:rPr/>
      </w:pPr>
      <w:r>
        <w:rPr/>
        <w:t>“</w:t>
      </w:r>
      <w:r>
        <w:rPr>
          <w:rFonts w:ascii="Times New Roman" w:hAnsi="Times New Roman"/>
          <w:sz w:val="24"/>
          <w:u w:val="single"/>
        </w:rPr>
        <w:t>EU Bail-In Legislation Schedule</w:t>
      </w:r>
      <w:r>
        <w:rPr>
          <w:rFonts w:ascii="Times New Roman" w:hAnsi="Times New Roman"/>
          <w:sz w:val="24"/>
        </w:rPr>
        <w:t xml:space="preserve">” shall mean the EU Bail-In Legislation Schedule published by the Loan Market Association (or any successor Person), as in effect from time to time. </w:t>
      </w:r>
    </w:p>
    <w:p>
      <w:pPr>
        <w:pStyle w:val="TextBody"/>
        <w:bidi w:val="0"/>
        <w:spacing w:before="240" w:after="0"/>
        <w:jc w:val="both"/>
        <w:rPr/>
      </w:pPr>
      <w:r>
        <w:rPr/>
        <w:t>“</w:t>
      </w:r>
      <w:r>
        <w:rPr>
          <w:rFonts w:ascii="Times New Roman" w:hAnsi="Times New Roman"/>
          <w:sz w:val="24"/>
          <w:u w:val="single"/>
        </w:rPr>
        <w:t>Event of Default</w:t>
      </w:r>
      <w:r>
        <w:rPr>
          <w:rFonts w:ascii="Times New Roman" w:hAnsi="Times New Roman"/>
          <w:sz w:val="24"/>
        </w:rPr>
        <w:t xml:space="preserve">” shall mean any of the events specified in Section 8.1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any requirement stated therein for notice or lapse of time, or both, has been satisfied. </w:t>
      </w:r>
    </w:p>
    <w:p>
      <w:pPr>
        <w:pStyle w:val="TextBody"/>
        <w:bidi w:val="0"/>
        <w:spacing w:before="240" w:after="0"/>
        <w:jc w:val="both"/>
        <w:rPr/>
      </w:pPr>
      <w:r>
        <w:rPr/>
        <w:t>“</w:t>
      </w:r>
      <w:r>
        <w:rPr>
          <w:rFonts w:ascii="Times New Roman" w:hAnsi="Times New Roman"/>
          <w:sz w:val="24"/>
          <w:u w:val="single"/>
        </w:rPr>
        <w:t>Exchange Act</w:t>
      </w:r>
      <w:r>
        <w:rPr>
          <w:rFonts w:ascii="Times New Roman" w:hAnsi="Times New Roman"/>
          <w:sz w:val="24"/>
        </w:rPr>
        <w:t xml:space="preserve">” shall mean the Securities Exchange Act of 1934, as amended. </w:t>
      </w:r>
    </w:p>
    <w:p>
      <w:pPr>
        <w:pStyle w:val="TextBody"/>
        <w:bidi w:val="0"/>
        <w:spacing w:before="240" w:after="0"/>
        <w:jc w:val="both"/>
        <w:rPr/>
      </w:pPr>
      <w:r>
        <w:rPr/>
        <w:t>“</w:t>
      </w:r>
      <w:r>
        <w:rPr>
          <w:rFonts w:ascii="Times New Roman" w:hAnsi="Times New Roman"/>
          <w:sz w:val="24"/>
          <w:u w:val="single"/>
        </w:rPr>
        <w:t>Existing ABS Facility</w:t>
      </w:r>
      <w:r>
        <w:rPr>
          <w:rFonts w:ascii="Times New Roman" w:hAnsi="Times New Roman"/>
          <w:sz w:val="24"/>
        </w:rPr>
        <w:t xml:space="preserve">” shall mean each mortgage loan facility existing on the Second Restatement Date and listed on Schedule 2. </w:t>
      </w:r>
    </w:p>
    <w:p>
      <w:pPr>
        <w:pStyle w:val="TextBody"/>
        <w:bidi w:val="0"/>
        <w:spacing w:before="240" w:after="0"/>
        <w:jc w:val="both"/>
        <w:rPr/>
      </w:pPr>
      <w:r>
        <w:rPr/>
        <w:t>“</w:t>
      </w:r>
      <w:r>
        <w:rPr>
          <w:rFonts w:ascii="Times New Roman" w:hAnsi="Times New Roman"/>
          <w:sz w:val="24"/>
          <w:u w:val="single"/>
        </w:rPr>
        <w:t>Existing Agreement</w:t>
      </w:r>
      <w:r>
        <w:rPr>
          <w:rFonts w:ascii="Times New Roman" w:hAnsi="Times New Roman"/>
          <w:sz w:val="24"/>
        </w:rPr>
        <w:t xml:space="preserve">” shall have the meaning ascribed thereto in the Recitals hereof. </w:t>
      </w:r>
    </w:p>
    <w:p>
      <w:pPr>
        <w:pStyle w:val="TextBody"/>
        <w:bidi w:val="0"/>
        <w:spacing w:before="240" w:after="0"/>
        <w:jc w:val="both"/>
        <w:rPr/>
      </w:pPr>
      <w:r>
        <w:rPr/>
        <w:t>“</w:t>
      </w:r>
      <w:r>
        <w:rPr>
          <w:rFonts w:ascii="Times New Roman" w:hAnsi="Times New Roman"/>
          <w:sz w:val="24"/>
          <w:u w:val="single"/>
        </w:rPr>
        <w:t>Existing Credit Agreements</w:t>
      </w:r>
      <w:r>
        <w:rPr>
          <w:rFonts w:ascii="Times New Roman" w:hAnsi="Times New Roman"/>
          <w:sz w:val="24"/>
        </w:rPr>
        <w:t>” shall mean (i) the Third Amended and Restated Multicurrency Revolving Credit Agreement, dated as of the Effective Date and as amended as of June 29, 2023, as of June 27, 2024</w:t>
      </w:r>
      <w:r>
        <w:rPr>
          <w:rFonts w:ascii="Times New Roman" w:hAnsi="Times New Roman"/>
          <w:strike/>
          <w:color w:val="FF0000"/>
          <w:sz w:val="24"/>
        </w:rPr>
        <w:t xml:space="preserve"> and</w:t>
      </w:r>
      <w:r>
        <w:rPr>
          <w:rFonts w:ascii="Times New Roman" w:hAnsi="Times New Roman"/>
          <w:color w:val="0000FF"/>
          <w:sz w:val="24"/>
          <w:u w:val="single"/>
          <w:bdr w:val="double" w:sz="2" w:space="1" w:color="000000"/>
        </w:rPr>
        <w:t>,</w:t>
      </w:r>
      <w:r>
        <w:rPr>
          <w:rFonts w:ascii="Times New Roman" w:hAnsi="Times New Roman"/>
          <w:sz w:val="24"/>
        </w:rPr>
        <w:t xml:space="preserve"> as of January 28, 2025 </w:t>
      </w:r>
      <w:r>
        <w:rPr>
          <w:rFonts w:ascii="Times New Roman" w:hAnsi="Times New Roman"/>
          <w:color w:val="0000FF"/>
          <w:sz w:val="24"/>
          <w:u w:val="single"/>
          <w:bdr w:val="double" w:sz="2" w:space="1" w:color="000000"/>
        </w:rPr>
        <w:t>and as of May 7, 2026,</w:t>
      </w:r>
      <w:r>
        <w:rPr>
          <w:rFonts w:ascii="Times New Roman" w:hAnsi="Times New Roman"/>
          <w:sz w:val="24"/>
        </w:rPr>
        <w:t xml:space="preserve"> among the Borrower, </w:t>
      </w:r>
      <w:r>
        <w:rPr>
          <w:rFonts w:ascii="Times New Roman" w:hAnsi="Times New Roman"/>
          <w:strike/>
          <w:color w:val="FF0000"/>
          <w:sz w:val="24"/>
        </w:rPr>
        <w:t>the</w:t>
      </w:r>
      <w:r>
        <w:rPr>
          <w:rFonts w:ascii="Times New Roman" w:hAnsi="Times New Roman"/>
          <w:color w:val="0000FF"/>
          <w:sz w:val="24"/>
          <w:u w:val="single"/>
          <w:bdr w:val="double" w:sz="2" w:space="1" w:color="000000"/>
        </w:rPr>
        <w:t>ATC International Financing II B.V., any other</w:t>
      </w:r>
      <w:r>
        <w:rPr>
          <w:rFonts w:ascii="Times New Roman" w:hAnsi="Times New Roman"/>
          <w:sz w:val="24"/>
        </w:rPr>
        <w:t xml:space="preserve"> subsidiary borrowers</w:t>
      </w:r>
      <w:r>
        <w:rPr>
          <w:rFonts w:ascii="Times New Roman" w:hAnsi="Times New Roman"/>
          <w:strike/>
          <w:color w:val="FF0000"/>
          <w:sz w:val="24"/>
        </w:rPr>
        <w:t xml:space="preserve">, </w:t>
      </w:r>
      <w:r>
        <w:rPr>
          <w:rFonts w:ascii="Times New Roman" w:hAnsi="Times New Roman"/>
          <w:color w:val="0000FF"/>
          <w:sz w:val="24"/>
          <w:u w:val="single"/>
          <w:bdr w:val="double" w:sz="2" w:space="1" w:color="000000"/>
        </w:rPr>
        <w:t xml:space="preserve">party thereto from time to time </w:t>
      </w:r>
      <w:r>
        <w:rPr>
          <w:rFonts w:ascii="Times New Roman" w:hAnsi="Times New Roman"/>
          <w:sz w:val="24"/>
        </w:rPr>
        <w:t>and certain agents and lenders from time to time party thereto, and (ii) the Fourth Amended and Restated Revolving Credit Agreement, dated as of the Effective Date and as amended as of June 29, 2023</w:t>
      </w:r>
      <w:r>
        <w:rPr>
          <w:rFonts w:ascii="Times New Roman" w:hAnsi="Times New Roman"/>
          <w:strike/>
          <w:color w:val="FF0000"/>
          <w:sz w:val="24"/>
        </w:rPr>
        <w:t xml:space="preserve"> and</w:t>
      </w:r>
      <w:r>
        <w:rPr>
          <w:rFonts w:ascii="Times New Roman" w:hAnsi="Times New Roman"/>
          <w:color w:val="0000FF"/>
          <w:sz w:val="24"/>
          <w:u w:val="single"/>
          <w:bdr w:val="double" w:sz="2" w:space="1" w:color="000000"/>
        </w:rPr>
        <w:t>,</w:t>
      </w:r>
      <w:r>
        <w:rPr>
          <w:rFonts w:ascii="Times New Roman" w:hAnsi="Times New Roman"/>
          <w:sz w:val="24"/>
        </w:rPr>
        <w:t xml:space="preserve"> as of January 28, 2025 </w:t>
      </w:r>
      <w:r>
        <w:rPr>
          <w:rFonts w:ascii="Times New Roman" w:hAnsi="Times New Roman"/>
          <w:color w:val="0000FF"/>
          <w:sz w:val="24"/>
          <w:u w:val="single"/>
          <w:bdr w:val="double" w:sz="2" w:space="1" w:color="000000"/>
        </w:rPr>
        <w:t>and as of May 7, 2026,</w:t>
      </w:r>
      <w:r>
        <w:rPr>
          <w:rFonts w:ascii="Times New Roman" w:hAnsi="Times New Roman"/>
          <w:sz w:val="24"/>
        </w:rPr>
        <w:t xml:space="preserve"> among the Borrower and certain agents and lenders from time to time party thereto. </w:t>
      </w:r>
    </w:p>
    <w:p>
      <w:pPr>
        <w:pStyle w:val="TextBody"/>
        <w:bidi w:val="0"/>
        <w:spacing w:before="240" w:after="0"/>
        <w:jc w:val="both"/>
        <w:rPr/>
      </w:pPr>
      <w:r>
        <w:rPr/>
        <w:t>“</w:t>
      </w:r>
      <w:r>
        <w:rPr>
          <w:rFonts w:ascii="Times New Roman" w:hAnsi="Times New Roman"/>
          <w:sz w:val="24"/>
          <w:u w:val="single"/>
        </w:rPr>
        <w:t>Existing Lenders</w:t>
      </w:r>
      <w:r>
        <w:rPr>
          <w:rFonts w:ascii="Times New Roman" w:hAnsi="Times New Roman"/>
          <w:sz w:val="24"/>
        </w:rPr>
        <w:t xml:space="preserve">” shall have the meaning ascribed thereto in the Recitals hereof. </w:t>
      </w:r>
    </w:p>
    <w:p>
      <w:pPr>
        <w:pStyle w:val="TextBody"/>
        <w:bidi w:val="0"/>
        <w:spacing w:before="240" w:after="0"/>
        <w:jc w:val="both"/>
        <w:rPr/>
      </w:pPr>
      <w:r>
        <w:rPr/>
        <w:t>“</w:t>
      </w:r>
      <w:r>
        <w:rPr>
          <w:rFonts w:ascii="Times New Roman" w:hAnsi="Times New Roman"/>
          <w:sz w:val="24"/>
          <w:u w:val="single"/>
        </w:rPr>
        <w:t>Extended Term Loan Commitment</w:t>
      </w:r>
      <w:r>
        <w:rPr>
          <w:rFonts w:ascii="Times New Roman" w:hAnsi="Times New Roman"/>
          <w:sz w:val="24"/>
        </w:rPr>
        <w:t xml:space="preserve">” shall mean, as to each Extended Term Loan Lender, its obligation to make an Extended Term Loan to the Borrower pursuant to </w:t>
      </w:r>
      <w:r>
        <w:rPr>
          <w:rFonts w:ascii="Times New Roman" w:hAnsi="Times New Roman"/>
          <w:sz w:val="24"/>
          <w:u w:val="single"/>
        </w:rPr>
        <w:t>Section 2.1(a)</w:t>
      </w:r>
      <w:r>
        <w:rPr>
          <w:rFonts w:ascii="Times New Roman" w:hAnsi="Times New Roman"/>
          <w:sz w:val="24"/>
        </w:rPr>
        <w:t xml:space="preserve"> in a principal amount not to exceed the (a) amount set forth in the column labeled “Extended Term Loan Commitment” opposite such Lender’s name on </w:t>
      </w:r>
      <w:r>
        <w:rPr>
          <w:rFonts w:ascii="Times New Roman" w:hAnsi="Times New Roman"/>
          <w:sz w:val="24"/>
          <w:u w:val="single"/>
        </w:rPr>
        <w:t>Schedule 1</w:t>
      </w:r>
      <w:r>
        <w:rPr>
          <w:rFonts w:ascii="Times New Roman" w:hAnsi="Times New Roman"/>
          <w:sz w:val="24"/>
        </w:rPr>
        <w:t xml:space="preserve"> or (b) the Term Loan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Commitment amount set forth in the Assignment and Assumption pursuant to which such Lender becomes a party hereto, as applicable. </w:t>
      </w:r>
    </w:p>
    <w:p>
      <w:pPr>
        <w:pStyle w:val="TextBody"/>
        <w:bidi w:val="0"/>
        <w:spacing w:before="240" w:after="0"/>
        <w:jc w:val="both"/>
        <w:rPr/>
      </w:pPr>
      <w:r>
        <w:rPr/>
        <w:t>“</w:t>
      </w:r>
      <w:r>
        <w:rPr>
          <w:rFonts w:ascii="Times New Roman" w:hAnsi="Times New Roman"/>
          <w:sz w:val="24"/>
          <w:u w:val="single"/>
        </w:rPr>
        <w:t>Extended Term Loan Lenders</w:t>
      </w:r>
      <w:r>
        <w:rPr>
          <w:rFonts w:ascii="Times New Roman" w:hAnsi="Times New Roman"/>
          <w:sz w:val="24"/>
        </w:rPr>
        <w:t xml:space="preserve">” shall have the meaning ascribed thereto in the Recitals hereof. </w:t>
      </w:r>
    </w:p>
    <w:p>
      <w:pPr>
        <w:pStyle w:val="TextBody"/>
        <w:bidi w:val="0"/>
        <w:spacing w:before="240" w:after="0"/>
        <w:jc w:val="both"/>
        <w:rPr/>
      </w:pPr>
      <w:r>
        <w:rPr/>
        <w:t>“</w:t>
      </w:r>
      <w:r>
        <w:rPr>
          <w:rFonts w:ascii="Times New Roman" w:hAnsi="Times New Roman"/>
          <w:sz w:val="24"/>
          <w:u w:val="single"/>
        </w:rPr>
        <w:t>Extended Term Loans</w:t>
      </w:r>
      <w:r>
        <w:rPr>
          <w:rFonts w:ascii="Times New Roman" w:hAnsi="Times New Roman"/>
          <w:sz w:val="24"/>
        </w:rPr>
        <w:t xml:space="preserve">” shall have the meaning ascribed thereto in the Recitals hereof. </w:t>
      </w:r>
    </w:p>
    <w:p>
      <w:pPr>
        <w:pStyle w:val="TextBody"/>
        <w:bidi w:val="0"/>
        <w:spacing w:before="240" w:after="0"/>
        <w:jc w:val="both"/>
        <w:rPr/>
      </w:pPr>
      <w:r>
        <w:rPr/>
        <w:t>“</w:t>
      </w:r>
      <w:r>
        <w:rPr>
          <w:rFonts w:ascii="Times New Roman" w:hAnsi="Times New Roman"/>
          <w:sz w:val="24"/>
          <w:u w:val="single"/>
        </w:rPr>
        <w:t>FATCA</w:t>
      </w:r>
      <w:r>
        <w:rPr>
          <w:rFonts w:ascii="Times New Roman" w:hAnsi="Times New Roman"/>
          <w:sz w:val="24"/>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both"/>
        <w:rPr/>
      </w:pPr>
      <w:r>
        <w:rPr/>
        <w:t>“</w:t>
      </w:r>
      <w:r>
        <w:rPr>
          <w:rFonts w:ascii="Times New Roman" w:hAnsi="Times New Roman"/>
          <w:sz w:val="24"/>
          <w:u w:val="single"/>
        </w:rPr>
        <w:t>FCC</w:t>
      </w:r>
      <w:r>
        <w:rPr>
          <w:rFonts w:ascii="Times New Roman" w:hAnsi="Times New Roman"/>
          <w:sz w:val="24"/>
        </w:rPr>
        <w:t xml:space="preserve">” shall mean the Federal Communications Commission, or any other similar or successor agency of the Federal government administering the Communications Act. </w:t>
      </w:r>
    </w:p>
    <w:p>
      <w:pPr>
        <w:pStyle w:val="TextBody"/>
        <w:bidi w:val="0"/>
        <w:spacing w:before="240" w:after="0"/>
        <w:jc w:val="both"/>
        <w:rPr/>
      </w:pPr>
      <w:r>
        <w:rPr/>
        <w:t>“</w:t>
      </w:r>
      <w:r>
        <w:rPr>
          <w:rFonts w:ascii="Times New Roman" w:hAnsi="Times New Roman"/>
          <w:sz w:val="24"/>
          <w:u w:val="single"/>
        </w:rPr>
        <w:t>Federal Funds Rate</w:t>
      </w:r>
      <w:r>
        <w:rPr>
          <w:rFonts w:ascii="Times New Roman" w:hAnsi="Times New Roman"/>
          <w:sz w:val="24"/>
        </w:rPr>
        <w:t xml:space="preserve">” shall mean, for any period, a fluctuating interest rate per annum equal for each day during such period to the rate published for such day (or, if such day is not a Business Day, for the next preceding Business Day) by the Federal Reserve Bank of New York for overnight Federal funds transactions with members of the Federal Reserve System, or, if such rate is not so published for any day that is a Business Day, the quotation for such day on such transactions received by the Administrative Agent from a Federal funds broker of recognized standing selected by it; </w:t>
      </w:r>
      <w:r>
        <w:rPr>
          <w:rFonts w:ascii="Times New Roman" w:hAnsi="Times New Roman"/>
          <w:sz w:val="24"/>
          <w:u w:val="single"/>
        </w:rPr>
        <w:t>provided</w:t>
      </w:r>
      <w:r>
        <w:rPr>
          <w:rFonts w:ascii="Times New Roman" w:hAnsi="Times New Roman"/>
          <w:sz w:val="24"/>
        </w:rPr>
        <w:t xml:space="preserve"> that if the Federal Funds Rate shall be less than zero, such rate shall be deemed to be zero for the purposes of this Agreement. </w:t>
      </w:r>
    </w:p>
    <w:p>
      <w:pPr>
        <w:pStyle w:val="TextBody"/>
        <w:bidi w:val="0"/>
        <w:spacing w:before="240" w:after="0"/>
        <w:jc w:val="both"/>
        <w:rPr/>
      </w:pPr>
      <w:r>
        <w:rPr/>
        <w:t>“</w:t>
      </w:r>
      <w:r>
        <w:rPr>
          <w:rFonts w:ascii="Times New Roman" w:hAnsi="Times New Roman"/>
          <w:sz w:val="24"/>
          <w:u w:val="single"/>
        </w:rPr>
        <w:t>Federal Reserve Board</w:t>
      </w:r>
      <w:r>
        <w:rPr>
          <w:rFonts w:ascii="Times New Roman" w:hAnsi="Times New Roman"/>
          <w:sz w:val="24"/>
        </w:rPr>
        <w:t xml:space="preserve">” shall mean the Board of Governors of the Federal Reserve System of the United States of America. </w:t>
      </w:r>
    </w:p>
    <w:p>
      <w:pPr>
        <w:pStyle w:val="TextBody"/>
        <w:bidi w:val="0"/>
        <w:spacing w:before="240" w:after="0"/>
        <w:jc w:val="both"/>
        <w:rPr/>
      </w:pPr>
      <w:r>
        <w:rPr/>
        <w:t>“</w:t>
      </w:r>
      <w:r>
        <w:rPr>
          <w:rFonts w:ascii="Times New Roman" w:hAnsi="Times New Roman"/>
          <w:sz w:val="24"/>
          <w:u w:val="single"/>
        </w:rPr>
        <w:t>First Restatement Date</w:t>
      </w:r>
      <w:r>
        <w:rPr>
          <w:rFonts w:ascii="Times New Roman" w:hAnsi="Times New Roman"/>
          <w:sz w:val="24"/>
        </w:rPr>
        <w:t xml:space="preserve">” shall mean December 20, 2019. </w:t>
      </w:r>
    </w:p>
    <w:p>
      <w:pPr>
        <w:pStyle w:val="TextBody"/>
        <w:bidi w:val="0"/>
        <w:spacing w:before="240" w:after="0"/>
        <w:jc w:val="both"/>
        <w:rPr/>
      </w:pPr>
      <w:r>
        <w:rPr/>
        <w:t>“</w:t>
      </w:r>
      <w:r>
        <w:rPr>
          <w:rFonts w:ascii="Times New Roman" w:hAnsi="Times New Roman"/>
          <w:sz w:val="24"/>
          <w:u w:val="single"/>
        </w:rPr>
        <w:t>Fitch</w:t>
      </w:r>
      <w:r>
        <w:rPr>
          <w:rFonts w:ascii="Times New Roman" w:hAnsi="Times New Roman"/>
          <w:sz w:val="24"/>
        </w:rPr>
        <w:t xml:space="preserve">” shall mean Fitch, Inc. (Fitch Ratings), and its successors. </w:t>
      </w:r>
    </w:p>
    <w:p>
      <w:pPr>
        <w:pStyle w:val="TextBody"/>
        <w:bidi w:val="0"/>
        <w:spacing w:before="240" w:after="0"/>
        <w:jc w:val="both"/>
        <w:rPr/>
      </w:pPr>
      <w:r>
        <w:rPr/>
        <w:t>“</w:t>
      </w:r>
      <w:r>
        <w:rPr>
          <w:rFonts w:ascii="Times New Roman" w:hAnsi="Times New Roman"/>
          <w:sz w:val="24"/>
          <w:u w:val="single"/>
        </w:rPr>
        <w:t>Floor</w:t>
      </w:r>
      <w:r>
        <w:rPr>
          <w:rFonts w:ascii="Times New Roman" w:hAnsi="Times New Roman"/>
          <w:sz w:val="24"/>
        </w:rPr>
        <w:t xml:space="preserve">” shall mean a rate of interest equal to 0.00%. </w:t>
      </w:r>
    </w:p>
    <w:p>
      <w:pPr>
        <w:pStyle w:val="TextBody"/>
        <w:bidi w:val="0"/>
        <w:spacing w:before="240" w:after="0"/>
        <w:jc w:val="both"/>
        <w:rPr/>
      </w:pPr>
      <w:r>
        <w:rPr/>
        <w:t>“</w:t>
      </w:r>
      <w:r>
        <w:rPr>
          <w:rFonts w:ascii="Times New Roman" w:hAnsi="Times New Roman"/>
          <w:sz w:val="24"/>
          <w:u w:val="single"/>
        </w:rPr>
        <w:t>Foreign Subsidiary</w:t>
      </w:r>
      <w:r>
        <w:rPr>
          <w:rFonts w:ascii="Times New Roman" w:hAnsi="Times New Roman"/>
          <w:sz w:val="24"/>
        </w:rPr>
        <w:t xml:space="preserve">” shall mean a Subsidiary whose place of registration, incorporation, organization or domicile is outside of the United States of America. </w:t>
      </w:r>
    </w:p>
    <w:p>
      <w:pPr>
        <w:pStyle w:val="TextBody"/>
        <w:bidi w:val="0"/>
        <w:spacing w:before="240" w:after="0"/>
        <w:jc w:val="both"/>
        <w:rPr/>
      </w:pPr>
      <w:r>
        <w:rPr/>
        <w:t>“</w:t>
      </w:r>
      <w:r>
        <w:rPr>
          <w:rFonts w:ascii="Times New Roman" w:hAnsi="Times New Roman"/>
          <w:sz w:val="24"/>
          <w:u w:val="single"/>
        </w:rPr>
        <w:t>Fund</w:t>
      </w:r>
      <w:r>
        <w:rPr>
          <w:rFonts w:ascii="Times New Roman" w:hAnsi="Times New Roman"/>
          <w:sz w:val="24"/>
        </w:rPr>
        <w:t xml:space="preserve">” shall mean any Person (other than a natural Person) that is (or will be) engaged in making, purchasing, holding or otherwise investing in commercial loans and similar extensions of credit in the ordinary course of its activities. </w:t>
      </w:r>
    </w:p>
    <w:p>
      <w:pPr>
        <w:pStyle w:val="TextBody"/>
        <w:bidi w:val="0"/>
        <w:spacing w:before="240" w:after="0"/>
        <w:jc w:val="both"/>
        <w:rPr/>
      </w:pPr>
      <w:r>
        <w:rPr/>
        <w:t>“</w:t>
      </w:r>
      <w:r>
        <w:rPr>
          <w:rFonts w:ascii="Times New Roman" w:hAnsi="Times New Roman"/>
          <w:sz w:val="24"/>
          <w:u w:val="single"/>
        </w:rPr>
        <w:t>Funds From Operations</w:t>
      </w:r>
      <w:r>
        <w:rPr>
          <w:rFonts w:ascii="Times New Roman" w:hAnsi="Times New Roman"/>
          <w:sz w:val="24"/>
        </w:rPr>
        <w:t xml:space="preserve">” shall mean net income (computed in accordance with GAAP), excluding gains (or losses) from sales of property and extraordinary and unusual items, </w:t>
      </w:r>
      <w:r>
        <w:rPr>
          <w:rFonts w:ascii="Times New Roman" w:hAnsi="Times New Roman"/>
          <w:i/>
          <w:sz w:val="24"/>
        </w:rPr>
        <w:t xml:space="preserve">plus </w:t>
      </w:r>
      <w:r>
        <w:rPr>
          <w:rFonts w:ascii="Times New Roman" w:hAnsi="Times New Roman"/>
          <w:sz w:val="24"/>
        </w:rPr>
        <w:t xml:space="preserve">depreciation, amortization and dividends declared on preferred stock, and after adjustments for unconsolidated minority interests, on a consolidated basis for the Borrower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GAAP</w:t>
      </w:r>
      <w:r>
        <w:rPr>
          <w:rFonts w:ascii="Times New Roman" w:hAnsi="Times New Roman"/>
          <w:sz w:val="24"/>
        </w:rPr>
        <w:t xml:space="preserve">” shall mean generally accepted accounting principles in the United States, consistently applied and as in effect on the date of this Agreement. </w:t>
      </w:r>
    </w:p>
    <w:p>
      <w:pPr>
        <w:pStyle w:val="TextBody"/>
        <w:bidi w:val="0"/>
        <w:spacing w:before="240" w:after="0"/>
        <w:jc w:val="both"/>
        <w:rPr/>
      </w:pPr>
      <w:r>
        <w:rPr/>
        <w:t>“</w:t>
      </w:r>
      <w:r>
        <w:rPr>
          <w:rFonts w:ascii="Times New Roman" w:hAnsi="Times New Roman"/>
          <w:sz w:val="24"/>
          <w:u w:val="single"/>
        </w:rPr>
        <w:t>Governmental Authority</w:t>
      </w:r>
      <w:r>
        <w:rPr>
          <w:rFonts w:ascii="Times New Roman" w:hAnsi="Times New Roman"/>
          <w:sz w:val="24"/>
        </w:rPr>
        <w:t xml:space="preserve">”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both"/>
        <w:rPr/>
      </w:pPr>
      <w:r>
        <w:rPr/>
        <w:t>“</w:t>
      </w:r>
      <w:r>
        <w:rPr>
          <w:rFonts w:ascii="Times New Roman" w:hAnsi="Times New Roman"/>
          <w:sz w:val="24"/>
          <w:u w:val="single"/>
        </w:rPr>
        <w:t>Granting Lender</w:t>
      </w:r>
      <w:r>
        <w:rPr>
          <w:rFonts w:ascii="Times New Roman" w:hAnsi="Times New Roman"/>
          <w:sz w:val="24"/>
        </w:rPr>
        <w:t xml:space="preserve">” shall have the meaning ascribed thereto in Section 11.4(f) hereof. </w:t>
      </w:r>
    </w:p>
    <w:p>
      <w:pPr>
        <w:pStyle w:val="TextBody"/>
        <w:bidi w:val="0"/>
        <w:spacing w:before="240" w:after="0"/>
        <w:jc w:val="both"/>
        <w:rPr/>
      </w:pPr>
      <w:r>
        <w:rPr/>
        <w:t>“</w:t>
      </w:r>
      <w:r>
        <w:rPr>
          <w:rFonts w:ascii="Times New Roman" w:hAnsi="Times New Roman"/>
          <w:sz w:val="24"/>
          <w:u w:val="single"/>
        </w:rPr>
        <w:t>Guaranty</w:t>
      </w:r>
      <w:r>
        <w:rPr>
          <w:rFonts w:ascii="Times New Roman" w:hAnsi="Times New Roman"/>
          <w:sz w:val="24"/>
        </w:rPr>
        <w:t xml:space="preserve">”, as applied to an obligation, shall mean and include (a) a guaranty, direct or indirect, in any manner, of all or any part of such obligation, and (b) any agreement, direct or indirect, contingent or otherwise, the practical effect of which is to assure in any way the payment or performance (or payment of damages in the event of non-performance) of all or any part of such obligation, including, without limiting the foregoing, any reimbursement obligations as to amounts drawn down by beneficiaries of outstanding letters of credit or capital call requirements;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the term “</w:t>
      </w:r>
      <w:r>
        <w:rPr>
          <w:rFonts w:ascii="Times New Roman" w:hAnsi="Times New Roman"/>
          <w:sz w:val="24"/>
          <w:u w:val="single"/>
        </w:rPr>
        <w:t>Guaranty</w:t>
      </w:r>
      <w:r>
        <w:rPr>
          <w:rFonts w:ascii="Times New Roman" w:hAnsi="Times New Roman"/>
          <w:sz w:val="24"/>
        </w:rPr>
        <w:t xml:space="preserve">” shall only include guarantees of Indebtedness. </w:t>
      </w:r>
    </w:p>
    <w:p>
      <w:pPr>
        <w:pStyle w:val="TextBody"/>
        <w:bidi w:val="0"/>
        <w:spacing w:before="240" w:after="0"/>
        <w:jc w:val="both"/>
        <w:rPr/>
      </w:pPr>
      <w:r>
        <w:rPr/>
        <w:t>“</w:t>
      </w:r>
      <w:r>
        <w:rPr>
          <w:rFonts w:ascii="Times New Roman" w:hAnsi="Times New Roman"/>
          <w:sz w:val="24"/>
          <w:u w:val="single"/>
        </w:rPr>
        <w:t>Hedge Agreements</w:t>
      </w:r>
      <w:r>
        <w:rPr>
          <w:rFonts w:ascii="Times New Roman" w:hAnsi="Times New Roman"/>
          <w:sz w:val="24"/>
        </w:rPr>
        <w:t xml:space="preserve">” shall mean, with respect to any Person, any agreements or other arrangements to which such Person is a party relating to any rate swap transaction, basis swap, forward rate transaction, interest rate cap transaction, interest rate floor transaction, interest rate collar transaction, currency swap transaction, cross-currency rate swap transaction, or any other similar transaction, including an option to enter into any of the foregoing or any combination of the foregoing. </w:t>
      </w:r>
    </w:p>
    <w:p>
      <w:pPr>
        <w:pStyle w:val="TextBody"/>
        <w:bidi w:val="0"/>
        <w:spacing w:before="240" w:after="0"/>
        <w:jc w:val="both"/>
        <w:rPr/>
      </w:pPr>
      <w:r>
        <w:rPr/>
        <w:t>“</w:t>
      </w:r>
      <w:r>
        <w:rPr>
          <w:rFonts w:ascii="Times New Roman" w:hAnsi="Times New Roman"/>
          <w:sz w:val="24"/>
          <w:u w:val="single"/>
        </w:rPr>
        <w:t>Illegality Notice</w:t>
      </w:r>
      <w:r>
        <w:rPr>
          <w:rFonts w:ascii="Times New Roman" w:hAnsi="Times New Roman"/>
          <w:sz w:val="24"/>
        </w:rPr>
        <w:t xml:space="preserve">” has the meaning specified in Section 10.2 hereof. </w:t>
      </w:r>
    </w:p>
    <w:p>
      <w:pPr>
        <w:pStyle w:val="TextBody"/>
        <w:bidi w:val="0"/>
        <w:spacing w:before="240" w:after="0"/>
        <w:jc w:val="both"/>
        <w:rPr/>
      </w:pPr>
      <w:r>
        <w:rPr/>
        <w:t>“</w:t>
      </w:r>
      <w:r>
        <w:rPr>
          <w:rFonts w:ascii="Times New Roman" w:hAnsi="Times New Roman"/>
          <w:sz w:val="24"/>
          <w:u w:val="single"/>
        </w:rPr>
        <w:t>Incremental Term Loan</w:t>
      </w:r>
      <w:r>
        <w:rPr>
          <w:rFonts w:ascii="Times New Roman" w:hAnsi="Times New Roman"/>
          <w:sz w:val="24"/>
        </w:rPr>
        <w:t xml:space="preserve">” shall mean the amounts advanced by the Lenders with an Incremental Term Loan Commitment to the Borrower pursuant to this Agreement. </w:t>
      </w:r>
    </w:p>
    <w:p>
      <w:pPr>
        <w:pStyle w:val="TextBody"/>
        <w:bidi w:val="0"/>
        <w:spacing w:before="240" w:after="0"/>
        <w:jc w:val="both"/>
        <w:rPr/>
      </w:pPr>
      <w:r>
        <w:rPr/>
        <w:t>“</w:t>
      </w:r>
      <w:r>
        <w:rPr>
          <w:rFonts w:ascii="Times New Roman" w:hAnsi="Times New Roman"/>
          <w:sz w:val="24"/>
          <w:u w:val="single"/>
        </w:rPr>
        <w:t>Incremental Term Loan Commitment</w:t>
      </w:r>
      <w:r>
        <w:rPr>
          <w:rFonts w:ascii="Times New Roman" w:hAnsi="Times New Roman"/>
          <w:sz w:val="24"/>
        </w:rPr>
        <w:t xml:space="preserve">” shall have the meaning ascribed thereto in Section 2.13 hereof. </w:t>
      </w:r>
    </w:p>
    <w:p>
      <w:pPr>
        <w:pStyle w:val="TextBody"/>
        <w:bidi w:val="0"/>
        <w:spacing w:before="240" w:after="0"/>
        <w:jc w:val="both"/>
        <w:rPr/>
      </w:pPr>
      <w:r>
        <w:rPr/>
        <w:t>“</w:t>
      </w:r>
      <w:r>
        <w:rPr>
          <w:rFonts w:ascii="Times New Roman" w:hAnsi="Times New Roman"/>
          <w:sz w:val="24"/>
          <w:u w:val="single"/>
        </w:rPr>
        <w:t>Indebtedness</w:t>
      </w:r>
      <w:r>
        <w:rPr>
          <w:rFonts w:ascii="Times New Roman" w:hAnsi="Times New Roman"/>
          <w:sz w:val="24"/>
        </w:rPr>
        <w:t xml:space="preserve">” shall mean, with respect to any Person and without duplication: </w:t>
      </w:r>
    </w:p>
    <w:p>
      <w:pPr>
        <w:pStyle w:val="TextBody"/>
        <w:bidi w:val="0"/>
        <w:spacing w:before="240" w:after="0"/>
        <w:jc w:val="both"/>
        <w:rPr>
          <w:rFonts w:ascii="Times New Roman" w:hAnsi="Times New Roman"/>
          <w:sz w:val="24"/>
        </w:rPr>
      </w:pPr>
      <w:r>
        <w:rPr>
          <w:rFonts w:ascii="Times New Roman" w:hAnsi="Times New Roman"/>
          <w:sz w:val="24"/>
        </w:rPr>
        <w:t xml:space="preserve">(a) indebtedness for money borrowed of such Person and indebtedness of such Person evidenced by notes payable, bonds, debentures or other similar instruments or drafts accepted representing extensions of credit; </w:t>
      </w:r>
    </w:p>
    <w:p>
      <w:pPr>
        <w:pStyle w:val="TextBody"/>
        <w:bidi w:val="0"/>
        <w:spacing w:before="240" w:after="0"/>
        <w:jc w:val="both"/>
        <w:rPr>
          <w:rFonts w:ascii="Times New Roman" w:hAnsi="Times New Roman"/>
          <w:sz w:val="24"/>
        </w:rPr>
      </w:pPr>
      <w:r>
        <w:rPr>
          <w:rFonts w:ascii="Times New Roman" w:hAnsi="Times New Roman"/>
          <w:sz w:val="24"/>
        </w:rPr>
        <w:t xml:space="preserve">(b) all indebtedness of such Person upon which interest charges are customarily paid (other than trade payables arising in the ordinary course of business, but only if and so long as such accounts are payable on customary trade terms); </w:t>
      </w:r>
    </w:p>
    <w:p>
      <w:pPr>
        <w:pStyle w:val="TextBody"/>
        <w:bidi w:val="0"/>
        <w:spacing w:before="240" w:after="0"/>
        <w:jc w:val="both"/>
        <w:rPr>
          <w:rFonts w:ascii="Times New Roman" w:hAnsi="Times New Roman"/>
          <w:sz w:val="24"/>
        </w:rPr>
      </w:pPr>
      <w:r>
        <w:rPr>
          <w:rFonts w:ascii="Times New Roman" w:hAnsi="Times New Roman"/>
          <w:sz w:val="24"/>
        </w:rPr>
        <w:t xml:space="preserve">(c) all Capitalized Lease Obligations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(d) all reimbursement obligations of such Person with respect to outstanding letters of credit; </w:t>
      </w:r>
    </w:p>
    <w:p>
      <w:pPr>
        <w:pStyle w:val="TextBody"/>
        <w:bidi w:val="0"/>
        <w:spacing w:before="240" w:after="0"/>
        <w:jc w:val="both"/>
        <w:rPr>
          <w:rFonts w:ascii="Times New Roman" w:hAnsi="Times New Roman"/>
          <w:sz w:val="24"/>
        </w:rPr>
      </w:pPr>
      <w:r>
        <w:rPr>
          <w:rFonts w:ascii="Times New Roman" w:hAnsi="Times New Roman"/>
          <w:sz w:val="24"/>
        </w:rPr>
        <w:t xml:space="preserve">(e) all indebtedness of such Person issued or assumed as full or partial payment for property or services (other than trade payables arising in the ordinary course of business, but only if and so long as such accounts are payable on customary trade terms); </w:t>
      </w:r>
    </w:p>
    <w:p>
      <w:pPr>
        <w:pStyle w:val="TextBody"/>
        <w:bidi w:val="0"/>
        <w:spacing w:before="240" w:after="0"/>
        <w:jc w:val="both"/>
        <w:rPr>
          <w:rFonts w:ascii="Times New Roman" w:hAnsi="Times New Roman"/>
          <w:sz w:val="24"/>
        </w:rPr>
      </w:pPr>
      <w:r>
        <w:rPr>
          <w:rFonts w:ascii="Times New Roman" w:hAnsi="Times New Roman"/>
          <w:sz w:val="24"/>
        </w:rPr>
        <w:t xml:space="preserve">(f) all net obligations of such Person under Hedge Agreements valued on a marked to market basis on the date of determination; </w:t>
      </w:r>
    </w:p>
    <w:p>
      <w:pPr>
        <w:pStyle w:val="TextBody"/>
        <w:bidi w:val="0"/>
        <w:spacing w:before="240" w:after="0"/>
        <w:jc w:val="both"/>
        <w:rPr>
          <w:rFonts w:ascii="Times New Roman" w:hAnsi="Times New Roman"/>
          <w:sz w:val="24"/>
        </w:rPr>
      </w:pPr>
      <w:r>
        <w:rPr>
          <w:rFonts w:ascii="Times New Roman" w:hAnsi="Times New Roman"/>
          <w:sz w:val="24"/>
        </w:rPr>
        <w:t xml:space="preserve">(g) all direct or indirect obligations of any other Person secured by any Lien to which any property or asset owned by such Person is subject, but only to the extent of the </w:t>
      </w:r>
      <w:r>
        <w:rPr>
          <w:rFonts w:ascii="Times New Roman" w:hAnsi="Times New Roman"/>
          <w:strike/>
          <w:color w:val="FF0000"/>
          <w:sz w:val="24"/>
        </w:rPr>
        <w:t xml:space="preserve">higher of the </w:t>
      </w:r>
      <w:r>
        <w:rPr>
          <w:rFonts w:ascii="Times New Roman" w:hAnsi="Times New Roman"/>
          <w:sz w:val="24"/>
        </w:rPr>
        <w:t xml:space="preserve">fair market value </w:t>
      </w:r>
      <w:r>
        <w:rPr>
          <w:rFonts w:ascii="Times New Roman" w:hAnsi="Times New Roman"/>
          <w:strike/>
          <w:color w:val="FF0000"/>
          <w:sz w:val="24"/>
        </w:rPr>
        <w:t xml:space="preserve">or the book value </w:t>
      </w:r>
      <w:r>
        <w:rPr>
          <w:rFonts w:ascii="Times New Roman" w:hAnsi="Times New Roman"/>
          <w:sz w:val="24"/>
        </w:rPr>
        <w:t xml:space="preserve">of the property or asset subject to such Lien (if less than the amount of such obligation), if the obligation secured thereby shall not have been assumed; and </w:t>
      </w:r>
    </w:p>
    <w:p>
      <w:pPr>
        <w:pStyle w:val="TextBody"/>
        <w:bidi w:val="0"/>
        <w:spacing w:before="240" w:after="0"/>
        <w:jc w:val="both"/>
        <w:rPr>
          <w:rFonts w:ascii="Times New Roman" w:hAnsi="Times New Roman"/>
          <w:sz w:val="24"/>
        </w:rPr>
      </w:pPr>
      <w:r>
        <w:rPr>
          <w:rFonts w:ascii="Times New Roman" w:hAnsi="Times New Roman"/>
          <w:sz w:val="24"/>
        </w:rPr>
        <w:t xml:space="preserve">(h) Guaranties by such Person of any of the foregoing of any other Person. </w:t>
      </w:r>
    </w:p>
    <w:p>
      <w:pPr>
        <w:pStyle w:val="TextBody"/>
        <w:bidi w:val="0"/>
        <w:spacing w:before="240" w:after="0"/>
        <w:jc w:val="both"/>
        <w:rPr/>
      </w:pPr>
      <w:r>
        <w:rPr/>
        <w:t>“</w:t>
      </w:r>
      <w:r>
        <w:rPr>
          <w:rFonts w:ascii="Times New Roman" w:hAnsi="Times New Roman"/>
          <w:sz w:val="24"/>
          <w:u w:val="single"/>
        </w:rPr>
        <w:t>Indemnitee</w:t>
      </w:r>
      <w:r>
        <w:rPr>
          <w:rFonts w:ascii="Times New Roman" w:hAnsi="Times New Roman"/>
          <w:sz w:val="24"/>
        </w:rPr>
        <w:t xml:space="preserve">” shall have the meaning ascribed thereto in Section 11.5 hereof. </w:t>
      </w:r>
    </w:p>
    <w:p>
      <w:pPr>
        <w:pStyle w:val="TextBody"/>
        <w:bidi w:val="0"/>
        <w:spacing w:before="240" w:after="0"/>
        <w:jc w:val="both"/>
        <w:rPr/>
      </w:pPr>
      <w:r>
        <w:rPr/>
        <w:t>“</w:t>
      </w:r>
      <w:r>
        <w:rPr>
          <w:rFonts w:ascii="Times New Roman" w:hAnsi="Times New Roman"/>
          <w:sz w:val="24"/>
          <w:u w:val="single"/>
        </w:rPr>
        <w:t>Initial Term Loans</w:t>
      </w:r>
      <w:r>
        <w:rPr>
          <w:rFonts w:ascii="Times New Roman" w:hAnsi="Times New Roman"/>
          <w:sz w:val="24"/>
        </w:rPr>
        <w:t xml:space="preserve">” shall have the meaning ascribed thereto in the Recitals hereof. </w:t>
      </w:r>
    </w:p>
    <w:p>
      <w:pPr>
        <w:pStyle w:val="TextBody"/>
        <w:bidi w:val="0"/>
        <w:spacing w:before="240" w:after="0"/>
        <w:jc w:val="both"/>
        <w:rPr/>
      </w:pPr>
      <w:r>
        <w:rPr/>
        <w:t>“</w:t>
      </w:r>
      <w:r>
        <w:rPr>
          <w:rFonts w:ascii="Times New Roman" w:hAnsi="Times New Roman"/>
          <w:sz w:val="24"/>
          <w:u w:val="single"/>
        </w:rPr>
        <w:t>Interest Expense</w:t>
      </w:r>
      <w:r>
        <w:rPr>
          <w:rFonts w:ascii="Times New Roman" w:hAnsi="Times New Roman"/>
          <w:sz w:val="24"/>
        </w:rPr>
        <w:t xml:space="preserve">” shall mean, for any Person and for any period, all cash interest expense (including imputed interest with respect to Capitalized Lease Obligations and commitment fees) with respect to any Indebtedness (including, without limitation, the Obligations) and Attributable Debt of such Person during such period pursuant to the terms of such Indebtedness. </w:t>
      </w:r>
    </w:p>
    <w:p>
      <w:pPr>
        <w:pStyle w:val="TextBody"/>
        <w:bidi w:val="0"/>
        <w:spacing w:before="240" w:after="0"/>
        <w:jc w:val="both"/>
        <w:rPr/>
      </w:pPr>
      <w:r>
        <w:rPr/>
        <w:t>“</w:t>
      </w:r>
      <w:r>
        <w:rPr>
          <w:rFonts w:ascii="Times New Roman" w:hAnsi="Times New Roman"/>
          <w:sz w:val="24"/>
          <w:u w:val="single"/>
        </w:rPr>
        <w:t>Interest Period</w:t>
      </w:r>
      <w:r>
        <w:rPr>
          <w:rFonts w:ascii="Times New Roman" w:hAnsi="Times New Roman"/>
          <w:sz w:val="24"/>
        </w:rPr>
        <w:t xml:space="preserve">” shall mean (a) in connection with any Base Rate Advance, the period beginning on the date such Advance is made as or Converted to a Base Rate Advance and ending on the last day of the fiscal quarter in which such Advance is made as or Converted to a Base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 Base Rate Advance is made or Converted on the last day of any fiscal quarter, it shall have an Interest Period ending on, and its Payment Date shall be, the last day of the following fiscal quarter, and (b) in connection with any SOFR Advance, the term of such SOFR Advance selected by the Borrower or otherwise determined in accordance with this Agreement. Notwithstanding the foregoing, however, (i) any applicable Interest Period which would otherwise end on a day which is not a Business Day shall be extended to the next Business Day unless, with respect to SOFR Advances only, such Business Day falls in another calendar month, in which case such Interest Period shall end on the next preceding Business Day, (ii) any applicable Interest Period, with respect to SOFR Advances only, which begins on a day for which there is no numerically corresponding day in the calendar month during which such Interest Period is to end shall (subject to clause (i) above) end on the last day of such calendar month, and (iii) the Borrower shall not select an Interest Period with respect to any portion of the Loans which extends beyond the Term Loan Maturity Date or such earlier date as would interfere with the Borrower’s repayment obligations under Section 2.6 hereof. Interest shall be due and payable with respect to any Advance as provided in Section 2.3 hereof. </w:t>
      </w:r>
    </w:p>
    <w:p>
      <w:pPr>
        <w:pStyle w:val="TextBody"/>
        <w:bidi w:val="0"/>
        <w:spacing w:before="240" w:after="0"/>
        <w:jc w:val="both"/>
        <w:rPr/>
      </w:pPr>
      <w:r>
        <w:rPr/>
        <w:t>“</w:t>
      </w:r>
      <w:r>
        <w:rPr>
          <w:rFonts w:ascii="Times New Roman" w:hAnsi="Times New Roman"/>
          <w:sz w:val="24"/>
          <w:u w:val="single"/>
        </w:rPr>
        <w:t>Interest Rate Basis</w:t>
      </w:r>
      <w:r>
        <w:rPr>
          <w:rFonts w:ascii="Times New Roman" w:hAnsi="Times New Roman"/>
          <w:sz w:val="24"/>
        </w:rPr>
        <w:t xml:space="preserve">” shall mean the Base Rate Basis or the SOFR Basis, as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Investment</w:t>
      </w:r>
      <w:r>
        <w:rPr>
          <w:rFonts w:ascii="Times New Roman" w:hAnsi="Times New Roman"/>
          <w:sz w:val="24"/>
        </w:rPr>
        <w:t xml:space="preserve">” shall mean any investment or loan by the Borrower or any of its Subsidiaries in or to any Person which Person, after giving effect to such investment or loan, is not consolidated with the Borrower and its Subsidiaries in accordance with GAAP. </w:t>
      </w:r>
    </w:p>
    <w:p>
      <w:pPr>
        <w:pStyle w:val="TextBody"/>
        <w:bidi w:val="0"/>
        <w:spacing w:before="240" w:after="0"/>
        <w:jc w:val="both"/>
        <w:rPr/>
      </w:pPr>
      <w:r>
        <w:rPr/>
        <w:t>“</w:t>
      </w:r>
      <w:r>
        <w:rPr>
          <w:rFonts w:ascii="Times New Roman" w:hAnsi="Times New Roman"/>
          <w:sz w:val="24"/>
          <w:u w:val="single"/>
        </w:rPr>
        <w:t>Joint Lead Arrangers</w:t>
      </w:r>
      <w:r>
        <w:rPr>
          <w:rFonts w:ascii="Times New Roman" w:hAnsi="Times New Roman"/>
          <w:sz w:val="24"/>
        </w:rPr>
        <w:t xml:space="preserve">” shall mean Mizuho Bank, Ltd. and each other financial institution identified as a joint lead arranger on the cover of this Agreement. </w:t>
      </w:r>
    </w:p>
    <w:p>
      <w:pPr>
        <w:pStyle w:val="TextBody"/>
        <w:bidi w:val="0"/>
        <w:spacing w:before="240" w:after="0"/>
        <w:jc w:val="both"/>
        <w:rPr/>
      </w:pPr>
      <w:r>
        <w:rPr/>
        <w:t>“</w:t>
      </w:r>
      <w:r>
        <w:rPr>
          <w:rFonts w:ascii="Times New Roman" w:hAnsi="Times New Roman"/>
          <w:sz w:val="24"/>
          <w:u w:val="single"/>
        </w:rPr>
        <w:t>known to the Borrower</w:t>
      </w:r>
      <w:r>
        <w:rPr>
          <w:rFonts w:ascii="Times New Roman" w:hAnsi="Times New Roman"/>
          <w:sz w:val="24"/>
        </w:rPr>
        <w:t>”, “</w:t>
      </w:r>
      <w:r>
        <w:rPr>
          <w:rFonts w:ascii="Times New Roman" w:hAnsi="Times New Roman"/>
          <w:sz w:val="24"/>
          <w:u w:val="single"/>
        </w:rPr>
        <w:t>to the knowledge of the Borrower</w:t>
      </w:r>
      <w:r>
        <w:rPr>
          <w:rFonts w:ascii="Times New Roman" w:hAnsi="Times New Roman"/>
          <w:sz w:val="24"/>
        </w:rPr>
        <w:t xml:space="preserve">” or any similar phrase, shall mean known by, or reasonably should have been known by, the executive officers of the Borrower (which shall include, without limitation, the chief executive officer, the chief operating officer, if any, the chief financial officer and the general counsel of the Borrower). </w:t>
      </w:r>
    </w:p>
    <w:p>
      <w:pPr>
        <w:pStyle w:val="TextBody"/>
        <w:bidi w:val="0"/>
        <w:spacing w:before="240" w:after="0"/>
        <w:jc w:val="both"/>
        <w:rPr/>
      </w:pPr>
      <w:r>
        <w:rPr/>
        <w:t>“</w:t>
      </w:r>
      <w:r>
        <w:rPr>
          <w:rFonts w:ascii="Times New Roman" w:hAnsi="Times New Roman"/>
          <w:sz w:val="24"/>
          <w:u w:val="single"/>
        </w:rPr>
        <w:t>Lenders</w:t>
      </w:r>
      <w:r>
        <w:rPr>
          <w:rFonts w:ascii="Times New Roman" w:hAnsi="Times New Roman"/>
          <w:sz w:val="24"/>
        </w:rPr>
        <w:t>” shall mean the Persons whose names appear as “</w:t>
      </w:r>
      <w:r>
        <w:rPr>
          <w:rFonts w:ascii="Times New Roman" w:hAnsi="Times New Roman"/>
          <w:sz w:val="24"/>
          <w:u w:val="single"/>
        </w:rPr>
        <w:t>Lenders</w:t>
      </w:r>
      <w:r>
        <w:rPr>
          <w:rFonts w:ascii="Times New Roman" w:hAnsi="Times New Roman"/>
          <w:sz w:val="24"/>
        </w:rPr>
        <w:t>” on Schedule 1, any other Person which becomes a “</w:t>
      </w:r>
      <w:r>
        <w:rPr>
          <w:rFonts w:ascii="Times New Roman" w:hAnsi="Times New Roman"/>
          <w:sz w:val="24"/>
          <w:u w:val="single"/>
        </w:rPr>
        <w:t>Lender</w:t>
      </w:r>
      <w:r>
        <w:rPr>
          <w:rFonts w:ascii="Times New Roman" w:hAnsi="Times New Roman"/>
          <w:sz w:val="24"/>
        </w:rPr>
        <w:t xml:space="preserve">” hereunder after the Second Restatement Date by executing an Assignment and Assumption substantially in the form of </w:t>
      </w:r>
      <w:r>
        <w:rPr>
          <w:rFonts w:ascii="Times New Roman" w:hAnsi="Times New Roman"/>
          <w:sz w:val="24"/>
          <w:u w:val="single"/>
        </w:rPr>
        <w:t>Exhibit F</w:t>
      </w:r>
      <w:r>
        <w:rPr>
          <w:rFonts w:ascii="Times New Roman" w:hAnsi="Times New Roman"/>
          <w:sz w:val="24"/>
        </w:rPr>
        <w:t xml:space="preserve"> attached hereto in accordance with the provisions hereof; and “</w:t>
      </w:r>
      <w:r>
        <w:rPr>
          <w:rFonts w:ascii="Times New Roman" w:hAnsi="Times New Roman"/>
          <w:sz w:val="24"/>
          <w:u w:val="single"/>
        </w:rPr>
        <w:t>Lender</w:t>
      </w:r>
      <w:r>
        <w:rPr>
          <w:rFonts w:ascii="Times New Roman" w:hAnsi="Times New Roman"/>
          <w:sz w:val="24"/>
        </w:rPr>
        <w:t xml:space="preserve">” shall mean any one of the foregoing Lenders. </w:t>
      </w:r>
    </w:p>
    <w:p>
      <w:pPr>
        <w:pStyle w:val="TextBody"/>
        <w:bidi w:val="0"/>
        <w:spacing w:before="240" w:after="0"/>
        <w:jc w:val="both"/>
        <w:rPr/>
      </w:pPr>
      <w:r>
        <w:rPr/>
        <w:t>“</w:t>
      </w:r>
      <w:r>
        <w:rPr>
          <w:rFonts w:ascii="Times New Roman" w:hAnsi="Times New Roman"/>
          <w:sz w:val="24"/>
          <w:u w:val="single"/>
        </w:rPr>
        <w:t>Licenses</w:t>
      </w:r>
      <w:r>
        <w:rPr>
          <w:rFonts w:ascii="Times New Roman" w:hAnsi="Times New Roman"/>
          <w:sz w:val="24"/>
        </w:rPr>
        <w:t xml:space="preserve">” shall mean, collectively, any telephone, microwave, radio transmissions, personal communications or other license, authorization, certificate of compliance, franchise, approval or permit, whether for the construction, the ownership or the operation of any communications tower facilities, granted or issued by the FCC and held by the Borrower or any of its Subsidiaries. </w:t>
      </w:r>
    </w:p>
    <w:p>
      <w:pPr>
        <w:pStyle w:val="TextBody"/>
        <w:bidi w:val="0"/>
        <w:spacing w:before="240" w:after="0"/>
        <w:jc w:val="both"/>
        <w:rPr/>
      </w:pPr>
      <w:r>
        <w:rPr/>
        <w:t>“</w:t>
      </w:r>
      <w:r>
        <w:rPr>
          <w:rFonts w:ascii="Times New Roman" w:hAnsi="Times New Roman"/>
          <w:sz w:val="24"/>
          <w:u w:val="single"/>
        </w:rPr>
        <w:t>Lien</w:t>
      </w:r>
      <w:r>
        <w:rPr>
          <w:rFonts w:ascii="Times New Roman" w:hAnsi="Times New Roman"/>
          <w:sz w:val="24"/>
        </w:rPr>
        <w:t xml:space="preserve">” shall mean, with respect to any property, any mortgage, lien, pledge, charge, security interest, title retention agreement or other encumbrance of any kind in respect of such property. </w:t>
      </w:r>
    </w:p>
    <w:p>
      <w:pPr>
        <w:pStyle w:val="TextBody"/>
        <w:bidi w:val="0"/>
        <w:spacing w:before="240" w:after="0"/>
        <w:jc w:val="both"/>
        <w:rPr/>
      </w:pPr>
      <w:r>
        <w:rPr/>
        <w:t>“</w:t>
      </w:r>
      <w:r>
        <w:rPr>
          <w:rFonts w:ascii="Times New Roman" w:hAnsi="Times New Roman"/>
          <w:sz w:val="24"/>
          <w:u w:val="single"/>
        </w:rPr>
        <w:t>Loan Documents</w:t>
      </w:r>
      <w:r>
        <w:rPr>
          <w:rFonts w:ascii="Times New Roman" w:hAnsi="Times New Roman"/>
          <w:sz w:val="24"/>
        </w:rPr>
        <w:t xml:space="preserve">” shall mean, collectively, this Agreement, the Notes, all fee letters, all Requests for Advance and all other certificates, documents, instruments and agreements executed or delivered by the Borrower in connection with or contemplated by this Agreement. </w:t>
      </w:r>
    </w:p>
    <w:p>
      <w:pPr>
        <w:pStyle w:val="TextBody"/>
        <w:bidi w:val="0"/>
        <w:spacing w:before="240" w:after="0"/>
        <w:jc w:val="both"/>
        <w:rPr/>
      </w:pPr>
      <w:r>
        <w:rPr/>
        <w:t>“</w:t>
      </w:r>
      <w:r>
        <w:rPr>
          <w:rFonts w:ascii="Times New Roman" w:hAnsi="Times New Roman"/>
          <w:sz w:val="24"/>
          <w:u w:val="single"/>
        </w:rPr>
        <w:t>Loans</w:t>
      </w:r>
      <w:r>
        <w:rPr>
          <w:rFonts w:ascii="Times New Roman" w:hAnsi="Times New Roman"/>
          <w:sz w:val="24"/>
        </w:rPr>
        <w:t xml:space="preserve">” shall mean the Term Loans and the Incremental Term Loans. </w:t>
      </w:r>
    </w:p>
    <w:p>
      <w:pPr>
        <w:pStyle w:val="TextBody"/>
        <w:bidi w:val="0"/>
        <w:spacing w:before="240" w:after="0"/>
        <w:jc w:val="both"/>
        <w:rPr/>
      </w:pPr>
      <w:r>
        <w:rPr/>
        <w:t>“</w:t>
      </w:r>
      <w:r>
        <w:rPr>
          <w:rFonts w:ascii="Times New Roman" w:hAnsi="Times New Roman"/>
          <w:sz w:val="24"/>
          <w:u w:val="single"/>
        </w:rPr>
        <w:t>Majority Lenders</w:t>
      </w:r>
      <w:r>
        <w:rPr>
          <w:rFonts w:ascii="Times New Roman" w:hAnsi="Times New Roman"/>
          <w:sz w:val="24"/>
        </w:rPr>
        <w:t xml:space="preserve">” shall mean Lenders the total of whose Loans and/or Commitments then outstanding, exceeds fifty percent (50%) of the sum of the aggregate Loans then outstanding; </w:t>
      </w:r>
      <w:r>
        <w:rPr>
          <w:rFonts w:ascii="Times New Roman" w:hAnsi="Times New Roman"/>
          <w:sz w:val="24"/>
          <w:u w:val="single"/>
        </w:rPr>
        <w:t>provided</w:t>
      </w:r>
      <w:r>
        <w:rPr>
          <w:rFonts w:ascii="Times New Roman" w:hAnsi="Times New Roman"/>
          <w:sz w:val="24"/>
        </w:rPr>
        <w:t xml:space="preserve"> that the Commitment of, and the portion of the Loans then outstanding held or deemed held by, any Defaulting Lender shall be excluded for purposes of making a determination of Majority Lenders. </w:t>
      </w:r>
    </w:p>
    <w:p>
      <w:pPr>
        <w:pStyle w:val="TextBody"/>
        <w:bidi w:val="0"/>
        <w:spacing w:before="240" w:after="0"/>
        <w:jc w:val="both"/>
        <w:rPr/>
      </w:pPr>
      <w:r>
        <w:rPr/>
        <w:t>“</w:t>
      </w:r>
      <w:r>
        <w:rPr>
          <w:rFonts w:ascii="Times New Roman" w:hAnsi="Times New Roman"/>
          <w:sz w:val="24"/>
          <w:u w:val="single"/>
        </w:rPr>
        <w:t>Material Subsidiary</w:t>
      </w:r>
      <w:r>
        <w:rPr>
          <w:rFonts w:ascii="Times New Roman" w:hAnsi="Times New Roman"/>
          <w:sz w:val="24"/>
        </w:rPr>
        <w:t xml:space="preserve">” shall mean any Subsidiary of the Borrower whose Adjusted EBITDA, as of the last day of any fiscal year, is greater than ten percent (10%) of the Adjusted EBITDA of the Borrower and its subsidiaries on a consolidated basis as of such date. </w:t>
      </w:r>
    </w:p>
    <w:p>
      <w:pPr>
        <w:pStyle w:val="TextBody"/>
        <w:bidi w:val="0"/>
        <w:spacing w:before="240" w:after="0"/>
        <w:jc w:val="both"/>
        <w:rPr/>
      </w:pPr>
      <w:r>
        <w:rPr/>
        <w:t>“</w:t>
      </w:r>
      <w:r>
        <w:rPr>
          <w:rFonts w:ascii="Times New Roman" w:hAnsi="Times New Roman"/>
          <w:sz w:val="24"/>
          <w:u w:val="single"/>
        </w:rPr>
        <w:t>Material Subsidiary Group</w:t>
      </w:r>
      <w:r>
        <w:rPr>
          <w:rFonts w:ascii="Times New Roman" w:hAnsi="Times New Roman"/>
          <w:sz w:val="24"/>
        </w:rPr>
        <w:t xml:space="preserve">” shall mean one or more Subsidiaries of the Borrower when taken as a whole whose Adjusted EBITDA, as of the last day of any fiscal year, is greater than ten percent (10%) of the Adjusted EBITDA of the Borrower and its subsidiaries on a consolidated basis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Materially Adverse Effect</w:t>
      </w:r>
      <w:r>
        <w:rPr>
          <w:rFonts w:ascii="Times New Roman" w:hAnsi="Times New Roman"/>
          <w:sz w:val="24"/>
        </w:rPr>
        <w:t xml:space="preserve">” shall mean (a) any material adverse effect upon the business, assets, liabilities, financial condition or results of operations of the Borrower and its Subsidiaries, taken as a whole, or (b) a material adverse effect upon any material rights or benefits of the Lenders or the Administrative Agent under the Loan Documents. </w:t>
      </w:r>
    </w:p>
    <w:p>
      <w:pPr>
        <w:pStyle w:val="TextBody"/>
        <w:bidi w:val="0"/>
        <w:spacing w:before="240" w:after="0"/>
        <w:jc w:val="both"/>
        <w:rPr/>
      </w:pPr>
      <w:r>
        <w:rPr/>
        <w:t>“</w:t>
      </w:r>
      <w:r>
        <w:rPr>
          <w:rFonts w:ascii="Times New Roman" w:hAnsi="Times New Roman"/>
          <w:sz w:val="24"/>
          <w:u w:val="single"/>
        </w:rPr>
        <w:t>Moody’s</w:t>
      </w:r>
      <w:r>
        <w:rPr>
          <w:rFonts w:ascii="Times New Roman" w:hAnsi="Times New Roman"/>
          <w:sz w:val="24"/>
        </w:rPr>
        <w:t xml:space="preserve">” shall mean Moody’s Investor’s Service, Inc., and its successors. </w:t>
      </w:r>
    </w:p>
    <w:p>
      <w:pPr>
        <w:pStyle w:val="TextBody"/>
        <w:bidi w:val="0"/>
        <w:spacing w:before="240" w:after="0"/>
        <w:jc w:val="both"/>
        <w:rPr/>
      </w:pPr>
      <w:r>
        <w:rPr/>
        <w:t>“</w:t>
      </w:r>
      <w:r>
        <w:rPr>
          <w:rFonts w:ascii="Times New Roman" w:hAnsi="Times New Roman"/>
          <w:sz w:val="24"/>
          <w:u w:val="single"/>
        </w:rPr>
        <w:t>Necessary Authorizations</w:t>
      </w:r>
      <w:r>
        <w:rPr>
          <w:rFonts w:ascii="Times New Roman" w:hAnsi="Times New Roman"/>
          <w:sz w:val="24"/>
        </w:rPr>
        <w:t xml:space="preserve">” shall mean all approvals and licenses from, and all filings and registrations with, any governmental or other regulatory authority, including, without limiting the foregoing, the Licenses and all approvals, licenses, filings and registrations under the Communications Act, necessary in order to enable the Borrower and its Subsidiaries to own, construct, maintain, and operate communications tower facilities and to invest in other Persons who own, construct, maintain, manage and operate communications tower facilities. </w:t>
      </w:r>
    </w:p>
    <w:p>
      <w:pPr>
        <w:pStyle w:val="TextBody"/>
        <w:bidi w:val="0"/>
        <w:spacing w:before="240" w:after="0"/>
        <w:jc w:val="both"/>
        <w:rPr/>
      </w:pPr>
      <w:r>
        <w:rPr/>
        <w:t>“</w:t>
      </w:r>
      <w:r>
        <w:rPr>
          <w:rFonts w:ascii="Times New Roman" w:hAnsi="Times New Roman"/>
          <w:sz w:val="24"/>
          <w:u w:val="single"/>
        </w:rPr>
        <w:t>Net Income</w:t>
      </w:r>
      <w:r>
        <w:rPr>
          <w:rFonts w:ascii="Times New Roman" w:hAnsi="Times New Roman"/>
          <w:sz w:val="24"/>
        </w:rPr>
        <w:t xml:space="preserve">” shall mean, for any Person and for any period of determination, net income of such Person determined in accordance with GAAP. </w:t>
      </w:r>
    </w:p>
    <w:p>
      <w:pPr>
        <w:pStyle w:val="TextBody"/>
        <w:bidi w:val="0"/>
        <w:spacing w:before="240" w:after="0"/>
        <w:jc w:val="both"/>
        <w:rPr/>
      </w:pPr>
      <w:r>
        <w:rPr/>
        <w:t>“</w:t>
      </w:r>
      <w:r>
        <w:rPr>
          <w:rFonts w:ascii="Times New Roman" w:hAnsi="Times New Roman"/>
          <w:sz w:val="24"/>
          <w:u w:val="single"/>
        </w:rPr>
        <w:t>New Lender</w:t>
      </w:r>
      <w:r>
        <w:rPr>
          <w:rFonts w:ascii="Times New Roman" w:hAnsi="Times New Roman"/>
          <w:sz w:val="24"/>
        </w:rPr>
        <w:t xml:space="preserve">” shall have the meaning ascribed thereto in Section 2.13 hereof. </w:t>
      </w:r>
    </w:p>
    <w:p>
      <w:pPr>
        <w:pStyle w:val="TextBody"/>
        <w:bidi w:val="0"/>
        <w:spacing w:before="240" w:after="0"/>
        <w:jc w:val="both"/>
        <w:rPr/>
      </w:pPr>
      <w:r>
        <w:rPr/>
        <w:t>“</w:t>
      </w:r>
      <w:r>
        <w:rPr>
          <w:rFonts w:ascii="Times New Roman" w:hAnsi="Times New Roman"/>
          <w:sz w:val="24"/>
          <w:u w:val="single"/>
        </w:rPr>
        <w:t>Non-Consenting Lender</w:t>
      </w:r>
      <w:r>
        <w:rPr>
          <w:rFonts w:ascii="Times New Roman" w:hAnsi="Times New Roman"/>
          <w:sz w:val="24"/>
        </w:rPr>
        <w:t xml:space="preserve">” shall have the meaning ascribed thereto in Section 11.11(b) hereof. </w:t>
      </w:r>
    </w:p>
    <w:p>
      <w:pPr>
        <w:pStyle w:val="TextBody"/>
        <w:bidi w:val="0"/>
        <w:spacing w:before="240" w:after="0"/>
        <w:jc w:val="both"/>
        <w:rPr/>
      </w:pPr>
      <w:r>
        <w:rPr/>
        <w:t>“</w:t>
      </w:r>
      <w:r>
        <w:rPr>
          <w:rFonts w:ascii="Times New Roman" w:hAnsi="Times New Roman"/>
          <w:sz w:val="24"/>
          <w:u w:val="single"/>
        </w:rPr>
        <w:t>Non-Excluded Taxes</w:t>
      </w:r>
      <w:r>
        <w:rPr>
          <w:rFonts w:ascii="Times New Roman" w:hAnsi="Times New Roman"/>
          <w:sz w:val="24"/>
        </w:rPr>
        <w:t xml:space="preserve">” shall have the meaning ascribed thereto in Section 10.3(b) hereof. </w:t>
      </w:r>
    </w:p>
    <w:p>
      <w:pPr>
        <w:pStyle w:val="TextBody"/>
        <w:bidi w:val="0"/>
        <w:spacing w:before="240" w:after="0"/>
        <w:jc w:val="both"/>
        <w:rPr/>
      </w:pPr>
      <w:r>
        <w:rPr/>
        <w:t>“</w:t>
      </w:r>
      <w:r>
        <w:rPr>
          <w:rFonts w:ascii="Times New Roman" w:hAnsi="Times New Roman"/>
          <w:sz w:val="24"/>
          <w:u w:val="single"/>
        </w:rPr>
        <w:t>Non-U.S. Person</w:t>
      </w:r>
      <w:r>
        <w:rPr>
          <w:rFonts w:ascii="Times New Roman" w:hAnsi="Times New Roman"/>
          <w:sz w:val="24"/>
        </w:rPr>
        <w:t xml:space="preserve">” shall mean a Person who is not a U.S. Person. </w:t>
      </w:r>
    </w:p>
    <w:p>
      <w:pPr>
        <w:pStyle w:val="TextBody"/>
        <w:bidi w:val="0"/>
        <w:spacing w:before="240" w:after="0"/>
        <w:jc w:val="both"/>
        <w:rPr/>
      </w:pPr>
      <w:r>
        <w:rPr/>
        <w:t>“</w:t>
      </w:r>
      <w:r>
        <w:rPr>
          <w:rFonts w:ascii="Times New Roman" w:hAnsi="Times New Roman"/>
          <w:sz w:val="24"/>
          <w:u w:val="single"/>
        </w:rPr>
        <w:t>Notes</w:t>
      </w:r>
      <w:r>
        <w:rPr>
          <w:rFonts w:ascii="Times New Roman" w:hAnsi="Times New Roman"/>
          <w:sz w:val="24"/>
        </w:rPr>
        <w:t xml:space="preserve">” shall mean, collectively, those certain term loan promissory notes in an aggregate original principal amount of up to the Commitments, issued by the Borrower to the Lenders, each one substantially in the form of Exhibit C attached hereto, and any extensions, renewals or amendments to, or replacements of, the foregoing. </w:t>
      </w:r>
    </w:p>
    <w:p>
      <w:pPr>
        <w:pStyle w:val="TextBody"/>
        <w:bidi w:val="0"/>
        <w:spacing w:before="240" w:after="0"/>
        <w:jc w:val="both"/>
        <w:rPr/>
      </w:pPr>
      <w:r>
        <w:rPr/>
        <w:t>“</w:t>
      </w:r>
      <w:r>
        <w:rPr>
          <w:rFonts w:ascii="Times New Roman" w:hAnsi="Times New Roman"/>
          <w:sz w:val="24"/>
          <w:u w:val="single"/>
        </w:rPr>
        <w:t>NYFRB</w:t>
      </w:r>
      <w:r>
        <w:rPr>
          <w:rFonts w:ascii="Times New Roman" w:hAnsi="Times New Roman"/>
          <w:sz w:val="24"/>
        </w:rPr>
        <w:t xml:space="preserve">” shall mean the Federal Reserve Bank of New York. </w:t>
      </w:r>
    </w:p>
    <w:p>
      <w:pPr>
        <w:pStyle w:val="TextBody"/>
        <w:bidi w:val="0"/>
        <w:spacing w:before="240" w:after="0"/>
        <w:jc w:val="both"/>
        <w:rPr/>
      </w:pPr>
      <w:r>
        <w:rPr/>
        <w:t>“</w:t>
      </w:r>
      <w:r>
        <w:rPr>
          <w:rFonts w:ascii="Times New Roman" w:hAnsi="Times New Roman"/>
          <w:sz w:val="24"/>
          <w:u w:val="single"/>
        </w:rPr>
        <w:t>NYFRB Rate</w:t>
      </w:r>
      <w:r>
        <w:rPr>
          <w:rFonts w:ascii="Times New Roman" w:hAnsi="Times New Roman"/>
          <w:sz w:val="24"/>
        </w:rPr>
        <w:t xml:space="preserve">” shall mean, for any day, the greater of (a) the Federal Funds Rate in effect on such day and (b) the Overnight Bank Funding Rate in effect on such day (or for any day that is not a Business Day, for the immediately preceding Business Day); provided that if none of such rates are published for any day that is a Business Day, the term “NYFRB Rate” shall mean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 </w:t>
      </w:r>
    </w:p>
    <w:p>
      <w:pPr>
        <w:pStyle w:val="TextBody"/>
        <w:bidi w:val="0"/>
        <w:spacing w:before="240" w:after="0"/>
        <w:jc w:val="both"/>
        <w:rPr/>
      </w:pPr>
      <w:r>
        <w:rPr/>
        <w:t>“</w:t>
      </w:r>
      <w:r>
        <w:rPr>
          <w:rFonts w:ascii="Times New Roman" w:hAnsi="Times New Roman"/>
          <w:sz w:val="24"/>
          <w:u w:val="single"/>
        </w:rPr>
        <w:t>Obligations</w:t>
      </w:r>
      <w:r>
        <w:rPr>
          <w:rFonts w:ascii="Times New Roman" w:hAnsi="Times New Roman"/>
          <w:sz w:val="24"/>
        </w:rPr>
        <w:t xml:space="preserve">” shall mean all payment and performance obligations of every kind, nature and description of the Borrower to the Lenders or the Administrative Agent, or any of them, under this Agreement and the other Loan Documents (including, without limitation, any interest, fees and other charges on the Loans or otherwise under the Loan Documents that would accrue but for the filing of a bankruptcy action with respect to the Borrower, whether or not such claim is allowed in such bankruptcy action), as they may be amended from time to time, or as a result of making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Loans, whether such obligations are direct or indirect, absolute or contingent, due or not due, contractual or based in tort, liquidated or unliquidated, arising by operation of law or otherwise, now existing or hereafter arising. </w:t>
      </w:r>
    </w:p>
    <w:p>
      <w:pPr>
        <w:pStyle w:val="TextBody"/>
        <w:bidi w:val="0"/>
        <w:spacing w:before="240" w:after="0"/>
        <w:jc w:val="both"/>
        <w:rPr/>
      </w:pPr>
      <w:r>
        <w:rPr/>
        <w:t>“</w:t>
      </w:r>
      <w:r>
        <w:rPr>
          <w:rFonts w:ascii="Times New Roman" w:hAnsi="Times New Roman"/>
          <w:sz w:val="24"/>
          <w:u w:val="single"/>
        </w:rPr>
        <w:t>OFAC</w:t>
      </w:r>
      <w:r>
        <w:rPr>
          <w:rFonts w:ascii="Times New Roman" w:hAnsi="Times New Roman"/>
          <w:sz w:val="24"/>
        </w:rPr>
        <w:t xml:space="preserve">” shall mean the U.S. Department of the Treasury’s Office of Foreign Assets Control. </w:t>
      </w:r>
    </w:p>
    <w:p>
      <w:pPr>
        <w:pStyle w:val="TextBody"/>
        <w:bidi w:val="0"/>
        <w:spacing w:before="240" w:after="0"/>
        <w:jc w:val="both"/>
        <w:rPr/>
      </w:pPr>
      <w:r>
        <w:rPr/>
        <w:t>“</w:t>
      </w:r>
      <w:r>
        <w:rPr>
          <w:rFonts w:ascii="Times New Roman" w:hAnsi="Times New Roman"/>
          <w:sz w:val="24"/>
          <w:u w:val="single"/>
        </w:rPr>
        <w:t>Ownership Interests</w:t>
      </w:r>
      <w:r>
        <w:rPr>
          <w:rFonts w:ascii="Times New Roman" w:hAnsi="Times New Roman"/>
          <w:sz w:val="24"/>
        </w:rPr>
        <w:t xml:space="preserve">” shall mean, as applied to any Person, corporate stock and any and all securities, shares, partnership interests (whether general, limited, special or other), limited liability company interests, membership interests, equity interests, participations, rights or other equivalents (however designated and of any character) of corporate stock of such Person or any of the foregoing issued by such Person (whether a corporation, a partnership, a limited liability company or another type of entity) and includes, without limitation, securities convertible into Ownership Interests and rights, warrants or options to acquire Ownership Interests. </w:t>
      </w:r>
    </w:p>
    <w:p>
      <w:pPr>
        <w:pStyle w:val="TextBody"/>
        <w:bidi w:val="0"/>
        <w:spacing w:before="240" w:after="0"/>
        <w:jc w:val="both"/>
        <w:rPr/>
      </w:pPr>
      <w:r>
        <w:rPr/>
        <w:t>“</w:t>
      </w:r>
      <w:r>
        <w:rPr>
          <w:rFonts w:ascii="Times New Roman" w:hAnsi="Times New Roman"/>
          <w:sz w:val="24"/>
          <w:u w:val="single"/>
        </w:rPr>
        <w:t>Payment Date</w:t>
      </w:r>
      <w:r>
        <w:rPr>
          <w:rFonts w:ascii="Times New Roman" w:hAnsi="Times New Roman"/>
          <w:sz w:val="24"/>
        </w:rPr>
        <w:t xml:space="preserve">” shall mean the last day of any Interest Period (provided that the Payment Date for any Interest Period of more than three months’ in duration shall be each Business Day prior to the last day of such Interest Period that occurs at intervals of three months’ duration after the first day of such Interest Period). </w:t>
      </w:r>
    </w:p>
    <w:p>
      <w:pPr>
        <w:pStyle w:val="TextBody"/>
        <w:bidi w:val="0"/>
        <w:spacing w:before="240" w:after="0"/>
        <w:jc w:val="both"/>
        <w:rPr/>
      </w:pPr>
      <w:r>
        <w:rPr/>
        <w:t>“</w:t>
      </w:r>
      <w:r>
        <w:rPr>
          <w:rFonts w:ascii="Times New Roman" w:hAnsi="Times New Roman"/>
          <w:sz w:val="24"/>
          <w:u w:val="single"/>
        </w:rPr>
        <w:t>PBGC</w:t>
      </w:r>
      <w:r>
        <w:rPr>
          <w:rFonts w:ascii="Times New Roman" w:hAnsi="Times New Roman"/>
          <w:sz w:val="24"/>
        </w:rPr>
        <w:t xml:space="preserve">” shall mean the Pension Benefit Guaranty Corporation, or any successor thereto. </w:t>
      </w:r>
    </w:p>
    <w:p>
      <w:pPr>
        <w:pStyle w:val="TextBody"/>
        <w:bidi w:val="0"/>
        <w:spacing w:before="240" w:after="0"/>
        <w:jc w:val="both"/>
        <w:rPr/>
      </w:pPr>
      <w:r>
        <w:rPr/>
        <w:t>“</w:t>
      </w:r>
      <w:r>
        <w:rPr>
          <w:rFonts w:ascii="Times New Roman" w:hAnsi="Times New Roman"/>
          <w:sz w:val="24"/>
          <w:u w:val="single"/>
        </w:rPr>
        <w:t>Permitted Liens</w:t>
      </w:r>
      <w:r>
        <w:rPr>
          <w:rFonts w:ascii="Times New Roman" w:hAnsi="Times New Roman"/>
          <w:sz w:val="24"/>
        </w:rPr>
        <w:t xml:space="preserve">” shall mean, collectively, as applied to any Person: </w:t>
      </w:r>
    </w:p>
    <w:p>
      <w:pPr>
        <w:pStyle w:val="TextBody"/>
        <w:bidi w:val="0"/>
        <w:spacing w:before="240" w:after="0"/>
        <w:jc w:val="both"/>
        <w:rPr>
          <w:rFonts w:ascii="Times New Roman" w:hAnsi="Times New Roman"/>
          <w:sz w:val="24"/>
        </w:rPr>
      </w:pPr>
      <w:r>
        <w:rPr>
          <w:rFonts w:ascii="Times New Roman" w:hAnsi="Times New Roman"/>
          <w:sz w:val="24"/>
        </w:rPr>
        <w:t xml:space="preserve">(a) (i) Liens on real estate or other property for taxes, assessments, governmental charges or levies not yet delinquent and (ii) Liens for taxes, assessments, judgments, governmental charges or levies or claims the non-payment of which is being diligently contested in good faith by appropriate proceedings and for which adequate reserves have been set aside on such Person’s books in accordance with GAAP; </w:t>
      </w:r>
    </w:p>
    <w:p>
      <w:pPr>
        <w:pStyle w:val="TextBody"/>
        <w:bidi w:val="0"/>
        <w:spacing w:before="240" w:after="0"/>
        <w:jc w:val="both"/>
        <w:rPr>
          <w:rFonts w:ascii="Times New Roman" w:hAnsi="Times New Roman"/>
          <w:sz w:val="24"/>
        </w:rPr>
      </w:pPr>
      <w:r>
        <w:rPr>
          <w:rFonts w:ascii="Times New Roman" w:hAnsi="Times New Roman"/>
          <w:sz w:val="24"/>
        </w:rPr>
        <w:t xml:space="preserve">(b) Liens incurred in the ordinary course of the Borrower’s business (i) for sums not yet due or being diligently contested in good faith, or (ii) incidental to the ownership of its assets that, in each case, were not incurred in connection with the borrowing of money, such as Liens of carriers, warehousemen, mechanics, vendors (solely to the extent arising by operation of law), laborers and materialmen, in each case, if reserves in accordance with GAAP or appropriate provisions shall have been made therefor; </w:t>
      </w:r>
    </w:p>
    <w:p>
      <w:pPr>
        <w:pStyle w:val="TextBody"/>
        <w:bidi w:val="0"/>
        <w:spacing w:before="240" w:after="0"/>
        <w:jc w:val="both"/>
        <w:rPr>
          <w:rFonts w:ascii="Times New Roman" w:hAnsi="Times New Roman"/>
          <w:sz w:val="24"/>
        </w:rPr>
      </w:pPr>
      <w:r>
        <w:rPr>
          <w:rFonts w:ascii="Times New Roman" w:hAnsi="Times New Roman"/>
          <w:sz w:val="24"/>
        </w:rPr>
        <w:t xml:space="preserve">(c) Liens incurred in the ordinary course of business in connection with worker’s compensation and unemployment insurance, social security obligations, assessments or government charges which are not overdue for more than sixty (60) days; </w:t>
      </w:r>
    </w:p>
    <w:p>
      <w:pPr>
        <w:pStyle w:val="TextBody"/>
        <w:bidi w:val="0"/>
        <w:spacing w:before="240" w:after="0"/>
        <w:jc w:val="both"/>
        <w:rPr>
          <w:rFonts w:ascii="Times New Roman" w:hAnsi="Times New Roman"/>
          <w:sz w:val="24"/>
        </w:rPr>
      </w:pPr>
      <w:r>
        <w:rPr>
          <w:rFonts w:ascii="Times New Roman" w:hAnsi="Times New Roman"/>
          <w:sz w:val="24"/>
        </w:rPr>
        <w:t xml:space="preserve">(d) restrictions on the transfer of the Licenses or assets of the Borrower or any of its Subsidiaries imposed by any of the Licenses by the Communications Act and any regulations thereunder; </w:t>
      </w:r>
    </w:p>
    <w:p>
      <w:pPr>
        <w:pStyle w:val="TextBody"/>
        <w:bidi w:val="0"/>
        <w:spacing w:before="240" w:after="0"/>
        <w:jc w:val="both"/>
        <w:rPr>
          <w:rFonts w:ascii="Times New Roman" w:hAnsi="Times New Roman"/>
          <w:sz w:val="24"/>
        </w:rPr>
      </w:pPr>
      <w:r>
        <w:rPr>
          <w:rFonts w:ascii="Times New Roman" w:hAnsi="Times New Roman"/>
          <w:sz w:val="24"/>
        </w:rPr>
        <w:t xml:space="preserve">(e) easements, rights-of-way, zoning restrictions, licenses, reservations or restrictions on use and other similar encumbrances on the use of real property which do not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materially interfere with the ordinary conduct of the business of such Person or the use of such property in the operation of the business by such Person; </w:t>
      </w:r>
    </w:p>
    <w:p>
      <w:pPr>
        <w:pStyle w:val="TextBody"/>
        <w:bidi w:val="0"/>
        <w:spacing w:before="240" w:after="0"/>
        <w:jc w:val="both"/>
        <w:rPr>
          <w:rFonts w:ascii="Times New Roman" w:hAnsi="Times New Roman"/>
          <w:sz w:val="24"/>
        </w:rPr>
      </w:pPr>
      <w:r>
        <w:rPr>
          <w:rFonts w:ascii="Times New Roman" w:hAnsi="Times New Roman"/>
          <w:sz w:val="24"/>
        </w:rPr>
        <w:t>(f) Liens arising by operation of law in favor of purchasers in connection with any asset sale</w:t>
      </w:r>
      <w:r>
        <w:rPr>
          <w:rFonts w:ascii="Times New Roman" w:hAnsi="Times New Roman"/>
          <w:strike/>
          <w:color w:val="FF0000"/>
          <w:sz w:val="24"/>
        </w:rPr>
        <w:t xml:space="preserve"> permitted hereunder</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Lien only encumbers the property being sold; </w:t>
      </w:r>
    </w:p>
    <w:p>
      <w:pPr>
        <w:pStyle w:val="TextBody"/>
        <w:bidi w:val="0"/>
        <w:spacing w:before="240" w:after="0"/>
        <w:jc w:val="both"/>
        <w:rPr>
          <w:rFonts w:ascii="Times New Roman" w:hAnsi="Times New Roman"/>
          <w:sz w:val="24"/>
        </w:rPr>
      </w:pPr>
      <w:r>
        <w:rPr>
          <w:rFonts w:ascii="Times New Roman" w:hAnsi="Times New Roman"/>
          <w:sz w:val="24"/>
        </w:rPr>
        <w:t xml:space="preserve">(g) Liens in respect of Capitalized Lease Obligations, so long as such Liens only attach to the assets leased thereunder, and Liens reflected by Uniform Commercial Code financing statements filed in respect of true leases or subleases of the Borrower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(h) Liens to secure performance of statutory obligations, surety or appeal bonds, performance bonds, bids or tenders; </w:t>
      </w:r>
    </w:p>
    <w:p>
      <w:pPr>
        <w:pStyle w:val="TextBody"/>
        <w:bidi w:val="0"/>
        <w:spacing w:before="240" w:after="0"/>
        <w:jc w:val="both"/>
        <w:rPr>
          <w:rFonts w:ascii="Times New Roman" w:hAnsi="Times New Roman"/>
          <w:sz w:val="24"/>
        </w:rPr>
      </w:pPr>
      <w:r>
        <w:rPr>
          <w:rFonts w:ascii="Times New Roman" w:hAnsi="Times New Roman"/>
          <w:sz w:val="24"/>
        </w:rPr>
        <w:t xml:space="preserve">(i) judgment Liens which do not result in an Event of Default under Section 8.1(h) hereof; </w:t>
      </w:r>
    </w:p>
    <w:p>
      <w:pPr>
        <w:pStyle w:val="TextBody"/>
        <w:bidi w:val="0"/>
        <w:spacing w:before="240" w:after="0"/>
        <w:jc w:val="both"/>
        <w:rPr>
          <w:rFonts w:ascii="Times New Roman" w:hAnsi="Times New Roman"/>
          <w:sz w:val="24"/>
        </w:rPr>
      </w:pPr>
      <w:r>
        <w:rPr>
          <w:rFonts w:ascii="Times New Roman" w:hAnsi="Times New Roman"/>
          <w:sz w:val="24"/>
        </w:rPr>
        <w:t xml:space="preserve">(j) Liens in connection with escrow or security deposits made in connection with Acquisitions permitted hereunder; </w:t>
      </w:r>
    </w:p>
    <w:p>
      <w:pPr>
        <w:pStyle w:val="TextBody"/>
        <w:bidi w:val="0"/>
        <w:spacing w:before="240" w:after="0"/>
        <w:jc w:val="both"/>
        <w:rPr>
          <w:rFonts w:ascii="Times New Roman" w:hAnsi="Times New Roman"/>
          <w:sz w:val="24"/>
        </w:rPr>
      </w:pPr>
      <w:r>
        <w:rPr>
          <w:rFonts w:ascii="Times New Roman" w:hAnsi="Times New Roman"/>
          <w:sz w:val="24"/>
        </w:rPr>
        <w:t xml:space="preserve">(k) Liens created on any Ownership Interests of Subsidiaries of the Borrower that are not Material Subsidiaries held by the Borrower or any of its Subsidiaries; provided, however, that such Lien is not securing Indebtedness of the Borrower or any of its U.S. Subsidiaries; </w:t>
      </w:r>
    </w:p>
    <w:p>
      <w:pPr>
        <w:pStyle w:val="TextBody"/>
        <w:bidi w:val="0"/>
        <w:spacing w:before="240" w:after="0"/>
        <w:jc w:val="both"/>
        <w:rPr>
          <w:rFonts w:ascii="Times New Roman" w:hAnsi="Times New Roman"/>
          <w:sz w:val="24"/>
        </w:rPr>
      </w:pPr>
      <w:r>
        <w:rPr>
          <w:rFonts w:ascii="Times New Roman" w:hAnsi="Times New Roman"/>
          <w:sz w:val="24"/>
        </w:rPr>
        <w:t xml:space="preserve">(l) Liens in favor of the Borrower or any of its Subsidiaries; </w:t>
      </w:r>
    </w:p>
    <w:p>
      <w:pPr>
        <w:pStyle w:val="TextBody"/>
        <w:bidi w:val="0"/>
        <w:spacing w:before="240" w:after="0"/>
        <w:jc w:val="both"/>
        <w:rPr>
          <w:rFonts w:ascii="Times New Roman" w:hAnsi="Times New Roman"/>
          <w:sz w:val="24"/>
        </w:rPr>
      </w:pPr>
      <w:r>
        <w:rPr>
          <w:rFonts w:ascii="Times New Roman" w:hAnsi="Times New Roman"/>
          <w:sz w:val="24"/>
        </w:rPr>
        <w:t xml:space="preserve">(m) banker’s Liens, rights of set-off or similar rights and remedies as to deposit accounts or other funds maintained with a depositary institution; </w:t>
      </w:r>
      <w:r>
        <w:rPr>
          <w:rFonts w:ascii="Times New Roman" w:hAnsi="Times New Roman"/>
          <w:sz w:val="24"/>
          <w:u w:val="single"/>
        </w:rPr>
        <w:t>provided</w:t>
      </w:r>
      <w:r>
        <w:rPr>
          <w:rFonts w:ascii="Times New Roman" w:hAnsi="Times New Roman"/>
          <w:sz w:val="24"/>
        </w:rPr>
        <w:t xml:space="preserve"> that such deposit account is not (i) a dedicated cash collateral account and is not subject to restrictions against access in excess of those set forth by regulations promulgated by the Federal Reserve Board or other Applicable Law; and (ii) intended to provide collateral to the depositary institution; </w:t>
      </w:r>
    </w:p>
    <w:p>
      <w:pPr>
        <w:pStyle w:val="TextBody"/>
        <w:bidi w:val="0"/>
        <w:spacing w:before="240" w:after="0"/>
        <w:jc w:val="both"/>
        <w:rPr>
          <w:rFonts w:ascii="Times New Roman" w:hAnsi="Times New Roman"/>
          <w:sz w:val="24"/>
        </w:rPr>
      </w:pPr>
      <w:r>
        <w:rPr>
          <w:rFonts w:ascii="Times New Roman" w:hAnsi="Times New Roman"/>
          <w:sz w:val="24"/>
        </w:rPr>
        <w:t xml:space="preserve">(n) licenses, sublicenses, leases or subleases granted by the Borrower or any of its Subsidiaries to any other Person </w:t>
      </w:r>
      <w:r>
        <w:rPr>
          <w:rFonts w:ascii="Times New Roman" w:hAnsi="Times New Roman"/>
          <w:strike/>
          <w:color w:val="FF0000"/>
          <w:sz w:val="24"/>
        </w:rPr>
        <w:t>in</w:t>
      </w:r>
      <w:r>
        <w:rPr>
          <w:rFonts w:ascii="Times New Roman" w:hAnsi="Times New Roman"/>
          <w:color w:val="0000FF"/>
          <w:sz w:val="24"/>
          <w:u w:val="single"/>
          <w:bdr w:val="double" w:sz="2" w:space="1" w:color="000000"/>
        </w:rPr>
        <w:t>which do not materially interfere with</w:t>
      </w:r>
      <w:r>
        <w:rPr>
          <w:rFonts w:ascii="Times New Roman" w:hAnsi="Times New Roman"/>
          <w:sz w:val="24"/>
        </w:rPr>
        <w:t xml:space="preserve"> the ordinary course of business; </w:t>
      </w:r>
    </w:p>
    <w:p>
      <w:pPr>
        <w:pStyle w:val="TextBody"/>
        <w:bidi w:val="0"/>
        <w:spacing w:before="240" w:after="0"/>
        <w:jc w:val="both"/>
        <w:rPr>
          <w:rFonts w:ascii="Times New Roman" w:hAnsi="Times New Roman"/>
          <w:sz w:val="24"/>
        </w:rPr>
      </w:pPr>
      <w:r>
        <w:rPr>
          <w:rFonts w:ascii="Times New Roman" w:hAnsi="Times New Roman"/>
          <w:sz w:val="24"/>
        </w:rPr>
        <w:t xml:space="preserve">(o) Liens in the nature of trustees’ Liens granted pursuant to any indenture governing any Indebtedness permitted hereunder, in each case in favor of the trustee under such indenture and securing only obligations to pay compensation to such trustee, to reimburse its expenses and to indemnify it under the terms thereof; </w:t>
      </w:r>
    </w:p>
    <w:p>
      <w:pPr>
        <w:pStyle w:val="TextBody"/>
        <w:bidi w:val="0"/>
        <w:spacing w:before="240" w:after="0"/>
        <w:jc w:val="both"/>
        <w:rPr>
          <w:rFonts w:ascii="Times New Roman" w:hAnsi="Times New Roman"/>
          <w:sz w:val="24"/>
        </w:rPr>
      </w:pPr>
      <w:r>
        <w:rPr>
          <w:rFonts w:ascii="Times New Roman" w:hAnsi="Times New Roman"/>
          <w:sz w:val="24"/>
        </w:rPr>
        <w:t>(p) Liens on property of the Borrower or any of its Subsidiaries at the time the Borrower or such Subsidiary acquired the property, including acquisition by means of a merger or consolidation with or into the Borrower or such Subsidiary, or an acquisition of assets</w:t>
      </w:r>
      <w:r>
        <w:rPr>
          <w:rFonts w:ascii="Times New Roman" w:hAnsi="Times New Roman"/>
          <w:color w:val="0000FF"/>
          <w:sz w:val="24"/>
          <w:u w:val="single"/>
          <w:bdr w:val="double" w:sz="2" w:space="1" w:color="000000"/>
        </w:rPr>
        <w:t>, and any replacement thereof</w:t>
      </w:r>
      <w:r>
        <w:rPr>
          <w:rFonts w:ascii="Times New Roman" w:hAnsi="Times New Roman"/>
          <w:sz w:val="24"/>
        </w:rPr>
        <w:t xml:space="preserve">; </w:t>
      </w:r>
      <w:r>
        <w:rPr>
          <w:rFonts w:ascii="Times New Roman" w:hAnsi="Times New Roman"/>
          <w:sz w:val="24"/>
          <w:u w:val="single"/>
        </w:rPr>
        <w:t>provided</w:t>
      </w:r>
      <w:r>
        <w:rPr>
          <w:rFonts w:ascii="Times New Roman" w:hAnsi="Times New Roman"/>
          <w:sz w:val="24"/>
        </w:rPr>
        <w:t xml:space="preserve"> that such Liens (i) are not created, incurred or assumed in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connection with or in contemplation of such acquisition and (ii) may not extend to any other property owned by the Borrower or such Subsidiary; </w:t>
      </w:r>
    </w:p>
    <w:p>
      <w:pPr>
        <w:pStyle w:val="TextBody"/>
        <w:bidi w:val="0"/>
        <w:spacing w:before="240" w:after="0"/>
        <w:jc w:val="both"/>
        <w:rPr>
          <w:rFonts w:ascii="Times New Roman" w:hAnsi="Times New Roman"/>
          <w:sz w:val="24"/>
        </w:rPr>
      </w:pPr>
      <w:r>
        <w:rPr>
          <w:rFonts w:ascii="Times New Roman" w:hAnsi="Times New Roman"/>
          <w:sz w:val="24"/>
        </w:rPr>
        <w:t xml:space="preserve">(q) Liens on property or assets of any Foreign Subsidiary of the Borrower securing the Indebtedness of such Foreign Subsidiary; </w:t>
      </w:r>
      <w:r>
        <w:rPr>
          <w:rFonts w:ascii="Times New Roman" w:hAnsi="Times New Roman"/>
          <w:strike/>
          <w:color w:val="FF0000"/>
          <w:sz w:val="24"/>
        </w:rPr>
        <w:t>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(r) Liens securing obligations under Hedge Agreements in an aggregate amount of such obligations not to exceed $</w:t>
      </w:r>
      <w:r>
        <w:rPr>
          <w:rFonts w:ascii="Times New Roman" w:hAnsi="Times New Roman"/>
          <w:strike/>
          <w:color w:val="FF0000"/>
          <w:sz w:val="24"/>
        </w:rPr>
        <w:t>100,000,000</w:t>
      </w:r>
      <w:r>
        <w:rPr>
          <w:rFonts w:ascii="Times New Roman" w:hAnsi="Times New Roman"/>
          <w:color w:val="0000FF"/>
          <w:sz w:val="24"/>
          <w:u w:val="single"/>
          <w:bdr w:val="double" w:sz="2" w:space="1" w:color="000000"/>
        </w:rPr>
        <w:t>1,000,000,000</w:t>
      </w:r>
      <w:r>
        <w:rPr>
          <w:rFonts w:ascii="Times New Roman" w:hAnsi="Times New Roman"/>
          <w:color w:val="0000FF"/>
          <w:sz w:val="24"/>
        </w:rPr>
        <w:t xml:space="preserve"> </w:t>
      </w:r>
      <w:r>
        <w:rPr>
          <w:rFonts w:ascii="Times New Roman" w:hAnsi="Times New Roman"/>
          <w:sz w:val="24"/>
        </w:rPr>
        <w:t>at any time outstanding</w:t>
      </w:r>
      <w:r>
        <w:rPr>
          <w:rFonts w:ascii="Times New Roman" w:hAnsi="Times New Roman"/>
          <w:strike/>
          <w:color w:val="FF0000"/>
          <w:sz w:val="24"/>
        </w:rPr>
        <w:t>.</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(s) </w:t>
      </w:r>
      <w:r>
        <w:rPr>
          <w:rFonts w:ascii="Times New Roman" w:hAnsi="Times New Roman"/>
          <w:color w:val="0000FF"/>
          <w:sz w:val="24"/>
          <w:u w:val="single"/>
          <w:bdr w:val="double" w:sz="2" w:space="1" w:color="000000"/>
        </w:rPr>
        <w:t>Liens existing on March 31, 2026 and renewals and replacements thereof.</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sz w:val="24"/>
          <w:u w:val="single"/>
        </w:rPr>
        <w:t>Person</w:t>
      </w:r>
      <w:r>
        <w:rPr>
          <w:rFonts w:ascii="Times New Roman" w:hAnsi="Times New Roman"/>
          <w:sz w:val="24"/>
        </w:rPr>
        <w:t xml:space="preserve">” shall mean an individual, corporation, limited liability company, association, partnership, joint venture, trust or estate, an unincorporated organization, a government or any agency or political subdivision thereof, or any other entity. </w:t>
      </w:r>
    </w:p>
    <w:p>
      <w:pPr>
        <w:pStyle w:val="TextBody"/>
        <w:bidi w:val="0"/>
        <w:spacing w:before="240" w:after="0"/>
        <w:jc w:val="both"/>
        <w:rPr/>
      </w:pPr>
      <w:r>
        <w:rPr/>
        <w:t>“</w:t>
      </w:r>
      <w:r>
        <w:rPr>
          <w:rFonts w:ascii="Times New Roman" w:hAnsi="Times New Roman"/>
          <w:sz w:val="24"/>
          <w:u w:val="single"/>
        </w:rPr>
        <w:t>Plan</w:t>
      </w:r>
      <w:r>
        <w:rPr>
          <w:rFonts w:ascii="Times New Roman" w:hAnsi="Times New Roman"/>
          <w:sz w:val="24"/>
        </w:rPr>
        <w:t xml:space="preserve">” shall mean an employee benefit plan within the meaning of Section 3(3) of ERISA or any other employee benefit plan maintained for employees of the Borrower or any of its Subsidiaries or ERISA Affiliates. </w:t>
      </w:r>
    </w:p>
    <w:p>
      <w:pPr>
        <w:pStyle w:val="TextBody"/>
        <w:bidi w:val="0"/>
        <w:spacing w:before="240" w:after="0"/>
        <w:jc w:val="both"/>
        <w:rPr/>
      </w:pPr>
      <w:r>
        <w:rPr/>
        <w:t>“</w:t>
      </w:r>
      <w:r>
        <w:rPr>
          <w:rFonts w:ascii="Times New Roman" w:hAnsi="Times New Roman"/>
          <w:sz w:val="24"/>
          <w:u w:val="single"/>
        </w:rPr>
        <w:t>Platform</w:t>
      </w:r>
      <w:r>
        <w:rPr>
          <w:rFonts w:ascii="Times New Roman" w:hAnsi="Times New Roman"/>
          <w:sz w:val="24"/>
        </w:rPr>
        <w:t xml:space="preserve">” shall have the meaning ascribed thereto in Section 6.6 hereof. </w:t>
      </w:r>
    </w:p>
    <w:p>
      <w:pPr>
        <w:pStyle w:val="TextBody"/>
        <w:bidi w:val="0"/>
        <w:spacing w:before="240" w:after="0"/>
        <w:jc w:val="both"/>
        <w:rPr/>
      </w:pPr>
      <w:r>
        <w:rPr/>
        <w:t>“</w:t>
      </w:r>
      <w:r>
        <w:rPr>
          <w:rFonts w:ascii="Times New Roman" w:hAnsi="Times New Roman"/>
          <w:sz w:val="24"/>
          <w:u w:val="single"/>
        </w:rPr>
        <w:t>Pre-Closing Funded Amount</w:t>
      </w:r>
      <w:r>
        <w:rPr>
          <w:rFonts w:ascii="Times New Roman" w:hAnsi="Times New Roman"/>
          <w:sz w:val="24"/>
        </w:rPr>
        <w:t xml:space="preserve">” shall have the meaning ascribed thereto in Section 2.2(f). </w:t>
      </w:r>
    </w:p>
    <w:p>
      <w:pPr>
        <w:pStyle w:val="TextBody"/>
        <w:bidi w:val="0"/>
        <w:spacing w:before="240" w:after="0"/>
        <w:jc w:val="both"/>
        <w:rPr/>
      </w:pPr>
      <w:r>
        <w:rPr/>
        <w:t>“</w:t>
      </w:r>
      <w:r>
        <w:rPr>
          <w:rFonts w:ascii="Times New Roman" w:hAnsi="Times New Roman"/>
          <w:sz w:val="24"/>
          <w:u w:val="single"/>
        </w:rPr>
        <w:t>Pre-Closing Funding Account</w:t>
      </w:r>
      <w:r>
        <w:rPr>
          <w:rFonts w:ascii="Times New Roman" w:hAnsi="Times New Roman"/>
          <w:sz w:val="24"/>
        </w:rPr>
        <w:t xml:space="preserve">” shall have the meaning ascribed thereto in Section 2.2(f). </w:t>
      </w:r>
    </w:p>
    <w:p>
      <w:pPr>
        <w:pStyle w:val="TextBody"/>
        <w:bidi w:val="0"/>
        <w:spacing w:before="240" w:after="0"/>
        <w:jc w:val="both"/>
        <w:rPr/>
      </w:pPr>
      <w:r>
        <w:rPr/>
        <w:t>“</w:t>
      </w:r>
      <w:r>
        <w:rPr>
          <w:rFonts w:ascii="Times New Roman" w:hAnsi="Times New Roman"/>
          <w:sz w:val="24"/>
          <w:u w:val="single"/>
        </w:rPr>
        <w:t>Pre-Closing Funding Date</w:t>
      </w:r>
      <w:r>
        <w:rPr>
          <w:rFonts w:ascii="Times New Roman" w:hAnsi="Times New Roman"/>
          <w:sz w:val="24"/>
        </w:rPr>
        <w:t xml:space="preserve">” shall have the meaning ascribed thereto in Section 2.2(f). </w:t>
      </w:r>
    </w:p>
    <w:p>
      <w:pPr>
        <w:pStyle w:val="TextBody"/>
        <w:bidi w:val="0"/>
        <w:spacing w:before="240" w:after="0"/>
        <w:jc w:val="both"/>
        <w:rPr/>
      </w:pPr>
      <w:r>
        <w:rPr/>
        <w:t>“</w:t>
      </w:r>
      <w:r>
        <w:rPr>
          <w:rFonts w:ascii="Times New Roman" w:hAnsi="Times New Roman"/>
          <w:sz w:val="24"/>
          <w:u w:val="single"/>
        </w:rPr>
        <w:t>Pre-Closing Funding Election</w:t>
      </w:r>
      <w:r>
        <w:rPr>
          <w:rFonts w:ascii="Times New Roman" w:hAnsi="Times New Roman"/>
          <w:sz w:val="24"/>
        </w:rPr>
        <w:t xml:space="preserve">” shall have the meaning ascribed thereto in Section 2.2(f). </w:t>
      </w:r>
    </w:p>
    <w:p>
      <w:pPr>
        <w:pStyle w:val="TextBody"/>
        <w:bidi w:val="0"/>
        <w:spacing w:before="240" w:after="0"/>
        <w:jc w:val="both"/>
        <w:rPr/>
      </w:pPr>
      <w:r>
        <w:rPr/>
        <w:t>“</w:t>
      </w:r>
      <w:r>
        <w:rPr>
          <w:rFonts w:ascii="Times New Roman" w:hAnsi="Times New Roman"/>
          <w:sz w:val="24"/>
          <w:u w:val="single"/>
        </w:rPr>
        <w:t>Prime Rate</w:t>
      </w:r>
      <w:r>
        <w:rPr>
          <w:rFonts w:ascii="Times New Roman" w:hAnsi="Times New Roman"/>
          <w:sz w:val="24"/>
        </w:rPr>
        <w:t xml:space="preserve">” shall mean the rate of interest most recently published in the Money Rates section of The Wall Street Journal from time to time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Any change in such prime rate shall take effect at the opening of business on the day specified in the public announcement of such change. </w:t>
      </w:r>
    </w:p>
    <w:p>
      <w:pPr>
        <w:pStyle w:val="TextBody"/>
        <w:bidi w:val="0"/>
        <w:spacing w:before="240" w:after="0"/>
        <w:jc w:val="both"/>
        <w:rPr/>
      </w:pPr>
      <w:r>
        <w:rPr/>
        <w:t>“</w:t>
      </w:r>
      <w:r>
        <w:rPr>
          <w:rFonts w:ascii="Times New Roman" w:hAnsi="Times New Roman"/>
          <w:sz w:val="24"/>
          <w:u w:val="single"/>
        </w:rPr>
        <w:t>Proposed Change</w:t>
      </w:r>
      <w:r>
        <w:rPr>
          <w:rFonts w:ascii="Times New Roman" w:hAnsi="Times New Roman"/>
          <w:sz w:val="24"/>
        </w:rPr>
        <w:t xml:space="preserve">” shall have the meaning ascribed thereto in Section 11.11(b) hereof. </w:t>
      </w:r>
    </w:p>
    <w:p>
      <w:pPr>
        <w:pStyle w:val="TextBody"/>
        <w:bidi w:val="0"/>
        <w:spacing w:before="240" w:after="0"/>
        <w:jc w:val="both"/>
        <w:rPr/>
      </w:pPr>
      <w:r>
        <w:rPr/>
        <w:t>“</w:t>
      </w:r>
      <w:r>
        <w:rPr>
          <w:rFonts w:ascii="Times New Roman" w:hAnsi="Times New Roman"/>
          <w:sz w:val="24"/>
          <w:u w:val="single"/>
        </w:rPr>
        <w:t>Register</w:t>
      </w:r>
      <w:r>
        <w:rPr>
          <w:rFonts w:ascii="Times New Roman" w:hAnsi="Times New Roman"/>
          <w:sz w:val="24"/>
        </w:rPr>
        <w:t xml:space="preserve">” shall have the meaning ascribed thereto in Section 11.4(c) hereof. </w:t>
      </w:r>
    </w:p>
    <w:p>
      <w:pPr>
        <w:pStyle w:val="TextBody"/>
        <w:bidi w:val="0"/>
        <w:spacing w:before="240" w:after="0"/>
        <w:jc w:val="both"/>
        <w:rPr/>
      </w:pPr>
      <w:r>
        <w:rPr/>
        <w:t>“</w:t>
      </w:r>
      <w:r>
        <w:rPr>
          <w:rFonts w:ascii="Times New Roman" w:hAnsi="Times New Roman"/>
          <w:sz w:val="24"/>
          <w:u w:val="single"/>
        </w:rPr>
        <w:t>REIT</w:t>
      </w:r>
      <w:r>
        <w:rPr>
          <w:rFonts w:ascii="Times New Roman" w:hAnsi="Times New Roman"/>
          <w:sz w:val="24"/>
        </w:rPr>
        <w:t xml:space="preserve">” shall mean a “real estate investment trust” as defined and taxed under Section 856-860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Related Parties</w:t>
      </w:r>
      <w:r>
        <w:rPr>
          <w:rFonts w:ascii="Times New Roman" w:hAnsi="Times New Roman"/>
          <w:sz w:val="24"/>
        </w:rPr>
        <w:t xml:space="preserve">” shall mean, with respect to any Person, such Person’s Affiliates and the partners, directors, officers, employees, agents, trustees and advisors of such Person and of such Person’s Affiliates. </w:t>
      </w:r>
    </w:p>
    <w:p>
      <w:pPr>
        <w:pStyle w:val="TextBody"/>
        <w:bidi w:val="0"/>
        <w:spacing w:before="240" w:after="0"/>
        <w:jc w:val="both"/>
        <w:rPr/>
      </w:pPr>
      <w:r>
        <w:rPr/>
        <w:t>“</w:t>
      </w:r>
      <w:r>
        <w:rPr>
          <w:rFonts w:ascii="Times New Roman" w:hAnsi="Times New Roman"/>
          <w:sz w:val="24"/>
          <w:u w:val="single"/>
        </w:rPr>
        <w:t>Relevant Governmental Body</w:t>
      </w:r>
      <w:r>
        <w:rPr>
          <w:rFonts w:ascii="Times New Roman" w:hAnsi="Times New Roman"/>
          <w:sz w:val="24"/>
        </w:rPr>
        <w:t xml:space="preserve">” shall mean the Federal Reserve Board or the NYFRB, or a committee officially endorsed or convened by the Federal Reserve Board or the NYFRB, or any successor thereto. </w:t>
      </w:r>
    </w:p>
    <w:p>
      <w:pPr>
        <w:pStyle w:val="TextBody"/>
        <w:bidi w:val="0"/>
        <w:spacing w:before="240" w:after="0"/>
        <w:jc w:val="both"/>
        <w:rPr/>
      </w:pPr>
      <w:r>
        <w:rPr/>
        <w:t>“</w:t>
      </w:r>
      <w:r>
        <w:rPr>
          <w:rFonts w:ascii="Times New Roman" w:hAnsi="Times New Roman"/>
          <w:sz w:val="24"/>
          <w:u w:val="single"/>
        </w:rPr>
        <w:t>Replacement Lender</w:t>
      </w:r>
      <w:r>
        <w:rPr>
          <w:rFonts w:ascii="Times New Roman" w:hAnsi="Times New Roman"/>
          <w:sz w:val="24"/>
        </w:rPr>
        <w:t xml:space="preserve">” shall have the meaning ascribed thereto in Section 10.5 hereof. </w:t>
      </w:r>
    </w:p>
    <w:p>
      <w:pPr>
        <w:pStyle w:val="TextBody"/>
        <w:bidi w:val="0"/>
        <w:spacing w:before="240" w:after="0"/>
        <w:jc w:val="both"/>
        <w:rPr/>
      </w:pPr>
      <w:r>
        <w:rPr/>
        <w:t>“</w:t>
      </w:r>
      <w:r>
        <w:rPr>
          <w:rFonts w:ascii="Times New Roman" w:hAnsi="Times New Roman"/>
          <w:sz w:val="24"/>
          <w:u w:val="single"/>
        </w:rPr>
        <w:t>Request for Advance</w:t>
      </w:r>
      <w:r>
        <w:rPr>
          <w:rFonts w:ascii="Times New Roman" w:hAnsi="Times New Roman"/>
          <w:sz w:val="24"/>
        </w:rPr>
        <w:t>” shall mean a certificate designated as a “</w:t>
      </w:r>
      <w:r>
        <w:rPr>
          <w:rFonts w:ascii="Times New Roman" w:hAnsi="Times New Roman"/>
          <w:sz w:val="24"/>
          <w:u w:val="single"/>
        </w:rPr>
        <w:t>Request for Advance</w:t>
      </w:r>
      <w:r>
        <w:rPr>
          <w:rFonts w:ascii="Times New Roman" w:hAnsi="Times New Roman"/>
          <w:sz w:val="24"/>
        </w:rPr>
        <w:t xml:space="preserve">,” signed by an Authorized Signatory of the Borrower requesting the Advance to be made under Section 2.1, or a Continuation or Conversion hereunder, which shall be in substantially the form of </w:t>
      </w:r>
      <w:r>
        <w:rPr>
          <w:rFonts w:ascii="Times New Roman" w:hAnsi="Times New Roman"/>
          <w:sz w:val="24"/>
          <w:u w:val="single"/>
        </w:rPr>
        <w:t>Exhibit A</w:t>
      </w:r>
      <w:r>
        <w:rPr>
          <w:rFonts w:ascii="Times New Roman" w:hAnsi="Times New Roman"/>
          <w:sz w:val="24"/>
        </w:rPr>
        <w:t xml:space="preserve"> attached hereto, and shall, among other things, (i) specify the date of the requested Advance, Continuation or Conversion (which shall be a Business Day), the amount of the Advance being made or being Continued or Converted, the type of Advance (Term SOFR or Base Rate), and, with respect to a SOFR Advance, the Interest Period with respect thereto, (ii) state that there shall not exist, on the date of the requested Advance, Continuation or Conversion and after giving effect thereto, a Default, (iii) specify the Applicable Margin then in effect, (iv) designate the amount of the Commitments being drawn (if any), and (v) designate the amount of the Loans being Continued or Converted. </w:t>
      </w:r>
    </w:p>
    <w:p>
      <w:pPr>
        <w:pStyle w:val="TextBody"/>
        <w:bidi w:val="0"/>
        <w:spacing w:before="240" w:after="0"/>
        <w:jc w:val="both"/>
        <w:rPr/>
      </w:pPr>
      <w:r>
        <w:rPr/>
        <w:t>“</w:t>
      </w:r>
      <w:r>
        <w:rPr>
          <w:rFonts w:ascii="Times New Roman" w:hAnsi="Times New Roman"/>
          <w:sz w:val="24"/>
          <w:u w:val="single"/>
        </w:rPr>
        <w:t>Resolution Authority</w:t>
      </w:r>
      <w:r>
        <w:rPr>
          <w:rFonts w:ascii="Times New Roman" w:hAnsi="Times New Roman"/>
          <w:sz w:val="24"/>
        </w:rPr>
        <w:t xml:space="preserve">” shall mean an EEA Resolution Authority or, with respect to any UK Financial Institution, a UK Resolution Authority. </w:t>
      </w:r>
    </w:p>
    <w:p>
      <w:pPr>
        <w:pStyle w:val="TextBody"/>
        <w:bidi w:val="0"/>
        <w:spacing w:before="240" w:after="0"/>
        <w:jc w:val="both"/>
        <w:rPr/>
      </w:pPr>
      <w:r>
        <w:rPr/>
        <w:t>“</w:t>
      </w:r>
      <w:r>
        <w:rPr>
          <w:rFonts w:ascii="Times New Roman" w:hAnsi="Times New Roman"/>
          <w:sz w:val="24"/>
          <w:u w:val="single"/>
        </w:rPr>
        <w:t>Restricted Payment</w:t>
      </w:r>
      <w:r>
        <w:rPr>
          <w:rFonts w:ascii="Times New Roman" w:hAnsi="Times New Roman"/>
          <w:sz w:val="24"/>
        </w:rPr>
        <w:t xml:space="preserve">” shall mean any direct or indirect distribution, dividend or other payment to any Person (other than to the Borrower or any of its Subsidiaries) on account of any Ownership Interests of the Borrower or any of its Subsidiaries (other than dividends payable solely in Ownership Interests of such Person or in warrants or other rights or options to acquire such Ownership Interests). </w:t>
      </w:r>
    </w:p>
    <w:p>
      <w:pPr>
        <w:pStyle w:val="TextBody"/>
        <w:bidi w:val="0"/>
        <w:spacing w:before="240" w:after="0"/>
        <w:jc w:val="both"/>
        <w:rPr/>
      </w:pPr>
      <w:r>
        <w:rPr/>
        <w:t>“</w:t>
      </w:r>
      <w:r>
        <w:rPr>
          <w:rFonts w:ascii="Times New Roman" w:hAnsi="Times New Roman"/>
          <w:sz w:val="24"/>
          <w:u w:val="single"/>
        </w:rPr>
        <w:t>Return Date</w:t>
      </w:r>
      <w:r>
        <w:rPr>
          <w:rFonts w:ascii="Times New Roman" w:hAnsi="Times New Roman"/>
          <w:sz w:val="24"/>
        </w:rPr>
        <w:t xml:space="preserve">” shall have the meaning ascribed thereto in Section 2.2(f) hereof. </w:t>
      </w:r>
    </w:p>
    <w:p>
      <w:pPr>
        <w:pStyle w:val="TextBody"/>
        <w:bidi w:val="0"/>
        <w:spacing w:before="240" w:after="0"/>
        <w:jc w:val="both"/>
        <w:rPr/>
      </w:pPr>
      <w:r>
        <w:rPr/>
        <w:t>“</w:t>
      </w:r>
      <w:r>
        <w:rPr>
          <w:rFonts w:ascii="Times New Roman" w:hAnsi="Times New Roman"/>
          <w:sz w:val="24"/>
          <w:u w:val="single"/>
        </w:rPr>
        <w:t>S&amp;P</w:t>
      </w:r>
      <w:r>
        <w:rPr>
          <w:rFonts w:ascii="Times New Roman" w:hAnsi="Times New Roman"/>
          <w:sz w:val="24"/>
        </w:rPr>
        <w:t xml:space="preserve">” shall mean S&amp;P Global Ratings, and its successors. </w:t>
      </w:r>
    </w:p>
    <w:p>
      <w:pPr>
        <w:pStyle w:val="TextBody"/>
        <w:bidi w:val="0"/>
        <w:spacing w:before="240" w:after="0"/>
        <w:jc w:val="both"/>
        <w:rPr/>
      </w:pPr>
      <w:r>
        <w:rPr/>
        <w:t>“</w:t>
      </w:r>
      <w:r>
        <w:rPr>
          <w:rFonts w:ascii="Times New Roman" w:hAnsi="Times New Roman"/>
          <w:sz w:val="24"/>
          <w:u w:val="single"/>
        </w:rPr>
        <w:t>Sale and Leaseback Transaction</w:t>
      </w:r>
      <w:r>
        <w:rPr>
          <w:rFonts w:ascii="Times New Roman" w:hAnsi="Times New Roman"/>
          <w:sz w:val="24"/>
        </w:rPr>
        <w:t xml:space="preserve">” shall mean any arrangement, directly or indirectly, with any third party whereby the Borrower or any of its Subsidiaries shall sell or transfer any property, real or personal, whether now owned or hereafter acquired, and whereby the Borrower or any of its Subsidiaries shall then or thereafter rent or lease as lessee such property or any part thereof or other property which the Borrower or any of its Subsidiaries intend to use for substantially the same purpose or purposes as the property sold or transferred, except for such arrangements for fair market value. </w:t>
      </w:r>
    </w:p>
    <w:p>
      <w:pPr>
        <w:pStyle w:val="TextBody"/>
        <w:bidi w:val="0"/>
        <w:spacing w:before="240" w:after="0"/>
        <w:jc w:val="both"/>
        <w:rPr/>
      </w:pPr>
      <w:r>
        <w:rPr/>
        <w:t>“</w:t>
      </w:r>
      <w:r>
        <w:rPr>
          <w:rFonts w:ascii="Times New Roman" w:hAnsi="Times New Roman"/>
          <w:sz w:val="24"/>
          <w:u w:val="single"/>
        </w:rPr>
        <w:t>Sanctioned Country</w:t>
      </w:r>
      <w:r>
        <w:rPr>
          <w:rFonts w:ascii="Times New Roman" w:hAnsi="Times New Roman"/>
          <w:sz w:val="24"/>
        </w:rPr>
        <w:t xml:space="preserve">” shall mean a country or territory that is itself the target or subject of a country-wide or region-wide sanctions program administered by (a) OFAC or (b) the United Nations Security Council, European Union, any European Union member state or the United Kingdom (currently, Cuba, the Crimea, Kherson and Zapozhizhia regions of Ukraine, the so-called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Donetsk People’s Republic, and the so-called Luhansk People’s Republic, Iran, North Korea and Syria). </w:t>
      </w:r>
    </w:p>
    <w:p>
      <w:pPr>
        <w:pStyle w:val="TextBody"/>
        <w:bidi w:val="0"/>
        <w:spacing w:before="240" w:after="0"/>
        <w:jc w:val="both"/>
        <w:rPr/>
      </w:pPr>
      <w:r>
        <w:rPr/>
        <w:t>“</w:t>
      </w:r>
      <w:r>
        <w:rPr>
          <w:rFonts w:ascii="Times New Roman" w:hAnsi="Times New Roman"/>
          <w:sz w:val="24"/>
          <w:u w:val="single"/>
        </w:rPr>
        <w:t>Sanctions Laws and Regulations</w:t>
      </w:r>
      <w:r>
        <w:rPr>
          <w:rFonts w:ascii="Times New Roman" w:hAnsi="Times New Roman"/>
          <w:sz w:val="24"/>
        </w:rPr>
        <w:t xml:space="preserve">” shall mean (i) any sanctions, prohibitions or requirements imposed by the U.S. government, including any U.S. executive order (an “Executive Order”) or by any sanctions program administered by OFAC; and (ii) any sanctions measures imposed by the United Nations Security Council, European Union, any European Union member state or the United Kingdom. </w:t>
      </w:r>
    </w:p>
    <w:p>
      <w:pPr>
        <w:pStyle w:val="TextBody"/>
        <w:bidi w:val="0"/>
        <w:spacing w:before="240" w:after="0"/>
        <w:jc w:val="both"/>
        <w:rPr/>
      </w:pPr>
      <w:r>
        <w:rPr/>
        <w:t>“</w:t>
      </w:r>
      <w:r>
        <w:rPr>
          <w:rFonts w:ascii="Times New Roman" w:hAnsi="Times New Roman"/>
          <w:sz w:val="24"/>
          <w:u w:val="single"/>
        </w:rPr>
        <w:t>Second Restatement Date</w:t>
      </w:r>
      <w:r>
        <w:rPr>
          <w:rFonts w:ascii="Times New Roman" w:hAnsi="Times New Roman"/>
          <w:sz w:val="24"/>
        </w:rPr>
        <w:t xml:space="preserve">” shall mean the date of this Agreement. </w:t>
      </w:r>
    </w:p>
    <w:p>
      <w:pPr>
        <w:pStyle w:val="TextBody"/>
        <w:bidi w:val="0"/>
        <w:spacing w:before="240" w:after="0"/>
        <w:jc w:val="both"/>
        <w:rPr/>
      </w:pPr>
      <w:r>
        <w:rPr/>
        <w:t>“</w:t>
      </w:r>
      <w:r>
        <w:rPr>
          <w:rFonts w:ascii="Times New Roman" w:hAnsi="Times New Roman"/>
          <w:sz w:val="24"/>
          <w:u w:val="single"/>
        </w:rPr>
        <w:t>Senior Secured Debt</w:t>
      </w:r>
      <w:r>
        <w:rPr>
          <w:rFonts w:ascii="Times New Roman" w:hAnsi="Times New Roman"/>
          <w:sz w:val="24"/>
        </w:rPr>
        <w:t xml:space="preserve">” shall mean, for the Borrower and its Subsidiaries on a consolidated basis as of any date, the aggregate amount of secured Indebtedness </w:t>
      </w:r>
      <w:r>
        <w:rPr>
          <w:rFonts w:ascii="Times New Roman" w:hAnsi="Times New Roman"/>
          <w:color w:val="0000FF"/>
          <w:sz w:val="24"/>
          <w:u w:val="single"/>
          <w:bdr w:val="double" w:sz="2" w:space="1" w:color="000000"/>
        </w:rPr>
        <w:t>(other than Indebtedness secured by Permitted Liens)</w:t>
      </w:r>
      <w:r>
        <w:rPr>
          <w:rFonts w:ascii="Times New Roman" w:hAnsi="Times New Roman"/>
          <w:sz w:val="24"/>
        </w:rPr>
        <w:t xml:space="preserve"> plus Attributable Debt of such Persons as of such date (including, without limitation, Indebtedness under any Existing ABS Facility and Indebtedness under any additional ABS Facilities entered into in accordance with Section 7.1(h) hereof). </w:t>
      </w:r>
    </w:p>
    <w:p>
      <w:pPr>
        <w:pStyle w:val="TextBody"/>
        <w:bidi w:val="0"/>
        <w:spacing w:before="240" w:after="0"/>
        <w:jc w:val="both"/>
        <w:rPr/>
      </w:pPr>
      <w:r>
        <w:rPr/>
        <w:t>“</w:t>
      </w:r>
      <w:r>
        <w:rPr>
          <w:rFonts w:ascii="Times New Roman" w:hAnsi="Times New Roman"/>
          <w:sz w:val="24"/>
          <w:u w:val="single"/>
        </w:rPr>
        <w:t>SOFR</w:t>
      </w:r>
      <w:r>
        <w:rPr>
          <w:rFonts w:ascii="Times New Roman" w:hAnsi="Times New Roman"/>
          <w:sz w:val="24"/>
        </w:rPr>
        <w:t xml:space="preserve">” shall mean a rate equal to the secured overnight financing rate as administered by the SOFR Administrator. </w:t>
      </w:r>
    </w:p>
    <w:p>
      <w:pPr>
        <w:pStyle w:val="TextBody"/>
        <w:bidi w:val="0"/>
        <w:spacing w:before="240" w:after="0"/>
        <w:jc w:val="both"/>
        <w:rPr/>
      </w:pPr>
      <w:r>
        <w:rPr/>
        <w:t>“</w:t>
      </w:r>
      <w:r>
        <w:rPr>
          <w:rFonts w:ascii="Times New Roman" w:hAnsi="Times New Roman"/>
          <w:sz w:val="24"/>
          <w:u w:val="single"/>
        </w:rPr>
        <w:t>SOFR Administrator</w:t>
      </w:r>
      <w:r>
        <w:rPr>
          <w:rFonts w:ascii="Times New Roman" w:hAnsi="Times New Roman"/>
          <w:sz w:val="24"/>
        </w:rPr>
        <w:t xml:space="preserve">” shall mean the Federal Reserve Bank of New York (or a successor administrator of the secured overnight financing rate). </w:t>
      </w:r>
    </w:p>
    <w:p>
      <w:pPr>
        <w:pStyle w:val="TextBody"/>
        <w:bidi w:val="0"/>
        <w:spacing w:before="240" w:after="0"/>
        <w:jc w:val="both"/>
        <w:rPr/>
      </w:pPr>
      <w:r>
        <w:rPr/>
        <w:t>“</w:t>
      </w:r>
      <w:r>
        <w:rPr>
          <w:rFonts w:ascii="Times New Roman" w:hAnsi="Times New Roman"/>
          <w:sz w:val="24"/>
          <w:u w:val="single"/>
        </w:rPr>
        <w:t>SOFR Advance</w:t>
      </w:r>
      <w:r>
        <w:rPr>
          <w:rFonts w:ascii="Times New Roman" w:hAnsi="Times New Roman"/>
          <w:sz w:val="24"/>
        </w:rPr>
        <w:t xml:space="preserve">” shall mean an Advance which the Borrower requests to be made as, Converted to or Continued as a SOFR Loan in accordance with the provisions of Section 2.2 hereof, and which shall be in a principal amount of at least $5,000,000.00 and in an integral multiple of $1,000,000.00. </w:t>
      </w:r>
    </w:p>
    <w:p>
      <w:pPr>
        <w:pStyle w:val="TextBody"/>
        <w:bidi w:val="0"/>
        <w:spacing w:before="240" w:after="0"/>
        <w:jc w:val="both"/>
        <w:rPr/>
      </w:pPr>
      <w:r>
        <w:rPr/>
        <w:t>“</w:t>
      </w:r>
      <w:r>
        <w:rPr>
          <w:rFonts w:ascii="Times New Roman" w:hAnsi="Times New Roman"/>
          <w:sz w:val="24"/>
          <w:u w:val="single"/>
        </w:rPr>
        <w:t>SOFR Basis</w:t>
      </w:r>
      <w:r>
        <w:rPr>
          <w:rFonts w:ascii="Times New Roman" w:hAnsi="Times New Roman"/>
          <w:sz w:val="24"/>
        </w:rPr>
        <w:t>” shall mean a simple per annum interest rate equal to the sum of (a)</w:t>
      </w:r>
      <w:r>
        <w:rPr>
          <w:rFonts w:ascii="Times New Roman" w:hAnsi="Times New Roman"/>
          <w:strike/>
          <w:color w:val="FF0000"/>
          <w:sz w:val="24"/>
        </w:rPr>
        <w:t xml:space="preserve"> Adjusted </w:t>
      </w:r>
      <w:r>
        <w:rPr>
          <w:rFonts w:ascii="Times New Roman" w:hAnsi="Times New Roman"/>
          <w:sz w:val="24"/>
        </w:rPr>
        <w:t xml:space="preserve">Term SOFR, </w:t>
      </w:r>
      <w:r>
        <w:rPr>
          <w:rFonts w:ascii="Times New Roman" w:hAnsi="Times New Roman"/>
          <w:sz w:val="24"/>
          <w:u w:val="single"/>
        </w:rPr>
        <w:t>plus</w:t>
      </w:r>
      <w:r>
        <w:rPr>
          <w:rFonts w:ascii="Times New Roman" w:hAnsi="Times New Roman"/>
          <w:sz w:val="24"/>
        </w:rPr>
        <w:t xml:space="preserve"> (b) the Applicable Margin. The SOFR Basis shall apply to Interest Periods of one (1), three (3), or six (6) months, and, once determined, shall remain unchanged during the applicable Interest Period, except for changes to reflect adjustments in the Applicable Margin as adjusted pursuant to Section 2.3(f) hereof. </w:t>
      </w:r>
    </w:p>
    <w:p>
      <w:pPr>
        <w:pStyle w:val="TextBody"/>
        <w:bidi w:val="0"/>
        <w:spacing w:before="240" w:after="0"/>
        <w:jc w:val="both"/>
        <w:rPr/>
      </w:pPr>
      <w:r>
        <w:rPr/>
        <w:t>“</w:t>
      </w:r>
      <w:r>
        <w:rPr>
          <w:rFonts w:ascii="Times New Roman" w:hAnsi="Times New Roman"/>
          <w:sz w:val="24"/>
          <w:u w:val="single"/>
        </w:rPr>
        <w:t>SOFR Loan</w:t>
      </w:r>
      <w:r>
        <w:rPr>
          <w:rFonts w:ascii="Times New Roman" w:hAnsi="Times New Roman"/>
          <w:sz w:val="24"/>
        </w:rPr>
        <w:t xml:space="preserve">” shall mean a Loan that bears interest at a rate based on </w:t>
      </w:r>
      <w:r>
        <w:rPr>
          <w:rFonts w:ascii="Times New Roman" w:hAnsi="Times New Roman"/>
          <w:strike/>
          <w:color w:val="FF0000"/>
          <w:sz w:val="24"/>
        </w:rPr>
        <w:t xml:space="preserve">Adjusted </w:t>
      </w:r>
      <w:r>
        <w:rPr>
          <w:rFonts w:ascii="Times New Roman" w:hAnsi="Times New Roman"/>
          <w:sz w:val="24"/>
        </w:rPr>
        <w:t xml:space="preserve">Term SOFR, other than pursuant to clause (c) of the definition of “Base Rate”. </w:t>
      </w:r>
    </w:p>
    <w:p>
      <w:pPr>
        <w:pStyle w:val="TextBody"/>
        <w:bidi w:val="0"/>
        <w:spacing w:before="240" w:after="0"/>
        <w:jc w:val="both"/>
        <w:rPr/>
      </w:pPr>
      <w:r>
        <w:rPr/>
        <w:t>“</w:t>
      </w:r>
      <w:r>
        <w:rPr>
          <w:rFonts w:ascii="Times New Roman" w:hAnsi="Times New Roman"/>
          <w:sz w:val="24"/>
          <w:u w:val="single"/>
        </w:rPr>
        <w:t>SPC</w:t>
      </w:r>
      <w:r>
        <w:rPr>
          <w:rFonts w:ascii="Times New Roman" w:hAnsi="Times New Roman"/>
          <w:sz w:val="24"/>
        </w:rPr>
        <w:t xml:space="preserve">” shall have the meaning ascribed thereto in Section 11.4(f) hereof. </w:t>
      </w:r>
    </w:p>
    <w:p>
      <w:pPr>
        <w:pStyle w:val="TextBody"/>
        <w:bidi w:val="0"/>
        <w:spacing w:before="240" w:after="0"/>
        <w:jc w:val="both"/>
        <w:rPr/>
      </w:pPr>
      <w:r>
        <w:rPr/>
        <w:t>“</w:t>
      </w:r>
      <w:r>
        <w:rPr>
          <w:rFonts w:ascii="Times New Roman" w:hAnsi="Times New Roman"/>
          <w:sz w:val="24"/>
          <w:u w:val="single"/>
        </w:rPr>
        <w:t>Specified Funding Related Conditions</w:t>
      </w:r>
      <w:r>
        <w:rPr>
          <w:rFonts w:ascii="Times New Roman" w:hAnsi="Times New Roman"/>
          <w:sz w:val="24"/>
        </w:rPr>
        <w:t xml:space="preserve">” shall have the meaning ascribed thereto in Section 2.2. </w:t>
      </w:r>
    </w:p>
    <w:p>
      <w:pPr>
        <w:pStyle w:val="TextBody"/>
        <w:bidi w:val="0"/>
        <w:spacing w:before="240" w:after="0"/>
        <w:jc w:val="both"/>
        <w:rPr/>
      </w:pPr>
      <w:r>
        <w:rPr/>
        <w:t>“</w:t>
      </w:r>
      <w:r>
        <w:rPr>
          <w:rFonts w:ascii="Times New Roman" w:hAnsi="Times New Roman"/>
          <w:sz w:val="24"/>
          <w:u w:val="single"/>
        </w:rPr>
        <w:t>Specified Merger</w:t>
      </w:r>
      <w:r>
        <w:rPr>
          <w:rFonts w:ascii="Times New Roman" w:hAnsi="Times New Roman"/>
          <w:sz w:val="24"/>
        </w:rPr>
        <w:t xml:space="preserve">” shall mean the acquisitions by the Buyer as contemplated by the Specified Merger Agreement without giving effect to amendments, supplements, waivers or other modifications to or consents under the Specified Merger Agreement that are adverse in any material respect to the Lenders in their capacities as such and that have not been approved by the Joint Lead Arrangers, such approval not to be unreasonably withheld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Specified Merger Agreement</w:t>
      </w:r>
      <w:r>
        <w:rPr>
          <w:rFonts w:ascii="Times New Roman" w:hAnsi="Times New Roman"/>
          <w:sz w:val="24"/>
        </w:rPr>
        <w:t xml:space="preserve">” shall mean the Agreement and Plan of Merger by and among American Tower Investments LLC, Appleseed Holdco LLC, Appleseed Merger Sub LLC, Appleseed OP Merger Sub LLC, CoreSite Realty Corporation, CoreSite, L.P. and the Borrower, dated as of November 14, 2021 (as amended, restated, amended and restated or otherwise modified from time to time in accordance with this Agreement). </w:t>
      </w:r>
    </w:p>
    <w:p>
      <w:pPr>
        <w:pStyle w:val="TextBody"/>
        <w:bidi w:val="0"/>
        <w:spacing w:before="240" w:after="0"/>
        <w:jc w:val="both"/>
        <w:rPr/>
      </w:pPr>
      <w:r>
        <w:rPr/>
        <w:t>“</w:t>
      </w:r>
      <w:r>
        <w:rPr>
          <w:rFonts w:ascii="Times New Roman" w:hAnsi="Times New Roman"/>
          <w:sz w:val="24"/>
          <w:u w:val="single"/>
        </w:rPr>
        <w:t>Specified Merger Agreement Representations</w:t>
      </w:r>
      <w:r>
        <w:rPr>
          <w:rFonts w:ascii="Times New Roman" w:hAnsi="Times New Roman"/>
          <w:sz w:val="24"/>
        </w:rPr>
        <w:t xml:space="preserve">” shall mean the representations and warranties made by the Target and/or the Target Operating Partnership, as applicable, in the Specified Merger Agreement with respect to the Target and its subsidiaries and/or the Target Operating Partnership, as applicable, that are material to the interests of the Joint Lead Arrangers or the Lenders, but only to the extent that the Borrower has the right under the Specified Merger Agreement not to consummate the Specified Merger, or to terminate its obligations under the Specified Merger Agreement, as a result of such representations and warranties in such Specified Merger Agreement not being true and correct. </w:t>
      </w:r>
    </w:p>
    <w:p>
      <w:pPr>
        <w:pStyle w:val="TextBody"/>
        <w:bidi w:val="0"/>
        <w:spacing w:before="240" w:after="0"/>
        <w:jc w:val="both"/>
        <w:rPr/>
      </w:pPr>
      <w:r>
        <w:rPr/>
        <w:t>“</w:t>
      </w:r>
      <w:r>
        <w:rPr>
          <w:rFonts w:ascii="Times New Roman" w:hAnsi="Times New Roman"/>
          <w:sz w:val="24"/>
          <w:u w:val="single"/>
        </w:rPr>
        <w:t>Specified Representations</w:t>
      </w:r>
      <w:r>
        <w:rPr>
          <w:rFonts w:ascii="Times New Roman" w:hAnsi="Times New Roman"/>
          <w:sz w:val="24"/>
        </w:rPr>
        <w:t xml:space="preserve">” shall mean the representations and warranties contained in (a) the first sentence of Section 4.1(a), (b) Section 4.1(b), (c) Section 4.1(c)(iii) or (iv) (in the case of indentures, agreements, or other instruments, solely to the extent such indentures, agreements or other instruments evidence Indebtedness in an aggregate amount in excess of $400,000,000 (including, without limitation, the Existing Credit Agreements)), without giving effect to any materiality qualification therein, (d) Section 4.1(k), (e) Section 4.1(l), (f) Section 4.1(m), (g) Section 4.1(n) (in the case of Anti-Corruption Laws, solely with respect to the use of proceeds of the Loans). </w:t>
      </w:r>
    </w:p>
    <w:p>
      <w:pPr>
        <w:pStyle w:val="TextBody"/>
        <w:bidi w:val="0"/>
        <w:spacing w:before="240" w:after="0"/>
        <w:jc w:val="both"/>
        <w:rPr/>
      </w:pPr>
      <w:r>
        <w:rPr/>
        <w:t>“</w:t>
      </w:r>
      <w:r>
        <w:rPr>
          <w:rFonts w:ascii="Times New Roman" w:hAnsi="Times New Roman"/>
          <w:sz w:val="24"/>
          <w:u w:val="single"/>
        </w:rPr>
        <w:t>Subsidiary</w:t>
      </w:r>
      <w:r>
        <w:rPr>
          <w:rFonts w:ascii="Times New Roman" w:hAnsi="Times New Roman"/>
          <w:sz w:val="24"/>
        </w:rPr>
        <w:t xml:space="preserve">” shall mean, as applied to any Person, (a) any corporation, partnership or other entity of which no less than a majority of the Ownership Interests having ordinary voting power to elect a majority of its board of directors or other persons performing similar functions or such corporation, partnership or other entity, whether or not at the time any Ownership Interests of any other class or classes of such corporation, partnership or other entity shall or might have voting power by reason of the happening of any contingency, is at the time owned directly or indirectly by such Person, or by one or more Subsidiaries of such Person, or by such Person and one or more Subsidiaries of such Person;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such Person and/or such Person’s Subsidiaries directly or indirectly own less than a majority of such Subsidiary’s Ownership Interests, then such Subsidiary’s operating or governing documents must require (i) such Subsidiary’s net cash after the establishment of reserves be distributed to its equity holders no less frequently than quarterly and (ii) the consent of such Person and/or such Person’s Subsidiaries to amend or otherwise modify the provisions of such operating or governing documents requiring such distributions, or (b) any other entity which is directly or indirectly controlled or capable of being controlled by such Person, or by one or more Subsidiaries of such Person, or by such Person and one or more Subsidiaries of such Person. Notwithstanding the foregoing, no Unrestricted Subsidiary shall be deemed to be a Subsidiary of the Borrower or any of its Subsidiaries for the purposes of this Agreement or any other Loan Document. </w:t>
      </w:r>
    </w:p>
    <w:p>
      <w:pPr>
        <w:pStyle w:val="TextBody"/>
        <w:bidi w:val="0"/>
        <w:spacing w:before="240" w:after="0"/>
        <w:jc w:val="both"/>
        <w:rPr/>
      </w:pPr>
      <w:r>
        <w:rPr/>
        <w:t>“</w:t>
      </w:r>
      <w:r>
        <w:rPr>
          <w:rFonts w:ascii="Times New Roman" w:hAnsi="Times New Roman"/>
          <w:sz w:val="24"/>
          <w:u w:val="single"/>
        </w:rPr>
        <w:t>Syndication Agent</w:t>
      </w:r>
      <w:r>
        <w:rPr>
          <w:rFonts w:ascii="Times New Roman" w:hAnsi="Times New Roman"/>
          <w:sz w:val="24"/>
        </w:rPr>
        <w:t xml:space="preserve">” shall mean TD Securities (USA) LLC. </w:t>
      </w:r>
    </w:p>
    <w:p>
      <w:pPr>
        <w:pStyle w:val="TextBody"/>
        <w:bidi w:val="0"/>
        <w:spacing w:before="240" w:after="0"/>
        <w:jc w:val="both"/>
        <w:rPr/>
      </w:pPr>
      <w:r>
        <w:rPr/>
        <w:t>“</w:t>
      </w:r>
      <w:r>
        <w:rPr>
          <w:rFonts w:ascii="Times New Roman" w:hAnsi="Times New Roman"/>
          <w:sz w:val="24"/>
          <w:u w:val="single"/>
        </w:rPr>
        <w:t>Target</w:t>
      </w:r>
      <w:r>
        <w:rPr>
          <w:rFonts w:ascii="Times New Roman" w:hAnsi="Times New Roman"/>
          <w:sz w:val="24"/>
        </w:rPr>
        <w:t xml:space="preserve">” shall mean CoreSite Realty Corporation, a Maryland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Target Material Adverse Effect</w:t>
      </w:r>
      <w:r>
        <w:rPr>
          <w:rFonts w:ascii="Times New Roman" w:hAnsi="Times New Roman"/>
          <w:sz w:val="24"/>
        </w:rPr>
        <w:t xml:space="preserve">” shall have the meaning ascribed to the term “Company Material Adverse Effect” in the Specified Merger Agreement as in effect on November 14, 2021. </w:t>
      </w:r>
    </w:p>
    <w:p>
      <w:pPr>
        <w:pStyle w:val="TextBody"/>
        <w:bidi w:val="0"/>
        <w:spacing w:before="240" w:after="0"/>
        <w:jc w:val="both"/>
        <w:rPr/>
      </w:pPr>
      <w:r>
        <w:rPr/>
        <w:t>“</w:t>
      </w:r>
      <w:r>
        <w:rPr>
          <w:rFonts w:ascii="Times New Roman" w:hAnsi="Times New Roman"/>
          <w:sz w:val="24"/>
          <w:u w:val="single"/>
        </w:rPr>
        <w:t>Target Operating Partnership</w:t>
      </w:r>
      <w:r>
        <w:rPr>
          <w:rFonts w:ascii="Times New Roman" w:hAnsi="Times New Roman"/>
          <w:sz w:val="24"/>
        </w:rPr>
        <w:t xml:space="preserve">” shall mean CoreSite, L.P., a Delaware limited partnership. </w:t>
      </w:r>
    </w:p>
    <w:p>
      <w:pPr>
        <w:pStyle w:val="TextBody"/>
        <w:bidi w:val="0"/>
        <w:spacing w:before="240" w:after="0"/>
        <w:jc w:val="both"/>
        <w:rPr/>
      </w:pPr>
      <w:r>
        <w:rPr/>
        <w:t>“</w:t>
      </w:r>
      <w:r>
        <w:rPr>
          <w:rFonts w:ascii="Times New Roman" w:hAnsi="Times New Roman"/>
          <w:sz w:val="24"/>
          <w:u w:val="single"/>
        </w:rPr>
        <w:t>Taxes</w:t>
      </w:r>
      <w:r>
        <w:rPr>
          <w:rFonts w:ascii="Times New Roman" w:hAnsi="Times New Roman"/>
          <w:sz w:val="24"/>
        </w:rPr>
        <w:t xml:space="preserve">” shall have the meaning assigned thereto in Section 10.3(b). </w:t>
      </w:r>
    </w:p>
    <w:p>
      <w:pPr>
        <w:pStyle w:val="TextBody"/>
        <w:bidi w:val="0"/>
        <w:spacing w:before="240" w:after="0"/>
        <w:jc w:val="both"/>
        <w:rPr/>
      </w:pPr>
      <w:r>
        <w:rPr/>
        <w:t>“</w:t>
      </w:r>
      <w:r>
        <w:rPr>
          <w:rFonts w:ascii="Times New Roman" w:hAnsi="Times New Roman"/>
          <w:sz w:val="24"/>
          <w:u w:val="single"/>
        </w:rPr>
        <w:t>Term Loan Commitment</w:t>
      </w:r>
      <w:r>
        <w:rPr>
          <w:rFonts w:ascii="Times New Roman" w:hAnsi="Times New Roman"/>
          <w:sz w:val="24"/>
        </w:rPr>
        <w:t xml:space="preserve">” shall mean, collectively, the 2021 Term Loan Commitment and the Extended Term Loan Commitment. </w:t>
      </w:r>
    </w:p>
    <w:p>
      <w:pPr>
        <w:pStyle w:val="TextBody"/>
        <w:bidi w:val="0"/>
        <w:spacing w:before="240" w:after="0"/>
        <w:jc w:val="both"/>
        <w:rPr/>
      </w:pPr>
      <w:r>
        <w:rPr/>
        <w:t>“</w:t>
      </w:r>
      <w:r>
        <w:rPr>
          <w:rFonts w:ascii="Times New Roman" w:hAnsi="Times New Roman"/>
          <w:sz w:val="24"/>
          <w:u w:val="single"/>
        </w:rPr>
        <w:t>Term Loan Maturity Date</w:t>
      </w:r>
      <w:r>
        <w:rPr>
          <w:rFonts w:ascii="Times New Roman" w:hAnsi="Times New Roman"/>
          <w:sz w:val="24"/>
        </w:rPr>
        <w:t xml:space="preserve">” shall mean </w:t>
      </w:r>
      <w:r>
        <w:rPr>
          <w:rFonts w:ascii="Times New Roman" w:hAnsi="Times New Roman"/>
          <w:strike/>
          <w:color w:val="FF0000"/>
          <w:sz w:val="24"/>
        </w:rPr>
        <w:t>January 28</w:t>
      </w:r>
      <w:r>
        <w:rPr>
          <w:rFonts w:ascii="Times New Roman" w:hAnsi="Times New Roman"/>
          <w:color w:val="0000FF"/>
          <w:sz w:val="24"/>
          <w:u w:val="single"/>
          <w:bdr w:val="double" w:sz="2" w:space="1" w:color="000000"/>
        </w:rPr>
        <w:t>May 1</w:t>
      </w:r>
      <w:r>
        <w:rPr>
          <w:rFonts w:ascii="Times New Roman" w:hAnsi="Times New Roman"/>
          <w:sz w:val="24"/>
        </w:rPr>
        <w:t xml:space="preserve">, </w:t>
      </w:r>
      <w:r>
        <w:rPr>
          <w:rFonts w:ascii="Times New Roman" w:hAnsi="Times New Roman"/>
          <w:strike/>
          <w:color w:val="FF0000"/>
          <w:sz w:val="24"/>
        </w:rPr>
        <w:t>2028</w:t>
      </w:r>
      <w:r>
        <w:rPr>
          <w:rFonts w:ascii="Times New Roman" w:hAnsi="Times New Roman"/>
          <w:color w:val="0000FF"/>
          <w:sz w:val="24"/>
          <w:u w:val="single"/>
          <w:bdr w:val="double" w:sz="2" w:space="1" w:color="000000"/>
        </w:rPr>
        <w:t>2029</w:t>
      </w:r>
      <w:r>
        <w:rPr>
          <w:rFonts w:ascii="Times New Roman" w:hAnsi="Times New Roman"/>
          <w:sz w:val="24"/>
        </w:rPr>
        <w:t xml:space="preserve">, or such earlier date as payment of the Loans shall be due (whether by acceleration or otherwise). </w:t>
      </w:r>
    </w:p>
    <w:p>
      <w:pPr>
        <w:pStyle w:val="TextBody"/>
        <w:bidi w:val="0"/>
        <w:spacing w:before="240" w:after="0"/>
        <w:jc w:val="both"/>
        <w:rPr/>
      </w:pPr>
      <w:r>
        <w:rPr/>
        <w:t>“</w:t>
      </w:r>
      <w:r>
        <w:rPr>
          <w:rFonts w:ascii="Times New Roman" w:hAnsi="Times New Roman"/>
          <w:sz w:val="24"/>
          <w:u w:val="single"/>
        </w:rPr>
        <w:t>Term Loans</w:t>
      </w:r>
      <w:r>
        <w:rPr>
          <w:rFonts w:ascii="Times New Roman" w:hAnsi="Times New Roman"/>
          <w:sz w:val="24"/>
        </w:rPr>
        <w:t xml:space="preserve">” shall mean, collectively, the Extended Term Loans, the 2021 Term Loans and the Incremental Term Loans. </w:t>
      </w:r>
    </w:p>
    <w:p>
      <w:pPr>
        <w:pStyle w:val="TextBody"/>
        <w:bidi w:val="0"/>
        <w:spacing w:before="240" w:after="0"/>
        <w:jc w:val="both"/>
        <w:rPr/>
      </w:pPr>
      <w:r>
        <w:rPr/>
        <w:t>“</w:t>
      </w:r>
      <w:r>
        <w:rPr>
          <w:rFonts w:ascii="Times New Roman" w:hAnsi="Times New Roman"/>
          <w:sz w:val="24"/>
          <w:u w:val="single"/>
        </w:rPr>
        <w:t>Term SOFR</w:t>
      </w:r>
      <w:r>
        <w:rPr>
          <w:rFonts w:ascii="Times New Roman" w:hAnsi="Times New Roman"/>
          <w:sz w:val="24"/>
        </w:rPr>
        <w:t xml:space="preserve">” shall mean, </w:t>
      </w:r>
    </w:p>
    <w:p>
      <w:pPr>
        <w:pStyle w:val="TextBody"/>
        <w:bidi w:val="0"/>
        <w:spacing w:before="240" w:after="0"/>
        <w:jc w:val="both"/>
        <w:rPr>
          <w:rFonts w:ascii="Times New Roman" w:hAnsi="Times New Roman"/>
          <w:sz w:val="24"/>
        </w:rPr>
      </w:pPr>
      <w:r>
        <w:rPr>
          <w:rFonts w:ascii="Times New Roman" w:hAnsi="Times New Roman"/>
          <w:sz w:val="24"/>
        </w:rPr>
        <w:t>(a) for any calculation with respect to a SOFR Loan, the Term SOFR Reference Rate for a tenor comparable to the applicable Interest Period on the day (such day, the “</w:t>
      </w:r>
      <w:r>
        <w:rPr>
          <w:rFonts w:ascii="Times New Roman" w:hAnsi="Times New Roman"/>
          <w:sz w:val="24"/>
          <w:u w:val="single"/>
        </w:rPr>
        <w:t>Periodic Term SOFR Determination Day</w:t>
      </w:r>
      <w:r>
        <w:rPr>
          <w:rFonts w:ascii="Times New Roman" w:hAnsi="Times New Roman"/>
          <w:sz w:val="24"/>
        </w:rPr>
        <w:t xml:space="preserve">”) that is two (2) U.S. Government Securities Business Days prior to the first day of such Interest Period, as such rate is published by the Term SOFR Administrator; </w:t>
      </w:r>
      <w:r>
        <w:rPr>
          <w:rFonts w:ascii="Times New Roman" w:hAnsi="Times New Roman"/>
          <w:sz w:val="24"/>
          <w:u w:val="single"/>
        </w:rPr>
        <w:t>provided</w:t>
      </w:r>
      <w:r>
        <w:rPr>
          <w:rFonts w:ascii="Times New Roman" w:hAnsi="Times New Roman"/>
          <w:sz w:val="24"/>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r>
        <w:rPr>
          <w:rFonts w:ascii="Times New Roman" w:hAnsi="Times New Roman"/>
          <w:color w:val="0000FF"/>
          <w:sz w:val="24"/>
          <w:u w:val="single"/>
          <w:bdr w:val="double" w:sz="2" w:space="1" w:color="000000"/>
        </w:rPr>
        <w:t xml:space="preserve">; provided, further, that if </w:t>
      </w:r>
      <w:r>
        <w:rPr>
          <w:rFonts w:ascii="Times New Roman" w:hAnsi="Times New Roman"/>
          <w:color w:val="00C000"/>
          <w:sz w:val="24"/>
          <w:u w:val="single"/>
        </w:rPr>
        <w:t>Term SOFR as so determined</w:t>
      </w:r>
      <w:r>
        <w:rPr>
          <w:rFonts w:ascii="Times New Roman" w:hAnsi="Times New Roman"/>
          <w:sz w:val="24"/>
        </w:rPr>
        <w:t xml:space="preserve"> </w:t>
      </w:r>
      <w:r>
        <w:rPr>
          <w:rFonts w:ascii="Times New Roman" w:hAnsi="Times New Roman"/>
          <w:color w:val="0000FF"/>
          <w:sz w:val="24"/>
          <w:u w:val="single"/>
          <w:bdr w:val="double" w:sz="2" w:space="1" w:color="000000"/>
        </w:rPr>
        <w:t>is less than the Floor, Term</w:t>
      </w:r>
      <w:r>
        <w:rPr>
          <w:rFonts w:ascii="Times New Roman" w:hAnsi="Times New Roman"/>
          <w:sz w:val="24"/>
        </w:rPr>
        <w:t xml:space="preserve"> </w:t>
      </w:r>
      <w:r>
        <w:rPr>
          <w:rFonts w:ascii="Times New Roman" w:hAnsi="Times New Roman"/>
          <w:color w:val="00C000"/>
          <w:sz w:val="24"/>
          <w:u w:val="single"/>
        </w:rPr>
        <w:t>SOFR shall be deemed to be the Floor,</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(b) for any calculation with respect to a Base Rate Loan on any day, the Term SOFR Reference Rate for a tenor of one month on the day (such day, the “</w:t>
      </w:r>
      <w:r>
        <w:rPr>
          <w:rFonts w:ascii="Times New Roman" w:hAnsi="Times New Roman"/>
          <w:sz w:val="24"/>
          <w:u w:val="single"/>
        </w:rPr>
        <w:t>Base Rate Term SOFR Determination Day</w:t>
      </w:r>
      <w:r>
        <w:rPr>
          <w:rFonts w:ascii="Times New Roman" w:hAnsi="Times New Roman"/>
          <w:sz w:val="24"/>
        </w:rPr>
        <w:t xml:space="preserve">”) that is two (2) U.S. Government Securities Business Days prior to such day, as such rate is published by the Term SOFR Administrator; </w:t>
      </w:r>
      <w:r>
        <w:rPr>
          <w:rFonts w:ascii="Times New Roman" w:hAnsi="Times New Roman"/>
          <w:sz w:val="24"/>
          <w:u w:val="single"/>
        </w:rPr>
        <w:t>provided</w:t>
      </w:r>
      <w:r>
        <w:rPr>
          <w:rFonts w:ascii="Times New Roman" w:hAnsi="Times New Roman"/>
          <w:sz w:val="24"/>
        </w:rPr>
        <w:t xml:space="preserve">,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p>
    <w:p>
      <w:pPr>
        <w:pStyle w:val="TextBody"/>
        <w:bidi w:val="0"/>
        <w:spacing w:before="240" w:after="0"/>
        <w:jc w:val="both"/>
        <w:rPr/>
      </w:pPr>
      <w:r>
        <w:rPr>
          <w:strike/>
          <w:color w:val="FF0000"/>
        </w:rPr>
        <w:t>“</w:t>
      </w:r>
      <w:r>
        <w:rPr>
          <w:rFonts w:ascii="Times New Roman" w:hAnsi="Times New Roman"/>
          <w:strike/>
          <w:color w:val="FF0000"/>
          <w:sz w:val="24"/>
        </w:rPr>
        <w:t>Term SOFR Adjustment” shall mean a percentage equal to 0.10% per annum.</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Term SOFR Administrator</w:t>
      </w:r>
      <w:r>
        <w:rPr>
          <w:rFonts w:ascii="Times New Roman" w:hAnsi="Times New Roman"/>
          <w:sz w:val="24"/>
        </w:rPr>
        <w:t xml:space="preserve">” shall mean CME Group Benchmark Administration Limited (CBA) (or a successor administrator of the Term SOFR Reference Rate selected by the Administrative Agent in its reasonable discretion). </w:t>
      </w:r>
    </w:p>
    <w:p>
      <w:pPr>
        <w:pStyle w:val="TextBody"/>
        <w:bidi w:val="0"/>
        <w:spacing w:before="240" w:after="0"/>
        <w:jc w:val="both"/>
        <w:rPr/>
      </w:pPr>
      <w:r>
        <w:rPr/>
        <w:t>“</w:t>
      </w:r>
      <w:r>
        <w:rPr>
          <w:rFonts w:ascii="Times New Roman" w:hAnsi="Times New Roman"/>
          <w:sz w:val="24"/>
          <w:u w:val="single"/>
        </w:rPr>
        <w:t>Term SOFR Reference Rate</w:t>
      </w:r>
      <w:r>
        <w:rPr>
          <w:rFonts w:ascii="Times New Roman" w:hAnsi="Times New Roman"/>
          <w:sz w:val="24"/>
        </w:rPr>
        <w:t xml:space="preserve">” shall mean the forward-looking term rate based on SOFR. </w:t>
      </w:r>
    </w:p>
    <w:p>
      <w:pPr>
        <w:pStyle w:val="TextBody"/>
        <w:bidi w:val="0"/>
        <w:spacing w:before="240" w:after="0"/>
        <w:jc w:val="both"/>
        <w:rPr/>
      </w:pPr>
      <w:r>
        <w:rPr/>
        <w:t>“</w:t>
      </w:r>
      <w:r>
        <w:rPr>
          <w:rFonts w:ascii="Times New Roman" w:hAnsi="Times New Roman"/>
          <w:sz w:val="24"/>
          <w:u w:val="single"/>
        </w:rPr>
        <w:t>Ticking Fee Rate</w:t>
      </w:r>
      <w:r>
        <w:rPr>
          <w:rFonts w:ascii="Times New Roman" w:hAnsi="Times New Roman"/>
          <w:sz w:val="24"/>
        </w:rPr>
        <w:t xml:space="preserve">” shall have the meaning ascribed thereto in Section 2.4(b) hereof. </w:t>
      </w:r>
    </w:p>
    <w:p>
      <w:pPr>
        <w:pStyle w:val="TextBody"/>
        <w:bidi w:val="0"/>
        <w:spacing w:before="240" w:after="0"/>
        <w:jc w:val="both"/>
        <w:rPr/>
      </w:pPr>
      <w:r>
        <w:rPr/>
        <w:t>“</w:t>
      </w:r>
      <w:r>
        <w:rPr>
          <w:rFonts w:ascii="Times New Roman" w:hAnsi="Times New Roman"/>
          <w:sz w:val="24"/>
          <w:u w:val="single"/>
        </w:rPr>
        <w:t>Total Debt</w:t>
      </w:r>
      <w:r>
        <w:rPr>
          <w:rFonts w:ascii="Times New Roman" w:hAnsi="Times New Roman"/>
          <w:sz w:val="24"/>
        </w:rPr>
        <w:t xml:space="preserve">” shall mean, for the Borrower and its Subsidiaries on a consolidated basis as of any date, (a) the sum (without duplication) of (i) the outstanding principal amount of the Loans as of such date, (ii) the aggregate amount of Indebtedness plus Attributable Debt of such Persons as of such date, (iii) the aggregate amount of all Guaranties by such Persons of Indebtedness as of such date, and (iv) to the extent payable by the Borrower, an amount equal to the aggregate exposure of the Borrower under any Hedge Agreements permitted pursuant to Section 7.1 hereof, as calculated on a marked to market basis as of the last day of the fiscal quarter being tested or the last day of the most recently completed fiscal quarter, as applicable less (b) the sum of all unrestricted domestic cash and Cash Equivalents of the Borrower and its Subsidiaries as of such date. </w:t>
      </w:r>
    </w:p>
    <w:p>
      <w:pPr>
        <w:pStyle w:val="TextBody"/>
        <w:bidi w:val="0"/>
        <w:spacing w:before="240" w:after="0"/>
        <w:jc w:val="both"/>
        <w:rPr/>
      </w:pPr>
      <w:r>
        <w:rPr/>
        <w:t>“</w:t>
      </w:r>
      <w:r>
        <w:rPr>
          <w:rFonts w:ascii="Times New Roman" w:hAnsi="Times New Roman"/>
          <w:sz w:val="24"/>
          <w:u w:val="single"/>
        </w:rPr>
        <w:t>Transactions</w:t>
      </w:r>
      <w:r>
        <w:rPr>
          <w:rFonts w:ascii="Times New Roman" w:hAnsi="Times New Roman"/>
          <w:sz w:val="24"/>
        </w:rPr>
        <w:t xml:space="preserve">” shall mean (i) the Specified Merger, (ii) the entering into this Agreement and the Effective Date Credit Agreements and the funding hereunder and thereunder in connection with the consummation of the Specified Merger and (iii) the payment of costs and expenses in connection with the foregoing. </w:t>
      </w:r>
    </w:p>
    <w:p>
      <w:pPr>
        <w:pStyle w:val="TextBody"/>
        <w:bidi w:val="0"/>
        <w:spacing w:before="240" w:after="0"/>
        <w:jc w:val="both"/>
        <w:rPr/>
      </w:pPr>
      <w:r>
        <w:rPr/>
        <w:t>“</w:t>
      </w:r>
      <w:r>
        <w:rPr>
          <w:rFonts w:ascii="Times New Roman" w:hAnsi="Times New Roman"/>
          <w:sz w:val="24"/>
          <w:u w:val="single"/>
        </w:rPr>
        <w:t>UK Financial Institution</w:t>
      </w:r>
      <w:r>
        <w:rPr>
          <w:rFonts w:ascii="Times New Roman" w:hAnsi="Times New Roman"/>
          <w:sz w:val="24"/>
        </w:rPr>
        <w:t xml:space="preserve">” shall mean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both"/>
        <w:rPr/>
      </w:pPr>
      <w:r>
        <w:rPr/>
        <w:t>“</w:t>
      </w:r>
      <w:r>
        <w:rPr>
          <w:rFonts w:ascii="Times New Roman" w:hAnsi="Times New Roman"/>
          <w:sz w:val="24"/>
          <w:u w:val="single"/>
        </w:rPr>
        <w:t>UK Resolution Authority</w:t>
      </w:r>
      <w:r>
        <w:rPr>
          <w:rFonts w:ascii="Times New Roman" w:hAnsi="Times New Roman"/>
          <w:sz w:val="24"/>
        </w:rPr>
        <w:t xml:space="preserve">” shall mean the Bank of England or any other public administrative authority having responsibility for the resolution of any UK Financial Institution. </w:t>
      </w:r>
    </w:p>
    <w:p>
      <w:pPr>
        <w:pStyle w:val="TextBody"/>
        <w:bidi w:val="0"/>
        <w:spacing w:before="240" w:after="0"/>
        <w:jc w:val="both"/>
        <w:rPr/>
      </w:pPr>
      <w:r>
        <w:rPr/>
        <w:t>“</w:t>
      </w:r>
      <w:r>
        <w:rPr>
          <w:rFonts w:ascii="Times New Roman" w:hAnsi="Times New Roman"/>
          <w:sz w:val="24"/>
          <w:u w:val="single"/>
        </w:rPr>
        <w:t>U.S. Government Securities Business Day</w:t>
      </w:r>
      <w:r>
        <w:rPr>
          <w:rFonts w:ascii="Times New Roman" w:hAnsi="Times New Roman"/>
          <w:sz w:val="24"/>
        </w:rPr>
        <w:t xml:space="preserve">”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both"/>
        <w:rPr/>
      </w:pPr>
      <w:r>
        <w:rPr/>
        <w:t>“</w:t>
      </w:r>
      <w:r>
        <w:rPr>
          <w:rFonts w:ascii="Times New Roman" w:hAnsi="Times New Roman"/>
          <w:sz w:val="24"/>
          <w:u w:val="single"/>
        </w:rPr>
        <w:t>U.S. Person</w:t>
      </w:r>
      <w:r>
        <w:rPr>
          <w:rFonts w:ascii="Times New Roman" w:hAnsi="Times New Roman"/>
          <w:sz w:val="24"/>
        </w:rPr>
        <w:t xml:space="preserve">” shall mean a citizen or resident of the United States of America, a corporation, partnership or other entity created or organized in or under any laws of the United States of America, or any estate or trust that is subject to Federal income taxation regardless of the source of its income. </w:t>
      </w:r>
    </w:p>
    <w:p>
      <w:pPr>
        <w:pStyle w:val="TextBody"/>
        <w:bidi w:val="0"/>
        <w:spacing w:before="240" w:after="0"/>
        <w:jc w:val="both"/>
        <w:rPr/>
      </w:pPr>
      <w:r>
        <w:rPr/>
        <w:t>“</w:t>
      </w:r>
      <w:r>
        <w:rPr>
          <w:rFonts w:ascii="Times New Roman" w:hAnsi="Times New Roman"/>
          <w:sz w:val="24"/>
          <w:u w:val="single"/>
        </w:rPr>
        <w:t>U.S. Subsidiary</w:t>
      </w:r>
      <w:r>
        <w:rPr>
          <w:rFonts w:ascii="Times New Roman" w:hAnsi="Times New Roman"/>
          <w:sz w:val="24"/>
        </w:rPr>
        <w:t xml:space="preserve">” shall mean any Subsidiary that is not a Foreign Subsidiary. </w:t>
      </w:r>
    </w:p>
    <w:p>
      <w:pPr>
        <w:pStyle w:val="TextBody"/>
        <w:bidi w:val="0"/>
        <w:spacing w:before="240" w:after="0"/>
        <w:jc w:val="both"/>
        <w:rPr/>
      </w:pPr>
      <w:r>
        <w:rPr/>
        <w:t>“</w:t>
      </w:r>
      <w:r>
        <w:rPr>
          <w:rFonts w:ascii="Times New Roman" w:hAnsi="Times New Roman"/>
          <w:sz w:val="24"/>
          <w:u w:val="single"/>
        </w:rPr>
        <w:t>Unadjusted Benchmark Replacement</w:t>
      </w:r>
      <w:r>
        <w:rPr>
          <w:rFonts w:ascii="Times New Roman" w:hAnsi="Times New Roman"/>
          <w:sz w:val="24"/>
        </w:rPr>
        <w:t xml:space="preserve">” shall mean the applicable Benchmark Replacement excluding the related Benchmark Replacement Adjustment.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4"/>
          <w:u w:val="single"/>
        </w:rPr>
        <w:t>Undisclosed Administration</w:t>
      </w:r>
      <w:r>
        <w:rPr>
          <w:rFonts w:ascii="Times New Roman" w:hAnsi="Times New Roman"/>
          <w:sz w:val="24"/>
        </w:rPr>
        <w:t xml:space="preserve">” shall mean, in relation to a Lender or its direct or indirect parent company that is a solvent person,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240" w:after="0"/>
        <w:jc w:val="both"/>
        <w:rPr/>
      </w:pPr>
      <w:r>
        <w:rPr/>
        <w:t>“</w:t>
      </w:r>
      <w:r>
        <w:rPr>
          <w:rFonts w:ascii="Times New Roman" w:hAnsi="Times New Roman"/>
          <w:sz w:val="24"/>
          <w:u w:val="single"/>
        </w:rPr>
        <w:t>Unrestricted Subsidiary</w:t>
      </w:r>
      <w:r>
        <w:rPr>
          <w:rFonts w:ascii="Times New Roman" w:hAnsi="Times New Roman"/>
          <w:sz w:val="24"/>
        </w:rPr>
        <w:t xml:space="preserve">” shall mean any Subsidiary of the Borrower that is hereafter designated by the Borrower as an Unrestricted Subsidiary by notice to the Administrative Agent and the Lenders; </w:t>
      </w:r>
      <w:r>
        <w:rPr>
          <w:rFonts w:ascii="Times New Roman" w:hAnsi="Times New Roman"/>
          <w:sz w:val="24"/>
          <w:u w:val="single"/>
        </w:rPr>
        <w:t>provided</w:t>
      </w:r>
      <w:r>
        <w:rPr>
          <w:rFonts w:ascii="Times New Roman" w:hAnsi="Times New Roman"/>
          <w:sz w:val="24"/>
        </w:rPr>
        <w:t xml:space="preserve"> that (a) no Material Subsidiary shall be designated as an Unrestricted Subsidiary without the prior written consent of the Majority Lenders, (b) the aggregate Adjusted EBITDA of the Unrestricted Subsidiaries (without duplication) shall not exceed 20% of consolidated Adjusted EBITDA of the Borrower and its subsidiaries, and (c) no Subsidiary of the Borrower may be designated as an Unrestricted Subsidiary after the occurrence and during the continuance of a Default or an Event of Default;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the designation by the Borrower of a Subsidiary as an Unrestricted Subsidiary may be revoked by the Borrower at any time by notice to the Administrative Agent and the Lenders so long as no Default would be caused thereby, from and after which time such Subsidiary will no longer be an Unrestricted Subsidiary. </w:t>
      </w:r>
    </w:p>
    <w:p>
      <w:pPr>
        <w:pStyle w:val="TextBody"/>
        <w:bidi w:val="0"/>
        <w:spacing w:before="240" w:after="0"/>
        <w:jc w:val="both"/>
        <w:rPr/>
      </w:pPr>
      <w:r>
        <w:rPr/>
        <w:t>“</w:t>
      </w:r>
      <w:r>
        <w:rPr>
          <w:rFonts w:ascii="Times New Roman" w:hAnsi="Times New Roman"/>
          <w:sz w:val="24"/>
          <w:u w:val="single"/>
        </w:rPr>
        <w:t>Write-Down and Conversion Powers</w:t>
      </w:r>
      <w:r>
        <w:rPr>
          <w:rFonts w:ascii="Times New Roman" w:hAnsi="Times New Roman"/>
          <w:sz w:val="24"/>
        </w:rPr>
        <w:t xml:space="preserve">”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both"/>
        <w:rPr>
          <w:rFonts w:ascii="Times New Roman" w:hAnsi="Times New Roman"/>
          <w:sz w:val="24"/>
        </w:rPr>
      </w:pPr>
      <w:r>
        <w:rPr>
          <w:rFonts w:ascii="Times New Roman" w:hAnsi="Times New Roman"/>
          <w:sz w:val="24"/>
        </w:rPr>
        <w:t>Section 1.2 </w:t>
      </w:r>
      <w:r>
        <w:rPr>
          <w:rFonts w:ascii="Times New Roman" w:hAnsi="Times New Roman"/>
          <w:sz w:val="24"/>
          <w:u w:val="single"/>
        </w:rPr>
        <w:t>Interpretation</w:t>
      </w:r>
      <w:r>
        <w:rPr>
          <w:rFonts w:ascii="Times New Roman" w:hAnsi="Times New Roman"/>
          <w:sz w:val="24"/>
        </w:rPr>
        <w:t xml:space="preserve">. Except where otherwise specifically restricted, reference to a party to this Agreement or any other Loan Document includes that party and its successors and assigns. All capitalized terms used herein which are defined in Article 9 of the Uniform Commercial Code in effect in the State of New York or other applicable jurisdiction on the date hereof and which are not otherwise defined herein shall have the same meanings herein as set forth therein. Whenever any agreement, promissory note or other instrument or document is defined in this Agreement, such definition shall be deemed to mean and include, from and after the date of any amendment, restatement, supplement, confirmation or modification thereof, such agreement, promissory note or other instrument or document as so amended, restated, supplemented, confirmed or modified, unless stated to be as in effect on a particular date. All terms defined in this Agreement in the singular shall have comparable meanings when used in the plural and vice versa. The words “hereof,” “herein” and “hereunder” and words of similar import when used in this Agreement shall refer to this Agreement as a whole and not to any particular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1.3 </w:t>
      </w:r>
      <w:r>
        <w:rPr>
          <w:rFonts w:ascii="Times New Roman" w:hAnsi="Times New Roman"/>
          <w:sz w:val="24"/>
          <w:u w:val="single"/>
        </w:rPr>
        <w:t>Cross References</w:t>
      </w:r>
      <w:r>
        <w:rPr>
          <w:rFonts w:ascii="Times New Roman" w:hAnsi="Times New Roman"/>
          <w:sz w:val="24"/>
        </w:rPr>
        <w:t xml:space="preserve">. Unless otherwise specified, references in this Agreement and in each other Loan Document to any Article or Section are references to such Article or Section of this Agreement or such other Loan Document, as the case may be, and, unless otherwise specified, references in any Article, Section or definition to any clause are references to such clause in such Article, Section or definition. </w:t>
      </w:r>
    </w:p>
    <w:p>
      <w:pPr>
        <w:pStyle w:val="TextBody"/>
        <w:bidi w:val="0"/>
        <w:spacing w:before="240" w:after="0"/>
        <w:jc w:val="both"/>
        <w:rPr>
          <w:rFonts w:ascii="Times New Roman" w:hAnsi="Times New Roman"/>
          <w:sz w:val="24"/>
        </w:rPr>
      </w:pPr>
      <w:r>
        <w:rPr>
          <w:rFonts w:ascii="Times New Roman" w:hAnsi="Times New Roman"/>
          <w:sz w:val="24"/>
        </w:rPr>
        <w:t>Section 1.4 </w:t>
      </w:r>
      <w:r>
        <w:rPr>
          <w:rFonts w:ascii="Times New Roman" w:hAnsi="Times New Roman"/>
          <w:sz w:val="24"/>
          <w:u w:val="single"/>
        </w:rPr>
        <w:t>Accounting Provisions</w:t>
      </w:r>
      <w:r>
        <w:rPr>
          <w:rFonts w:ascii="Times New Roman" w:hAnsi="Times New Roman"/>
          <w:sz w:val="24"/>
        </w:rPr>
        <w:t xml:space="preserve">. Unless otherwise expressly provided herein, all references in this Agreement to GAAP shall mean GAAP as in effect on the date of this Agreement as published by the Financial Accounting Standards Board. All accounting terms used in this Agreement and not defined expressly, completely or specifically herein shall have the respective meanings given to them, and shall be construed, in accordance with GAAP. All financial data (including financial ratios and other financial calculations) required to be submitted pursuant to this Agreement shall be prepared in accordance with GAAP applied in a manner consistent with that used to prepare the most recent audited consolidated financial statements of the Borrower and its Subsidiaries. All financial or accounting calculations or determinations required pursuant to this Agreement shall be made, and all references to the financial statements of the Borrower, Adjusted EBITDA, Senior Secured Debt, Total Debt, Interest Expense, Consolidated Total Assets and other such financial terms shall be deemed to refer to such items, unless otherwise expressly provided herein, on a consolidated basis for the Borrower and its Subsidiaries. Notwithstanding the foregoing, leases shall continue to be classified and accounted for on a basis consistent with that reflected in the financial statements of the Borrower for the fiscal year ended December 31, 2018 for all purposes, notwithstanding any change in GAAP relating thereto, including with respect to Accounting Standards Codification 842. </w:t>
      </w:r>
    </w:p>
    <w:p>
      <w:pPr>
        <w:pStyle w:val="TextBody"/>
        <w:bidi w:val="0"/>
        <w:spacing w:before="240" w:after="0"/>
        <w:jc w:val="both"/>
        <w:rPr>
          <w:rFonts w:ascii="Times New Roman" w:hAnsi="Times New Roman"/>
          <w:sz w:val="24"/>
        </w:rPr>
      </w:pPr>
      <w:r>
        <w:rPr>
          <w:rFonts w:ascii="Times New Roman" w:hAnsi="Times New Roman"/>
          <w:sz w:val="24"/>
        </w:rPr>
        <w:t>Section 1.5 </w:t>
      </w:r>
      <w:r>
        <w:rPr>
          <w:rFonts w:ascii="Times New Roman" w:hAnsi="Times New Roman"/>
          <w:sz w:val="24"/>
          <w:u w:val="single"/>
        </w:rPr>
        <w:t>Divisions</w:t>
      </w:r>
      <w:r>
        <w:rPr>
          <w:rFonts w:ascii="Times New Roman" w:hAnsi="Times New Roman"/>
          <w:sz w:val="24"/>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w:t>
      </w:r>
    </w:p>
    <w:p>
      <w:pPr>
        <w:pStyle w:val="TextBody"/>
        <w:bidi w:val="0"/>
        <w:spacing w:before="240" w:after="0"/>
        <w:jc w:val="both"/>
        <w:rPr>
          <w:rFonts w:ascii="Times New Roman" w:hAnsi="Times New Roman"/>
          <w:sz w:val="24"/>
        </w:rPr>
      </w:pPr>
      <w:r>
        <w:rPr>
          <w:rFonts w:ascii="Times New Roman" w:hAnsi="Times New Roman"/>
          <w:sz w:val="24"/>
        </w:rPr>
        <w:t>Section 1.6 </w:t>
      </w:r>
      <w:r>
        <w:rPr>
          <w:rFonts w:ascii="Times New Roman" w:hAnsi="Times New Roman"/>
          <w:sz w:val="24"/>
          <w:u w:val="single"/>
        </w:rPr>
        <w:t>Rates</w:t>
      </w:r>
      <w:r>
        <w:rPr>
          <w:rFonts w:ascii="Times New Roman" w:hAnsi="Times New Roman"/>
          <w:sz w:val="24"/>
        </w:rPr>
        <w:t xml:space="preserve">. The Administrative Agent does not warrant or accept responsibility for, and shall not have any liability with respect to (a) the continuation of, administration of, submission of, calculation of or any other matter related to Base Rate, the Term SOFR Reference Rate, </w:t>
      </w:r>
      <w:r>
        <w:rPr>
          <w:rFonts w:ascii="Times New Roman" w:hAnsi="Times New Roman"/>
          <w:strike/>
          <w:color w:val="FF0000"/>
          <w:sz w:val="24"/>
        </w:rPr>
        <w:t>Adjusted Term SOFR</w:t>
      </w:r>
      <w:r>
        <w:rPr>
          <w:rFonts w:ascii="Times New Roman" w:hAnsi="Times New Roman"/>
          <w:sz w:val="24"/>
        </w:rPr>
        <w:t xml:space="preserv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w:t>
      </w:r>
      <w:r>
        <w:rPr>
          <w:rFonts w:ascii="Times New Roman" w:hAnsi="Times New Roman"/>
          <w:strike/>
          <w:color w:val="FF0000"/>
          <w:sz w:val="24"/>
        </w:rPr>
        <w:t xml:space="preserve">Adjusted </w:t>
      </w:r>
      <w:r>
        <w:rPr>
          <w:rFonts w:ascii="Times New Roman" w:hAnsi="Times New Roman"/>
          <w:sz w:val="24"/>
        </w:rPr>
        <w:t>Term SOFR</w:t>
      </w:r>
      <w:r>
        <w:rPr>
          <w:rFonts w:ascii="Times New Roman" w:hAnsi="Times New Roman"/>
          <w:strike/>
          <w:color w:val="FF0000"/>
          <w:sz w:val="24"/>
        </w:rPr>
        <w:t>, Term SOFR</w:t>
      </w:r>
      <w:r>
        <w:rPr>
          <w:rFonts w:ascii="Times New Roman" w:hAnsi="Times New Roman"/>
          <w:sz w:val="24"/>
        </w:rPr>
        <w:t xml:space="preserve">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w:t>
      </w:r>
      <w:r>
        <w:rPr>
          <w:rFonts w:ascii="Times New Roman" w:hAnsi="Times New Roman"/>
          <w:strike/>
          <w:color w:val="FF0000"/>
          <w:sz w:val="24"/>
        </w:rPr>
        <w:t xml:space="preserve">SOFR, Adjusted Term </w:t>
      </w:r>
      <w:r>
        <w:rPr>
          <w:rFonts w:ascii="Times New Roman" w:hAnsi="Times New Roman"/>
          <w:sz w:val="24"/>
        </w:rPr>
        <w:t xml:space="preserve">SOFR, any alternative, successor or replacement rate (including any Benchmark Replacement) or any relevant adjustments thereto, in each case, in a manner adverse to the Borrower.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may select information sources or services in its reasonable discretion to ascertain Base Rate, the Term SOFR Reference Rate, Term SOFR, </w:t>
      </w:r>
      <w:r>
        <w:rPr>
          <w:rFonts w:ascii="Times New Roman" w:hAnsi="Times New Roman"/>
          <w:strike/>
          <w:color w:val="FF0000"/>
          <w:sz w:val="24"/>
        </w:rPr>
        <w:t xml:space="preserve">Adjusted Term SOFR </w:t>
      </w:r>
      <w:r>
        <w:rPr>
          <w:rFonts w:ascii="Times New Roman" w:hAnsi="Times New Roman"/>
          <w:sz w:val="24"/>
        </w:rPr>
        <w:t xml:space="preserve">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480" w:after="0"/>
        <w:jc w:val="center"/>
        <w:rPr>
          <w:rFonts w:ascii="Times New Roman" w:hAnsi="Times New Roman"/>
          <w:sz w:val="24"/>
        </w:rPr>
      </w:pPr>
      <w:r>
        <w:rPr>
          <w:rFonts w:ascii="Times New Roman" w:hAnsi="Times New Roman"/>
          <w:sz w:val="24"/>
        </w:rPr>
        <w:t xml:space="preserve">ARTICLE 2 - LOANS </w:t>
      </w:r>
    </w:p>
    <w:p>
      <w:pPr>
        <w:pStyle w:val="TextBody"/>
        <w:bidi w:val="0"/>
        <w:spacing w:before="240" w:after="0"/>
        <w:jc w:val="both"/>
        <w:rPr>
          <w:rFonts w:ascii="Times New Roman" w:hAnsi="Times New Roman"/>
          <w:sz w:val="24"/>
        </w:rPr>
      </w:pPr>
      <w:r>
        <w:rPr>
          <w:rFonts w:ascii="Times New Roman" w:hAnsi="Times New Roman"/>
          <w:sz w:val="24"/>
        </w:rPr>
        <w:t>Section 2.1 </w:t>
      </w:r>
      <w:r>
        <w:rPr>
          <w:rFonts w:ascii="Times New Roman" w:hAnsi="Times New Roman"/>
          <w:sz w:val="24"/>
          <w:u w:val="single"/>
        </w:rPr>
        <w:t>The Term Loans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Extended Term Loan Lenders agreed severally, and not jointly, upon the terms and subject to the conditions of this Agreement, to lend the Extended Term Loans on the Second Restatement Date. </w:t>
      </w:r>
    </w:p>
    <w:p>
      <w:pPr>
        <w:pStyle w:val="TextBody"/>
        <w:bidi w:val="0"/>
        <w:spacing w:before="240" w:after="0"/>
        <w:jc w:val="both"/>
        <w:rPr>
          <w:rFonts w:ascii="Times New Roman" w:hAnsi="Times New Roman"/>
          <w:sz w:val="24"/>
        </w:rPr>
      </w:pPr>
      <w:r>
        <w:rPr>
          <w:rFonts w:ascii="Times New Roman" w:hAnsi="Times New Roman"/>
          <w:sz w:val="24"/>
        </w:rPr>
        <w:t xml:space="preserve">(b) The 2021 Term Loan Lenders agree severally, and not jointly, upon the terms and subject to the conditions of this Agreement, to lend to the Borrower (x) to the extent the Pre-Closing Funding Election has not been made, on the 2021 Term Loan Funding Date and (y) to the extent the Pre-Closing Funding Election has been made, the Pre-Closing Funding Date, an amount not to exceed (i) in the aggregate, the 2021 Term Loan Commitments of all 2021 Term Loan Lenders and (ii) such 2021 Term Loan Lender’s 2021 Term Loan Commitment. </w:t>
      </w:r>
    </w:p>
    <w:p>
      <w:pPr>
        <w:pStyle w:val="TextBody"/>
        <w:bidi w:val="0"/>
        <w:spacing w:before="240" w:after="0"/>
        <w:jc w:val="both"/>
        <w:rPr>
          <w:rFonts w:ascii="Times New Roman" w:hAnsi="Times New Roman"/>
          <w:sz w:val="24"/>
        </w:rPr>
      </w:pPr>
      <w:r>
        <w:rPr>
          <w:rFonts w:ascii="Times New Roman" w:hAnsi="Times New Roman"/>
          <w:sz w:val="24"/>
        </w:rPr>
        <w:t xml:space="preserve">Amounts borrowed under this Section 2.1 and repaid or prepaid may not be reborrowed. </w:t>
      </w:r>
    </w:p>
    <w:p>
      <w:pPr>
        <w:pStyle w:val="TextBody"/>
        <w:bidi w:val="0"/>
        <w:spacing w:before="240" w:after="0"/>
        <w:jc w:val="both"/>
        <w:rPr>
          <w:rFonts w:ascii="Times New Roman" w:hAnsi="Times New Roman"/>
          <w:sz w:val="24"/>
        </w:rPr>
      </w:pPr>
      <w:r>
        <w:rPr>
          <w:rFonts w:ascii="Times New Roman" w:hAnsi="Times New Roman"/>
          <w:sz w:val="24"/>
        </w:rPr>
        <w:t>Section 2.2 </w:t>
      </w:r>
      <w:r>
        <w:rPr>
          <w:rFonts w:ascii="Times New Roman" w:hAnsi="Times New Roman"/>
          <w:sz w:val="24"/>
          <w:u w:val="single"/>
        </w:rPr>
        <w:t>Manner of Advance and Disbursement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Choice of Interest Rate, Etc</w:t>
      </w:r>
      <w:r>
        <w:rPr>
          <w:rFonts w:ascii="Times New Roman" w:hAnsi="Times New Roman"/>
          <w:sz w:val="24"/>
        </w:rPr>
        <w:t xml:space="preserve">. The Advances hereunder shall, at the option of the Borrower, be made as one or more Base Rate Advances or SOFR Advances; provided, however, that at such time as there shall have occurred and be continuing an Event of Default hereunder, at the request of the Majority Lenders, the Borrower shall not have the right to Continue a SOFR Advance or Convert a Base Rate Advance to a SOFR Advance. Any notice given to the Administrative Agent in connection with a requested Advance or Conversion hereunder shall be given to the Administrative Agent prior to 11:00 a.m. (New York, New York time) in order for such Business Day to count toward the minimum number of Business Days required. </w:t>
      </w:r>
    </w:p>
    <w:p>
      <w:pPr>
        <w:pStyle w:val="TextBody"/>
        <w:bidi w:val="0"/>
        <w:spacing w:before="240" w:after="0"/>
        <w:jc w:val="both"/>
        <w:rPr>
          <w:rFonts w:ascii="Times New Roman" w:hAnsi="Times New Roman"/>
          <w:sz w:val="24"/>
        </w:rPr>
      </w:pPr>
      <w:r>
        <w:rPr>
          <w:rFonts w:ascii="Times New Roman" w:hAnsi="Times New Roman"/>
          <w:sz w:val="24"/>
        </w:rPr>
        <w:t xml:space="preserve">(b) Base Rate Advances.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Advances</w:t>
      </w:r>
      <w:r>
        <w:rPr>
          <w:rFonts w:ascii="Times New Roman" w:hAnsi="Times New Roman"/>
          <w:sz w:val="24"/>
        </w:rPr>
        <w:t xml:space="preserve">. The Borrower shall give the Administrative Agent in the case of Base Rate Advances irrevocable prior telephonic notice followed immediately by a Request for Advance by 9:00 A.M. (New York, New York time) on the date of such proposed Base Rate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Borrower’s failure to confirm any telephonic notice with a Request for Advance shall not invalidate any notice so given if acted upon by the Administrative Agent. Upon receipt of such notice from the Borrower, the Administrative Agent shall promptly notify each Lender by telephone, email or telecopy of the contents thereof.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Conversions</w:t>
      </w:r>
      <w:r>
        <w:rPr>
          <w:rFonts w:ascii="Times New Roman" w:hAnsi="Times New Roman"/>
          <w:sz w:val="24"/>
        </w:rPr>
        <w:t xml:space="preserve">. The Borrower may, without regard to the applicable Payment Date and upon at least three (3) Business Days’ irrevocable prior telephonic notice followed by a Request for Advance, Convert all or a portion of the principal of a Base Rate Advance to a SOFR Advance. On the date indicated by the Borrower, such Base Rate Advance shall be so Converted. The failure to give timely notice hereunder with respect to the Payment Date of any Base Rate Advance shall be considered a request for a Base Rate Advance.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SOFR Advances</w:t>
      </w:r>
      <w:r>
        <w:rPr>
          <w:rFonts w:ascii="Times New Roman" w:hAnsi="Times New Roman"/>
          <w:sz w:val="24"/>
        </w:rPr>
        <w:t xml:space="preserve">. Upon request, the Administrative Agent, whose determination in absence of manifest error shall be conclusive, shall determine the available SOFR Basis and shall notify the Borrower of such SOFR Basis to apply for the applicable SOFR Advance.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Advances</w:t>
      </w:r>
      <w:r>
        <w:rPr>
          <w:rFonts w:ascii="Times New Roman" w:hAnsi="Times New Roman"/>
          <w:sz w:val="24"/>
        </w:rPr>
        <w:t xml:space="preserve">. The Borrower shall give the Administrative Agent in the case of SOFR Advances at least two (2) Business Days’ irrevocable prior telephonic notice followed immediately by a Request for Advance;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Borrower’s failure to confirm any telephonic notice with a Request for Advance shall not invalidate any notice so given if acted upon by the Administrative Agent. Upon receipt of such notice from the Borrower, the Administrative Agent shall promptly notify each Lender by telephone, email or telecopy of the contents thereof.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Conversions and Continuations</w:t>
      </w:r>
      <w:r>
        <w:rPr>
          <w:rFonts w:ascii="Times New Roman" w:hAnsi="Times New Roman"/>
          <w:sz w:val="24"/>
        </w:rPr>
        <w:t xml:space="preserve">. At least three (3) Business Days prior to the Payment Date for each SOFR Advance, the Borrower shall give the Administrative Agent telephonic notice followed by written notice specifying whether all or a portion of such SOFR Advance (A) is to be Continued in whole or in part as one or more SOFR Advances, (B) is to be Converted in whole or in part to a Base Rate Advance, or (C) is to be repaid. The failure to give such notice shall be considered a request to Continue such Advance as a Term SOFR Rate Advance with a one month Interest Period. Upon such Payment Date such SOFR Advance will, subject to the provisions hereof, be so Continued, Converted or repaid, as applicable.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Notification of Lenders</w:t>
      </w:r>
      <w:r>
        <w:rPr>
          <w:rFonts w:ascii="Times New Roman" w:hAnsi="Times New Roman"/>
          <w:sz w:val="24"/>
        </w:rPr>
        <w:t xml:space="preserve">. Upon receipt of irrevocable prior telephonic notice in accordance with Section 2.2(b) or (c) hereof or a Request for Advance, or a notice of Conversion or Continuation from the Borrower with respect to any outstanding Advance prior to the Payment Date for such Advance, the Administrative Agent shall promptly but no later than the close of business on the day of such notice notify each Lender having the applicable Commitment or holding a Loan subject to such request for an Advance by telephone, followed promptly by written notice (which may be delivered by email) or telecopy, of the contents thereof and the amount of such Lender’s portion of the Advance. Each Lender having the applicable Commitment or holding a Loan subject to such request for an Advance shall, not later than 12:00 noon (New York, New York time) on the date of borrowing specified in such notice, make available to the Administrative Agent at the Administrative Agent’s Office, or at such account as the Administrative Agent shall designate, the amount of its portion of any Advance that represents a borrowing hereunder in immediately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(e) </w:t>
      </w:r>
      <w:r>
        <w:rPr>
          <w:rFonts w:ascii="Times New Roman" w:hAnsi="Times New Roman"/>
          <w:sz w:val="24"/>
          <w:u w:val="single"/>
        </w:rPr>
        <w:t>Disbursement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(i) Prior to 2:00 p.m. (New York, New York time) on the date of an Advance hereunder, the Administrative Agent shall, subject to the satisfaction of the conditions set forth in Article 3 hereof, disburse the amounts made available to the Administrative Agent by the Lenders in like funds by (A) transferring the amounts so made available by wire transfer pursuant to the Borrower’s instructions, or (B) in the absence of such instructions, crediting the amounts so made available to the account of the Borrower maintained with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(ii) Unless the Administrative Agent shall have received notice from a Lender holding a Loan subject to such request for an Advance prior to 12:00 noon (New York, New York time) on the date of a requested Advance that such Lender will not make available to the Administrative Agent such Lender’s ratable portion of such Advance, the Administrative Agent may assume that such Lender has made or will make such portion available to the Administrative Agent on the date of such Advance and the Administrative Agent may in its sole discretion and in reliance upon such assumption, make available to the Borrower on such date a corresponding amount. If and to the extent a Lender does not make such ratable portion available to the Administrative Agent, such Lender agrees to repay to the Administrative Agent on demand such corresponding amount together with interest thereon, for each day from the date such amount is made available to the Borrower until the date such amount is repaid to the Administrative Agent, at the greater of the Federal Funds Rate and a rate reasonably determined by the Administrative Agent in accordance with banking industry rules on interbank compensation, plus any administrative, processing or similar fees customarily charged by the Administrative Agent in connection with the foregoing. </w:t>
      </w:r>
    </w:p>
    <w:p>
      <w:pPr>
        <w:pStyle w:val="TextBody"/>
        <w:bidi w:val="0"/>
        <w:spacing w:before="240" w:after="0"/>
        <w:jc w:val="both"/>
        <w:rPr>
          <w:rFonts w:ascii="Times New Roman" w:hAnsi="Times New Roman"/>
          <w:sz w:val="24"/>
        </w:rPr>
      </w:pPr>
      <w:r>
        <w:rPr>
          <w:rFonts w:ascii="Times New Roman" w:hAnsi="Times New Roman"/>
          <w:sz w:val="24"/>
        </w:rPr>
        <w:t xml:space="preserve">(iii) If such Lender shall repay to the Administrative Agent such corresponding amount, such amount so repaid shall constitute such Lender’s portion of the Advances for purposes of this Agreement. If such Lender does not repay such corresponding amount immediately upon the Administrative Agent’s demand therefor and the Administrative Agent has made such corresponding amount available to the Borrower, the Administrative Agent shall notify the Borrower, and the Borrower shall immediately pay such corresponding amount to the Administrative Agent, with interest at the Federal Funds Rate from the date the Administrative Agent made such amount available to the Borrower. The Borrower shall not be obligated to pay, and such amount shall not accrue, any interest or fees on such amount other than as provided in the immediately preceding sentence. The failure of any Lender to fund its portion of any Advance shall not relieve any other Lender of its obligation, if any, hereunder to fund its respective portion of the Advance on the date of such borrowing, but no Lender shall be responsible for any such failure of any other Lender.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Pre-Closing Funding Election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(i) Notwithstanding the foregoing, if a Pre-Closing Funding Election has been made, subject solely to the satisfaction (or waiver by the Majority Lenders) of the conditions set forth in Section 3.3 or 3.4, as applicable, other than the Specified Funding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Related Conditions, each Lender shall, before 12:00 p.m. New York City time on the pre-closing funding date specified in the Request for Advance (such date, the “</w:t>
      </w:r>
      <w:r>
        <w:rPr>
          <w:rFonts w:ascii="Times New Roman" w:hAnsi="Times New Roman"/>
          <w:sz w:val="24"/>
          <w:u w:val="single"/>
        </w:rPr>
        <w:t>Pre-Closing Funding Date</w:t>
      </w:r>
      <w:r>
        <w:rPr>
          <w:rFonts w:ascii="Times New Roman" w:hAnsi="Times New Roman"/>
          <w:sz w:val="24"/>
        </w:rPr>
        <w:t>”), which date may be either one or two Business Days prior to the proposed date of the borrowing of the 2021 Term Loans, fund into the Pre-Closing Funding Account, in same day funds, such Lender’s ratable portion of such borrowing (such amounts, the “</w:t>
      </w:r>
      <w:r>
        <w:rPr>
          <w:rFonts w:ascii="Times New Roman" w:hAnsi="Times New Roman"/>
          <w:sz w:val="24"/>
          <w:u w:val="single"/>
        </w:rPr>
        <w:t>Pre-Closing Funded Amount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(ii) Each Lender authorizes the Administrative Agent to release all amounts deposited by the Lenders into the Pre-Closing Funding Account and make such funds available to the Borrower on the 2021 Term Loan Funding Date subject solely to the satisfaction (or waiver by the Majority Lenders) of each of the Specified Funding Related Conditions on the date of the consummation of the Specified Merger, whereupon the Administrative Agent will make such funds available to the Borrower in immediately available funds to the account or accounts specified by the Borrower to the Administrative Agent in the Request for Advance; </w:t>
      </w:r>
      <w:r>
        <w:rPr>
          <w:rFonts w:ascii="Times New Roman" w:hAnsi="Times New Roman"/>
          <w:sz w:val="24"/>
          <w:u w:val="single"/>
        </w:rPr>
        <w:t>provided</w:t>
      </w:r>
      <w:r>
        <w:rPr>
          <w:rFonts w:ascii="Times New Roman" w:hAnsi="Times New Roman"/>
          <w:sz w:val="24"/>
        </w:rPr>
        <w:t xml:space="preserve"> that, (x) the “</w:t>
      </w:r>
      <w:r>
        <w:rPr>
          <w:rFonts w:ascii="Times New Roman" w:hAnsi="Times New Roman"/>
          <w:sz w:val="24"/>
          <w:u w:val="single"/>
        </w:rPr>
        <w:t>Pre-Closing Funding Election</w:t>
      </w:r>
      <w:r>
        <w:rPr>
          <w:rFonts w:ascii="Times New Roman" w:hAnsi="Times New Roman"/>
          <w:sz w:val="24"/>
        </w:rPr>
        <w:t xml:space="preserve">” shall mean the election by the Borrower to cause the Pre-Closing Funded Amount to be funded to the Pre-Closing Funding Account on the Pre-Closing Funding Date, which election shall be set forth in or accompany a Request for Advance delivered not later than (i) in the case of Eurodollar Rate Loans, 10:00 a.m. New York City time on the third Business Day prior to the Pre-Closing Funding Date and (ii) in the case of Base Rate Loans, 9:00 A.M. New York City time on the Business Day prior to the Pre-Closing Funding Date and (y) each Lender shall be deemed to have consented to, approved or accepted or to be satisfied with each document or other matter required under Section 3.3 or 3.4, as applicable, to be consented to or approved by or acceptable or satisfactory to such Lender, in each case unless the Administrative Agent shall have received notice from such Lender prior to the proposed Pre-Closing Funding Date specifying its objection thereto. </w:t>
      </w:r>
    </w:p>
    <w:p>
      <w:pPr>
        <w:pStyle w:val="TextBody"/>
        <w:bidi w:val="0"/>
        <w:spacing w:before="240" w:after="0"/>
        <w:jc w:val="both"/>
        <w:rPr>
          <w:rFonts w:ascii="Times New Roman" w:hAnsi="Times New Roman"/>
          <w:sz w:val="24"/>
        </w:rPr>
      </w:pPr>
      <w:r>
        <w:rPr>
          <w:rFonts w:ascii="Times New Roman" w:hAnsi="Times New Roman"/>
          <w:sz w:val="24"/>
        </w:rPr>
        <w:t>(iii) In the event the satisfaction (or waiver by Majority Lenders) of the conditions set forth in Section 3.3 or 3.4, as applicable, does not occur by 12:00 p.m. New York City time on the date that is two Business Days after the Pre-Closing Funding Date (the “</w:t>
      </w:r>
      <w:r>
        <w:rPr>
          <w:rFonts w:ascii="Times New Roman" w:hAnsi="Times New Roman"/>
          <w:b/>
          <w:sz w:val="24"/>
        </w:rPr>
        <w:t>Return Date</w:t>
      </w:r>
      <w:r>
        <w:rPr>
          <w:rFonts w:ascii="Times New Roman" w:hAnsi="Times New Roman"/>
          <w:sz w:val="24"/>
        </w:rPr>
        <w:t xml:space="preserve">”), the Pre-Closing Funded Amount shall be returned to the respective Lenders within one Business Day of the Return Date, and the Borrower shall simultaneously therewith pay interest accrued thereon from the Pre-Closing Funding Date to the Return Date, together with any amounts due thereon pursuant to Section 2.9, calculated as if the return of such funds was a prepayment of Advances in an equal principal amount on the Return Date; </w:t>
      </w:r>
      <w:r>
        <w:rPr>
          <w:rFonts w:ascii="Times New Roman" w:hAnsi="Times New Roman"/>
          <w:sz w:val="24"/>
          <w:u w:val="single"/>
        </w:rPr>
        <w:t>provided</w:t>
      </w:r>
      <w:r>
        <w:rPr>
          <w:rFonts w:ascii="Times New Roman" w:hAnsi="Times New Roman"/>
          <w:sz w:val="24"/>
        </w:rPr>
        <w:t xml:space="preserve"> that, for the avoidance of doubt, to the extent the Pre-Closing Funded Amount has been returned to the Lenders in accordance with this sentence, (i) the Borrower shall not be prohibited from submitting a subsequent Request for Advance in accordance with this Section 2.2 and (ii) the 2021 Term Loan Commitment of each Lender shall be determined without giving effect to such Lender’s funding of the Pre-Closing Funded Amount. </w:t>
      </w:r>
    </w:p>
    <w:p>
      <w:pPr>
        <w:pStyle w:val="TextBody"/>
        <w:bidi w:val="0"/>
        <w:spacing w:before="240" w:after="0"/>
        <w:jc w:val="both"/>
        <w:rPr>
          <w:rFonts w:ascii="Times New Roman" w:hAnsi="Times New Roman"/>
          <w:sz w:val="24"/>
        </w:rPr>
      </w:pPr>
      <w:r>
        <w:rPr>
          <w:rFonts w:ascii="Times New Roman" w:hAnsi="Times New Roman"/>
          <w:sz w:val="24"/>
        </w:rPr>
        <w:t xml:space="preserve">(iv) The Borrower agrees that interest shall accrue on the Pre-Closing Funded Amount from and including the Pre-Closing Funding Date as if the Pre-Closing Funded Amount had been advanced to the Borrower as an Advance hereunder; </w:t>
      </w:r>
      <w:r>
        <w:rPr>
          <w:rFonts w:ascii="Times New Roman" w:hAnsi="Times New Roman"/>
          <w:sz w:val="24"/>
          <w:u w:val="single"/>
        </w:rPr>
        <w:t>provided</w:t>
      </w:r>
      <w:r>
        <w:rPr>
          <w:rFonts w:ascii="Times New Roman" w:hAnsi="Times New Roman"/>
          <w:sz w:val="24"/>
        </w:rPr>
        <w:t xml:space="preserve">, that if a Pre-Closing Funding Election has been made by the Borrower, no ticking fee pursuant to Section 2.4(b) shall accrue on any date on which the Pre-Closing Funded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Amount is held in the Pre-Closing Funding Account. For the avoidance of doubt, (x) the funding of the Pre-Closing Funded Amount shall not constitute an Advance to the Borrower until such amount has been released to the Borrower on the 2021 Term Loan Funding Date in accordance with this Section 2.2(f), and (y) any return of the Pre-Closing Funded Amount to the Lenders in accordance with this Section 2.2(f) shall not constitute a prepayment of an Advance. </w:t>
      </w:r>
    </w:p>
    <w:p>
      <w:pPr>
        <w:pStyle w:val="TextBody"/>
        <w:bidi w:val="0"/>
        <w:spacing w:before="240" w:after="0"/>
        <w:jc w:val="both"/>
        <w:rPr>
          <w:rFonts w:ascii="Times New Roman" w:hAnsi="Times New Roman"/>
          <w:sz w:val="24"/>
        </w:rPr>
      </w:pPr>
      <w:r>
        <w:rPr>
          <w:rFonts w:ascii="Times New Roman" w:hAnsi="Times New Roman"/>
          <w:sz w:val="24"/>
        </w:rPr>
        <w:t>For the purpose of this Section 2.2(f), the “</w:t>
      </w:r>
      <w:r>
        <w:rPr>
          <w:rFonts w:ascii="Times New Roman" w:hAnsi="Times New Roman"/>
          <w:sz w:val="24"/>
          <w:u w:val="single"/>
        </w:rPr>
        <w:t>Pre-Closing Funding Account</w:t>
      </w:r>
      <w:r>
        <w:rPr>
          <w:rFonts w:ascii="Times New Roman" w:hAnsi="Times New Roman"/>
          <w:sz w:val="24"/>
        </w:rPr>
        <w:t>” shall mean an account in the name of (i) the Administrative Agent or an Affiliate of the Administrative Agent or (ii) a financial institution (in its capacity as escrow agent) designated by the Administrative Agent and approved by the Borrower, which account has been identified as the “Pre-Closing Funding Account” by notice in writing from the Borrower to the Lenders, and which account shall have terms reasonably satisfactory to the Administrative Agent and the Borrower and “</w:t>
      </w:r>
      <w:r>
        <w:rPr>
          <w:rFonts w:ascii="Times New Roman" w:hAnsi="Times New Roman"/>
          <w:sz w:val="24"/>
          <w:u w:val="single"/>
        </w:rPr>
        <w:t>Specified Funding Related Conditions</w:t>
      </w:r>
      <w:r>
        <w:rPr>
          <w:rFonts w:ascii="Times New Roman" w:hAnsi="Times New Roman"/>
          <w:sz w:val="24"/>
        </w:rPr>
        <w:t xml:space="preserve">” shall mean the conditions set forth either in (A) Sections 3.3(b) and (d) or (B) Sections 3.4(b), (d), (e), (f), (g) and (h), as applicable. </w:t>
      </w:r>
    </w:p>
    <w:p>
      <w:pPr>
        <w:pStyle w:val="TextBody"/>
        <w:bidi w:val="0"/>
        <w:spacing w:before="240" w:after="0"/>
        <w:jc w:val="both"/>
        <w:rPr>
          <w:rFonts w:ascii="Times New Roman" w:hAnsi="Times New Roman"/>
          <w:sz w:val="24"/>
        </w:rPr>
      </w:pPr>
      <w:r>
        <w:rPr>
          <w:rFonts w:ascii="Times New Roman" w:hAnsi="Times New Roman"/>
          <w:sz w:val="24"/>
        </w:rPr>
        <w:t>Section 2.3 </w:t>
      </w:r>
      <w:r>
        <w:rPr>
          <w:rFonts w:ascii="Times New Roman" w:hAnsi="Times New Roman"/>
          <w:sz w:val="24"/>
          <w:u w:val="single"/>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(a) On Base Rate Advances. Interest on each Base Rate Advance computed pursuant to clause (b) of the definition of Base Rate shall be computed on the basis of a year of 365/366 days and interest computed pursuant to clause (a) of the definition of Base Rate shall be computed on the basis of a 360-day year, in each case for the actual number of days elapsed and shall be payable at the Base Rate Basis for such Advance, in arrears on the applicable Payment Date. Interest on Base Rate Advances of the Loans then outstanding shall also be due and payable on the Term Loan Maturity Date.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On SOFR Advances</w:t>
      </w:r>
      <w:r>
        <w:rPr>
          <w:rFonts w:ascii="Times New Roman" w:hAnsi="Times New Roman"/>
          <w:sz w:val="24"/>
        </w:rPr>
        <w:t xml:space="preserve">. Interest on each SOFR Advance shall be computed on the basis of a 360-day year for the actual number of days elapsed and shall be payable at the SOFR Basis for such Advance, in arrears on the applicable Payment Date, and, in addition, if the Interest Period for a SOFR Advance exceeds three (3) months, interest on such SOFR Advance shall also be due and payable in arrears on every three (3) month anniversary of the beginning of such Interest Period. Interest on SOFR Advances then outstanding shall also be due and payable on the Term Loan Maturity Date.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[Intentionally Omitted]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Interest Upon Event of Default</w:t>
      </w:r>
      <w:r>
        <w:rPr>
          <w:rFonts w:ascii="Times New Roman" w:hAnsi="Times New Roman"/>
          <w:sz w:val="24"/>
        </w:rPr>
        <w:t xml:space="preserve">. Immediately upon the occurrence of an Event of Default under Section 8.1(b), (f) or (g) hereunder and following a request from the Majority Lenders upon the occurrence of any other Event of Default hereunder, the outstanding principal balance of the Loans shall bear interest at the Default Rate. Such interest shall be payable on demand by the Majority Lenders and shall accrue until the earlier of (i) waiver or cure of the applicable Event of Default, (ii) agreement by the Majority Lenders (or, if applicable to the underlying Event of Default, the Lenders) to rescind the charging of interest at the Default Rate or (iii) payment in full of the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(e) </w:t>
      </w:r>
      <w:r>
        <w:rPr>
          <w:rFonts w:ascii="Times New Roman" w:hAnsi="Times New Roman"/>
          <w:sz w:val="24"/>
          <w:u w:val="single"/>
        </w:rPr>
        <w:t>Term SOFR Contracts</w:t>
      </w:r>
      <w:r>
        <w:rPr>
          <w:rFonts w:ascii="Times New Roman" w:hAnsi="Times New Roman"/>
          <w:sz w:val="24"/>
        </w:rPr>
        <w:t xml:space="preserve">. At no time may the number of outstanding SOFR Advances hereunder exceed ten (10).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Applicable Margin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(i) With respect to any Loans, the Applicable Margin shall be a percentage per annum determined by reference to the Applicable Debt Rating (as such Applicable Debt Rating is determined pursuant to Section 2.3(f)(ii)) in effect on such date as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8"/>
        <w:gridCol w:w="120"/>
        <w:gridCol w:w="3776"/>
        <w:gridCol w:w="204"/>
        <w:gridCol w:w="1816"/>
        <w:gridCol w:w="120"/>
        <w:gridCol w:w="1245"/>
        <w:gridCol w:w="120"/>
        <w:gridCol w:w="1936"/>
      </w:tblGrid>
      <w:tr>
        <w:trPr/>
        <w:tc>
          <w:tcPr>
            <w:tcW w:w="8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4"/>
                <w:u w:val="single"/>
              </w:rPr>
            </w:pPr>
            <w:r>
              <w:rPr>
                <w:rFonts w:ascii="Times New Roman" w:hAnsi="Times New Roman"/>
                <w:sz w:val="24"/>
                <w:u w:val="single"/>
              </w:rPr>
              <w:t>Applicable Debt Rating</w:t>
            </w:r>
          </w:p>
        </w:tc>
        <w:tc>
          <w:tcPr>
            <w:tcW w:w="204" w:type="dxa"/>
            <w:tcBorders/>
            <w:vAlign w:val="bottom"/>
          </w:tcPr>
          <w:p>
            <w:pPr>
              <w:pStyle w:val="TableContents"/>
              <w:bidi w:val="0"/>
              <w:spacing w:before="0" w:after="283"/>
              <w:jc w:val="left"/>
              <w:rPr/>
            </w:pPr>
            <w:r>
              <w:rPr/>
              <w:t>  </w:t>
            </w:r>
          </w:p>
        </w:tc>
        <w:tc>
          <w:tcPr>
            <w:tcW w:w="1816" w:type="dxa"/>
            <w:tcBorders/>
          </w:tcPr>
          <w:p>
            <w:pPr>
              <w:pStyle w:val="TableContents"/>
              <w:bidi w:val="0"/>
              <w:spacing w:before="0" w:after="283"/>
              <w:jc w:val="left"/>
              <w:rPr/>
            </w:pPr>
            <w:r>
              <w:rPr/>
              <w:t>SOFR Advance</w:t>
              <w:br/>
            </w:r>
            <w:r>
              <w:rPr>
                <w:u w:val="single"/>
              </w:rPr>
              <w:t>Applicable</w:t>
              <w:br/>
              <w:t>Margin</w:t>
            </w:r>
          </w:p>
        </w:tc>
        <w:tc>
          <w:tcPr>
            <w:tcW w:w="12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Base Rate</w:t>
              <w:br/>
              <w:t>Advance</w:t>
              <w:br/>
            </w:r>
            <w:r>
              <w:rPr>
                <w:u w:val="single"/>
              </w:rPr>
              <w:t>Applicable</w:t>
              <w:br/>
              <w:t>Margin</w:t>
            </w:r>
          </w:p>
        </w:tc>
        <w:tc>
          <w:tcPr>
            <w:tcW w:w="120"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u w:val="single"/>
              </w:rPr>
            </w:pPr>
            <w:r>
              <w:rPr>
                <w:u w:val="single"/>
              </w:rPr>
              <w:t>Ticking Fee Rate</w:t>
            </w:r>
          </w:p>
        </w:tc>
      </w:tr>
      <w:tr>
        <w:trPr/>
        <w:tc>
          <w:tcPr>
            <w:tcW w:w="868" w:type="dxa"/>
            <w:tcBorders/>
          </w:tcPr>
          <w:p>
            <w:pPr>
              <w:pStyle w:val="TableContents"/>
              <w:bidi w:val="0"/>
              <w:spacing w:before="0" w:after="0"/>
              <w:jc w:val="left"/>
              <w:rPr>
                <w:rFonts w:ascii="Times New Roman" w:hAnsi="Times New Roman"/>
                <w:sz w:val="24"/>
              </w:rPr>
            </w:pPr>
            <w:r>
              <w:rPr>
                <w:rFonts w:ascii="Times New Roman" w:hAnsi="Times New Roman"/>
                <w:color w:val="0000FF"/>
                <w:sz w:val="24"/>
                <w:u w:val="single"/>
                <w:bdr w:val="double" w:sz="2" w:space="1" w:color="000000"/>
              </w:rPr>
              <w:t>A</w:t>
            </w:r>
            <w:r>
              <w:rPr>
                <w:rFonts w:ascii="Times New Roman" w:hAnsi="Times New Roman"/>
                <w:sz w:val="24"/>
              </w:rPr>
              <w:t>.</w:t>
            </w:r>
          </w:p>
        </w:tc>
        <w:tc>
          <w:tcPr>
            <w:tcW w:w="120"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color w:val="0000FF"/>
                <w:sz w:val="24"/>
                <w:u w:val="single"/>
                <w:bdr w:val="double" w:sz="2" w:space="1" w:color="000000"/>
              </w:rPr>
            </w:pPr>
            <w:r>
              <w:rPr>
                <w:rFonts w:ascii="Times New Roman" w:hAnsi="Times New Roman"/>
                <w:color w:val="0000FF"/>
                <w:sz w:val="24"/>
                <w:u w:val="single"/>
                <w:bdr w:val="double" w:sz="2" w:space="1" w:color="000000"/>
              </w:rPr>
              <w:t>&gt; A / A2 / A</w:t>
            </w:r>
          </w:p>
        </w:tc>
        <w:tc>
          <w:tcPr>
            <w:tcW w:w="204"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0.625%</w:t>
            </w:r>
          </w:p>
        </w:tc>
        <w:tc>
          <w:tcPr>
            <w:tcW w:w="12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0.000%</w:t>
            </w:r>
          </w:p>
        </w:tc>
        <w:tc>
          <w:tcPr>
            <w:tcW w:w="120"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0.0600%</w:t>
            </w:r>
          </w:p>
        </w:tc>
      </w:tr>
      <w:tr>
        <w:trPr/>
        <w:tc>
          <w:tcPr>
            <w:tcW w:w="868" w:type="dxa"/>
            <w:tcBorders/>
          </w:tcPr>
          <w:p>
            <w:pPr>
              <w:pStyle w:val="TableContents"/>
              <w:bidi w:val="0"/>
              <w:spacing w:before="0" w:after="0"/>
              <w:jc w:val="left"/>
              <w:rPr>
                <w:rFonts w:ascii="Times New Roman" w:hAnsi="Times New Roman"/>
                <w:sz w:val="24"/>
              </w:rPr>
            </w:pPr>
            <w:r>
              <w:rPr>
                <w:rFonts w:ascii="Times New Roman" w:hAnsi="Times New Roman"/>
                <w:strike/>
                <w:color w:val="FF0000"/>
                <w:sz w:val="24"/>
              </w:rPr>
              <w:t>A</w:t>
            </w:r>
            <w:r>
              <w:rPr>
                <w:rFonts w:ascii="Times New Roman" w:hAnsi="Times New Roman"/>
                <w:color w:val="0000FF"/>
                <w:sz w:val="24"/>
                <w:u w:val="single"/>
                <w:bdr w:val="double" w:sz="2" w:space="1" w:color="000000"/>
              </w:rPr>
              <w:t xml:space="preserve">B </w:t>
            </w:r>
            <w:r>
              <w:rPr>
                <w:rFonts w:ascii="Times New Roman" w:hAnsi="Times New Roman"/>
                <w:sz w:val="24"/>
              </w:rPr>
              <w:t>.</w:t>
            </w:r>
          </w:p>
        </w:tc>
        <w:tc>
          <w:tcPr>
            <w:tcW w:w="120"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4"/>
              </w:rPr>
            </w:pPr>
            <w:r>
              <w:rPr>
                <w:rFonts w:ascii="Times New Roman" w:hAnsi="Times New Roman"/>
                <w:strike/>
                <w:color w:val="FF0000"/>
                <w:sz w:val="24"/>
              </w:rPr>
              <w:t xml:space="preserve">&gt; </w:t>
            </w:r>
            <w:r>
              <w:rPr>
                <w:rFonts w:ascii="Times New Roman" w:hAnsi="Times New Roman"/>
                <w:sz w:val="24"/>
              </w:rPr>
              <w:t>A- / A3 / A-</w:t>
            </w:r>
          </w:p>
        </w:tc>
        <w:tc>
          <w:tcPr>
            <w:tcW w:w="204"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0.750%</w:t>
            </w:r>
          </w:p>
        </w:tc>
        <w:tc>
          <w:tcPr>
            <w:tcW w:w="12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0.000%</w:t>
            </w:r>
          </w:p>
        </w:tc>
        <w:tc>
          <w:tcPr>
            <w:tcW w:w="120"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0.0800%</w:t>
            </w:r>
          </w:p>
        </w:tc>
      </w:tr>
      <w:tr>
        <w:trPr/>
        <w:tc>
          <w:tcPr>
            <w:tcW w:w="868" w:type="dxa"/>
            <w:tcBorders/>
          </w:tcPr>
          <w:p>
            <w:pPr>
              <w:pStyle w:val="TableContents"/>
              <w:bidi w:val="0"/>
              <w:spacing w:before="0" w:after="0"/>
              <w:jc w:val="left"/>
              <w:rPr>
                <w:rFonts w:ascii="Times New Roman" w:hAnsi="Times New Roman"/>
                <w:sz w:val="24"/>
              </w:rPr>
            </w:pPr>
            <w:r>
              <w:rPr>
                <w:rFonts w:ascii="Times New Roman" w:hAnsi="Times New Roman"/>
                <w:strike/>
                <w:color w:val="FF0000"/>
                <w:sz w:val="24"/>
              </w:rPr>
              <w:t>B</w:t>
            </w:r>
            <w:r>
              <w:rPr>
                <w:rFonts w:ascii="Times New Roman" w:hAnsi="Times New Roman"/>
                <w:color w:val="0000FF"/>
                <w:sz w:val="24"/>
                <w:u w:val="single"/>
                <w:bdr w:val="double" w:sz="2" w:space="1" w:color="000000"/>
              </w:rPr>
              <w:t xml:space="preserve">C </w:t>
            </w:r>
            <w:r>
              <w:rPr>
                <w:rFonts w:ascii="Times New Roman" w:hAnsi="Times New Roman"/>
                <w:sz w:val="24"/>
              </w:rPr>
              <w:t>.</w:t>
            </w:r>
          </w:p>
        </w:tc>
        <w:tc>
          <w:tcPr>
            <w:tcW w:w="120"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4"/>
              </w:rPr>
            </w:pPr>
            <w:r>
              <w:rPr>
                <w:rFonts w:ascii="Times New Roman" w:hAnsi="Times New Roman"/>
                <w:sz w:val="24"/>
              </w:rPr>
              <w:t>BBB+ / Baa1 / BBB+</w:t>
            </w:r>
          </w:p>
        </w:tc>
        <w:tc>
          <w:tcPr>
            <w:tcW w:w="204"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0.875%</w:t>
            </w:r>
          </w:p>
        </w:tc>
        <w:tc>
          <w:tcPr>
            <w:tcW w:w="12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0.000%</w:t>
            </w:r>
          </w:p>
        </w:tc>
        <w:tc>
          <w:tcPr>
            <w:tcW w:w="120"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0.1000%</w:t>
            </w:r>
          </w:p>
        </w:tc>
      </w:tr>
      <w:tr>
        <w:trPr/>
        <w:tc>
          <w:tcPr>
            <w:tcW w:w="868" w:type="dxa"/>
            <w:tcBorders/>
          </w:tcPr>
          <w:p>
            <w:pPr>
              <w:pStyle w:val="TableContents"/>
              <w:bidi w:val="0"/>
              <w:spacing w:before="0" w:after="0"/>
              <w:jc w:val="left"/>
              <w:rPr>
                <w:rFonts w:ascii="Times New Roman" w:hAnsi="Times New Roman"/>
                <w:sz w:val="24"/>
              </w:rPr>
            </w:pPr>
            <w:r>
              <w:rPr>
                <w:rFonts w:ascii="Times New Roman" w:hAnsi="Times New Roman"/>
                <w:strike/>
                <w:color w:val="FF0000"/>
                <w:sz w:val="24"/>
              </w:rPr>
              <w:t>C</w:t>
            </w:r>
            <w:r>
              <w:rPr>
                <w:rFonts w:ascii="Times New Roman" w:hAnsi="Times New Roman"/>
                <w:color w:val="0000FF"/>
                <w:sz w:val="24"/>
                <w:u w:val="single"/>
                <w:bdr w:val="double" w:sz="2" w:space="1" w:color="000000"/>
              </w:rPr>
              <w:t xml:space="preserve"> D</w:t>
            </w:r>
            <w:r>
              <w:rPr>
                <w:rFonts w:ascii="Times New Roman" w:hAnsi="Times New Roman"/>
                <w:color w:val="0000FF"/>
                <w:sz w:val="24"/>
              </w:rPr>
              <w:t>.</w:t>
            </w:r>
          </w:p>
        </w:tc>
        <w:tc>
          <w:tcPr>
            <w:tcW w:w="120"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4"/>
              </w:rPr>
            </w:pPr>
            <w:r>
              <w:rPr>
                <w:rFonts w:ascii="Times New Roman" w:hAnsi="Times New Roman"/>
                <w:sz w:val="24"/>
              </w:rPr>
              <w:t>BBB / Baa2 / BBB</w:t>
            </w:r>
          </w:p>
        </w:tc>
        <w:tc>
          <w:tcPr>
            <w:tcW w:w="204"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1.000%</w:t>
            </w:r>
          </w:p>
        </w:tc>
        <w:tc>
          <w:tcPr>
            <w:tcW w:w="12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0.000%</w:t>
            </w:r>
          </w:p>
        </w:tc>
        <w:tc>
          <w:tcPr>
            <w:tcW w:w="120"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0.1100%</w:t>
            </w:r>
          </w:p>
        </w:tc>
      </w:tr>
      <w:tr>
        <w:trPr/>
        <w:tc>
          <w:tcPr>
            <w:tcW w:w="868" w:type="dxa"/>
            <w:tcBorders/>
          </w:tcPr>
          <w:p>
            <w:pPr>
              <w:pStyle w:val="TableContents"/>
              <w:bidi w:val="0"/>
              <w:spacing w:before="0" w:after="0"/>
              <w:jc w:val="left"/>
              <w:rPr>
                <w:rFonts w:ascii="Times New Roman" w:hAnsi="Times New Roman"/>
                <w:sz w:val="24"/>
              </w:rPr>
            </w:pPr>
            <w:r>
              <w:rPr>
                <w:rFonts w:ascii="Times New Roman" w:hAnsi="Times New Roman"/>
                <w:strike/>
                <w:color w:val="FF0000"/>
                <w:sz w:val="24"/>
              </w:rPr>
              <w:t>D</w:t>
            </w:r>
            <w:r>
              <w:rPr>
                <w:rFonts w:ascii="Times New Roman" w:hAnsi="Times New Roman"/>
                <w:color w:val="0000FF"/>
                <w:sz w:val="24"/>
                <w:u w:val="single"/>
                <w:bdr w:val="double" w:sz="2" w:space="1" w:color="000000"/>
              </w:rPr>
              <w:t xml:space="preserve">E </w:t>
            </w:r>
            <w:r>
              <w:rPr>
                <w:rFonts w:ascii="Times New Roman" w:hAnsi="Times New Roman"/>
                <w:sz w:val="24"/>
              </w:rPr>
              <w:t>.</w:t>
            </w:r>
          </w:p>
        </w:tc>
        <w:tc>
          <w:tcPr>
            <w:tcW w:w="120"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4"/>
              </w:rPr>
            </w:pPr>
            <w:r>
              <w:rPr>
                <w:rFonts w:ascii="Times New Roman" w:hAnsi="Times New Roman"/>
                <w:color w:val="0000FF"/>
                <w:sz w:val="24"/>
                <w:u w:val="single"/>
                <w:bdr w:val="double" w:sz="2" w:space="1" w:color="000000"/>
              </w:rPr>
              <w:t>&lt;</w:t>
            </w:r>
            <w:r>
              <w:rPr>
                <w:rFonts w:ascii="Times New Roman" w:hAnsi="Times New Roman"/>
                <w:sz w:val="24"/>
              </w:rPr>
              <w:t>BBB- / Baa3 / BBB-</w:t>
            </w:r>
          </w:p>
        </w:tc>
        <w:tc>
          <w:tcPr>
            <w:tcW w:w="204"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1.125%</w:t>
            </w:r>
          </w:p>
        </w:tc>
        <w:tc>
          <w:tcPr>
            <w:tcW w:w="12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pPr>
            <w:r>
              <w:rPr/>
              <w:t>0.125%</w:t>
            </w:r>
          </w:p>
        </w:tc>
        <w:tc>
          <w:tcPr>
            <w:tcW w:w="120"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0.1500%</w:t>
            </w:r>
          </w:p>
        </w:tc>
      </w:tr>
      <w:tr>
        <w:trPr/>
        <w:tc>
          <w:tcPr>
            <w:tcW w:w="868" w:type="dxa"/>
            <w:tcBorders/>
          </w:tcPr>
          <w:p>
            <w:pPr>
              <w:pStyle w:val="TableContents"/>
              <w:bidi w:val="0"/>
              <w:spacing w:before="0" w:after="0"/>
              <w:jc w:val="left"/>
              <w:rPr>
                <w:rFonts w:ascii="Times New Roman" w:hAnsi="Times New Roman"/>
                <w:strike/>
                <w:color w:val="FF0000"/>
                <w:sz w:val="24"/>
              </w:rPr>
            </w:pPr>
            <w:r>
              <w:rPr>
                <w:rFonts w:ascii="Times New Roman" w:hAnsi="Times New Roman"/>
                <w:strike/>
                <w:color w:val="FF0000"/>
                <w:sz w:val="24"/>
              </w:rPr>
              <w:t>E.</w:t>
            </w:r>
          </w:p>
        </w:tc>
        <w:tc>
          <w:tcPr>
            <w:tcW w:w="120"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trike/>
                <w:color w:val="FF0000"/>
                <w:sz w:val="24"/>
              </w:rPr>
            </w:pPr>
            <w:r>
              <w:rPr>
                <w:rFonts w:ascii="Times New Roman" w:hAnsi="Times New Roman"/>
                <w:strike/>
                <w:color w:val="FF0000"/>
                <w:sz w:val="24"/>
              </w:rPr>
              <w:t>&lt;BB+ / Ba1 / BB+</w:t>
            </w:r>
          </w:p>
        </w:tc>
        <w:tc>
          <w:tcPr>
            <w:tcW w:w="204"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strike/>
                <w:color w:val="FF0000"/>
              </w:rPr>
            </w:pPr>
            <w:r>
              <w:rPr>
                <w:strike/>
                <w:color w:val="FF0000"/>
              </w:rPr>
              <w:t>1.375%</w:t>
            </w:r>
          </w:p>
        </w:tc>
        <w:tc>
          <w:tcPr>
            <w:tcW w:w="12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left"/>
              <w:rPr>
                <w:strike/>
                <w:color w:val="FF0000"/>
              </w:rPr>
            </w:pPr>
            <w:r>
              <w:rPr>
                <w:strike/>
                <w:color w:val="FF0000"/>
              </w:rPr>
              <w:t>0.375%</w:t>
            </w:r>
          </w:p>
        </w:tc>
        <w:tc>
          <w:tcPr>
            <w:tcW w:w="120"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strike/>
                <w:color w:val="FF0000"/>
              </w:rPr>
            </w:pPr>
            <w:r>
              <w:rPr>
                <w:strike/>
                <w:color w:val="FF0000"/>
              </w:rPr>
              <w:t>0.2000%</w:t>
            </w:r>
          </w:p>
        </w:tc>
      </w:tr>
    </w:tbl>
    <w:p>
      <w:pPr>
        <w:pStyle w:val="TextBody"/>
        <w:bidi w:val="0"/>
        <w:spacing w:before="240" w:after="0"/>
        <w:jc w:val="left"/>
        <w:rPr>
          <w:rFonts w:ascii="Times New Roman" w:hAnsi="Times New Roman"/>
          <w:sz w:val="24"/>
        </w:rPr>
      </w:pPr>
      <w:r>
        <w:rPr>
          <w:rFonts w:ascii="Times New Roman" w:hAnsi="Times New Roman"/>
          <w:sz w:val="24"/>
        </w:rPr>
        <w:t>(ii) </w:t>
      </w:r>
      <w:r>
        <w:rPr>
          <w:rFonts w:ascii="Times New Roman" w:hAnsi="Times New Roman"/>
          <w:sz w:val="24"/>
          <w:u w:val="single"/>
        </w:rPr>
        <w:t>Changes in Applicable Margin and Ticking Fee Rate: Determination of Debt Rating</w:t>
      </w:r>
      <w:r>
        <w:rPr>
          <w:rFonts w:ascii="Times New Roman" w:hAnsi="Times New Roman"/>
          <w:sz w:val="24"/>
        </w:rPr>
        <w:t xml:space="preserve">. Changes to the Applicable Margin and Ticking Fee Rate shall be effective as of the next Business Day after the day on which the Debt Rating changes. Any change to any Debt Rating established by S&amp;P, Moody’s or Fitch shall be effective as of the date on which such change is first announced publicly by the applicable rating agency making such change and on and after that day the changed Debt Rating shall be the Debt Rating of such rating agency for pm-poses of this Agreement. If none of S&amp;P, Moody’s or Fitch shall have in effect a Debt Rating, the Applicable Margin and Ticking Fee Rate shall be set in accordance with part E of the table set forth in Section 2.3(f)(i). If S&amp;P, Moody’s or Fitch shall change the basis on which ratings are established, each reference to the Debt Rating announced by S&amp;P, Moody’s or Fitch, as the case may be, shall refer to the then equivalent rating by S&amp;P, Moody’s or Fitch, as the case may be.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sz w:val="24"/>
          <w:u w:val="single"/>
        </w:rPr>
        <w:t>Term SOFR Conforming Changes</w:t>
      </w:r>
      <w:r>
        <w:rPr>
          <w:rFonts w:ascii="Times New Roman" w:hAnsi="Times New Roman"/>
          <w:sz w:val="24"/>
        </w:rPr>
        <w:t xml:space="preserve">.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Tenn SOFR.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2.4 </w:t>
      </w:r>
      <w:r>
        <w:rPr>
          <w:rFonts w:ascii="Times New Roman" w:hAnsi="Times New Roman"/>
          <w:sz w:val="24"/>
          <w:u w:val="single"/>
        </w:rPr>
        <w:t>Fees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Fees.</w:t>
      </w:r>
      <w:r>
        <w:rPr>
          <w:rFonts w:ascii="Times New Roman" w:hAnsi="Times New Roman"/>
          <w:sz w:val="24"/>
        </w:rPr>
        <w:t xml:space="preserve"> The Borrower agrees to pay to the Administrative Agent and the Joint Lead Arrangers certain fees in connection with the execution and delivery of this Agreement as provided in the fee letters delivered in connection herewith.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Ticking Fees.</w:t>
      </w:r>
      <w:r>
        <w:rPr>
          <w:rFonts w:ascii="Times New Roman" w:hAnsi="Times New Roman"/>
          <w:sz w:val="24"/>
        </w:rPr>
        <w:t xml:space="preserve"> The Borrower agrees to pay to each 2021 Term Loan Lender a ticking fee equal to the ticking fee rate (the </w:t>
      </w:r>
      <w:r>
        <w:rPr>
          <w:rFonts w:ascii="Times New Roman" w:hAnsi="Times New Roman"/>
          <w:sz w:val="24"/>
          <w:u w:val="single"/>
        </w:rPr>
        <w:t>“Ticking Fee Rate”)</w:t>
      </w:r>
      <w:r>
        <w:rPr>
          <w:rFonts w:ascii="Times New Roman" w:hAnsi="Times New Roman"/>
          <w:sz w:val="24"/>
        </w:rPr>
        <w:t xml:space="preserve"> as set forth in </w:t>
      </w:r>
      <w:r>
        <w:rPr>
          <w:rFonts w:ascii="Times New Roman" w:hAnsi="Times New Roman"/>
          <w:sz w:val="24"/>
          <w:u w:val="single"/>
        </w:rPr>
        <w:t>Section 2.3(f)</w:t>
      </w:r>
      <w:r>
        <w:rPr>
          <w:rFonts w:ascii="Times New Roman" w:hAnsi="Times New Roman"/>
          <w:sz w:val="24"/>
        </w:rPr>
        <w:t xml:space="preserve"> (computed on the basis of the actual number of days elapsed in a year of 365 or 366 days, as the case may be) on the undrawn amount of each 2021 Tenn Loan Lender’s 2021 Tenn Loan Commitment, commencing upon the later of (x) the execution and delivery of this Agreement and (y) January 13, 2022, which ticking fees shall be payable quarterly in arrears (i) on the last Business Day of each March, June, September and December and (ii) on the earlier of (x) the 2021 Term Loan Funding Date and (y) the 2021 Term Loan Commitment Termination Date. </w:t>
      </w:r>
    </w:p>
    <w:p>
      <w:pPr>
        <w:pStyle w:val="TextBody"/>
        <w:bidi w:val="0"/>
        <w:spacing w:before="240" w:after="0"/>
        <w:jc w:val="both"/>
        <w:rPr>
          <w:rFonts w:ascii="Times New Roman" w:hAnsi="Times New Roman"/>
          <w:sz w:val="24"/>
        </w:rPr>
      </w:pPr>
      <w:r>
        <w:rPr>
          <w:rFonts w:ascii="Times New Roman" w:hAnsi="Times New Roman"/>
          <w:sz w:val="24"/>
        </w:rPr>
        <w:t>Section 2.5 </w:t>
      </w:r>
      <w:r>
        <w:rPr>
          <w:rFonts w:ascii="Times New Roman" w:hAnsi="Times New Roman"/>
          <w:sz w:val="24"/>
          <w:u w:val="single"/>
        </w:rPr>
        <w:t>2021 Term Loan Commitment Termination and Reductions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2021 Term Loan Commitments shall automatically terminate on the earlier of (x) subject to Section 2.2(f)(iii), the 2021 Term Loan Funding Date and (y) the 2021 Term Loan Commitment Termination Date.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Voluntary</w:t>
      </w:r>
      <w:r>
        <w:rPr>
          <w:rFonts w:ascii="Times New Roman" w:hAnsi="Times New Roman"/>
          <w:sz w:val="24"/>
        </w:rPr>
        <w:t xml:space="preserve">. The Borrower may at any time terminate, or from time to time reduce, the 2021 Term Loan Commitments; </w:t>
      </w:r>
      <w:r>
        <w:rPr>
          <w:rFonts w:ascii="Times New Roman" w:hAnsi="Times New Roman"/>
          <w:sz w:val="24"/>
          <w:u w:val="single"/>
        </w:rPr>
        <w:t>provided</w:t>
      </w:r>
      <w:r>
        <w:rPr>
          <w:rFonts w:ascii="Times New Roman" w:hAnsi="Times New Roman"/>
          <w:sz w:val="24"/>
        </w:rPr>
        <w:t xml:space="preserve"> that each reduction of the 2021 Term Loan Commitments shall be in an amount that is an integral multiple of $1,000,000 and not less than $2,000,000. </w:t>
      </w:r>
    </w:p>
    <w:p>
      <w:pPr>
        <w:pStyle w:val="TextBody"/>
        <w:bidi w:val="0"/>
        <w:spacing w:before="240" w:after="0"/>
        <w:jc w:val="both"/>
        <w:rPr>
          <w:rFonts w:ascii="Times New Roman" w:hAnsi="Times New Roman"/>
          <w:sz w:val="24"/>
        </w:rPr>
      </w:pPr>
      <w:r>
        <w:rPr>
          <w:rFonts w:ascii="Times New Roman" w:hAnsi="Times New Roman"/>
          <w:sz w:val="24"/>
        </w:rPr>
        <w:t xml:space="preserve">(c) The Borrower shall notify the Administrative Agent of any election to terminate or reduce the 2021 Term Loan Commitments under paragraph (b) of this Section at least three (3) Business Days prior to the effective date of such termination or reduction, specifying whether such election is to terminate or reduce the 2021 Term Loan Commitments and the effective date thereof, which notice may state that such notice is conditioned on the effectiveness of other financing, in which case such notice may be revoked by the Borrower (by written notice to the Administrative Agent on or prior to the specified effective date) if such condition is not satisfied. Promptly following receipt of any notice, the Administrative Agent shall advise the 2021 Term Loan Lenders of the contents thereof. Any termination or reduction of the 2021 Term Loan Commitments shall be permanent. Each reduction of the 2021 Term Loan Commitments shall be made ratably among the 2021 Term Loan Lenders in accordance with their respective 2021 Term Loan Commitments. The Borrower shall pay to the Administrative Agent for the account of the 2021 Term Loan Lenders, on the date of each termination or reduction under paragraph (b) of this Section, any applicable commitment fees on the amount of the 2021 Term Loan Commitments so terminated or reduced accrued to but excluding the date of such termination or reduction. </w:t>
      </w:r>
    </w:p>
    <w:p>
      <w:pPr>
        <w:pStyle w:val="TextBody"/>
        <w:bidi w:val="0"/>
        <w:spacing w:before="240" w:after="0"/>
        <w:jc w:val="both"/>
        <w:rPr>
          <w:rFonts w:ascii="Times New Roman" w:hAnsi="Times New Roman"/>
          <w:sz w:val="24"/>
        </w:rPr>
      </w:pPr>
      <w:r>
        <w:rPr>
          <w:rFonts w:ascii="Times New Roman" w:hAnsi="Times New Roman"/>
          <w:sz w:val="24"/>
        </w:rPr>
        <w:t>Section 2.6 </w:t>
      </w:r>
      <w:r>
        <w:rPr>
          <w:rFonts w:ascii="Times New Roman" w:hAnsi="Times New Roman"/>
          <w:sz w:val="24"/>
          <w:u w:val="single"/>
        </w:rPr>
        <w:t>Prepayments and Repayments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Prepayment</w:t>
      </w:r>
      <w:r>
        <w:rPr>
          <w:rFonts w:ascii="Times New Roman" w:hAnsi="Times New Roman"/>
          <w:sz w:val="24"/>
        </w:rPr>
        <w:t xml:space="preserve">. The principal amount of any Base Rate Advance may be prepaid in full or ratably in part at any time, without premium or penalty and without regard to the Payment Date for such Advance. The principal amount of any SOFR Advance may be prepaid in full or ratably in part, upon three (3) Business Days’ prior written notice, or telephonic notice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followed immediately by written notice, to the Administrative Agent, without premium or penalty, which notice may state that such notice is conditioned on the effectiveness of other financing, in which case such notice may be revoked by the Borrower (by written notice to the Administrative Agent on or prior to the specified effective date) if such condition is not satisfied;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to the extent prepaid prior to the applicable Payment Date for such SOFR Advance, the Borrower shall reimburse the applicable Lenders, on the earlier of (A) demand by the applicable Lender or (B) the Term Loan Maturity Date, for any loss or out-of-pocket expense incurred by any such Lender in connection with such prepayment, as set forth in Section 2.9 hereof;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 the Borrower’s failure to confirm any telephonic notice with a written notice shall not invalidate any notice so given if acted upon by the Administrative Agent and (ii) any notice of prepayment given hereunder may be revoked by the Borrower at any time. Any prepayment hereunder shall be in amounts of not less than $2,000,000.00 and in an integral multiple of $1,000,000.00. Amounts prepaid shall be paid together with accrued interest on the amount so prepaid.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Repayments</w:t>
      </w:r>
      <w:r>
        <w:rPr>
          <w:rFonts w:ascii="Times New Roman" w:hAnsi="Times New Roman"/>
          <w:sz w:val="24"/>
        </w:rPr>
        <w:t xml:space="preserve">. The Borrower shall repay the Loans, together with accrued interest and fees with respect thereto, in full on the Term Loan Maturity Date. </w:t>
      </w:r>
    </w:p>
    <w:p>
      <w:pPr>
        <w:pStyle w:val="TextBody"/>
        <w:bidi w:val="0"/>
        <w:spacing w:before="240" w:after="0"/>
        <w:jc w:val="both"/>
        <w:rPr>
          <w:rFonts w:ascii="Times New Roman" w:hAnsi="Times New Roman"/>
          <w:sz w:val="24"/>
        </w:rPr>
      </w:pPr>
      <w:r>
        <w:rPr>
          <w:rFonts w:ascii="Times New Roman" w:hAnsi="Times New Roman"/>
          <w:sz w:val="24"/>
        </w:rPr>
        <w:t>Section 2.7 </w:t>
      </w:r>
      <w:r>
        <w:rPr>
          <w:rFonts w:ascii="Times New Roman" w:hAnsi="Times New Roman"/>
          <w:sz w:val="24"/>
          <w:u w:val="single"/>
        </w:rPr>
        <w:t>Notes; Loan Accounts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Loans shall be repayable in accordance with the terms and provisions set forth herein. If requested by a Lender, one (1) Note duly executed and delivered by one or more Authorized Signatories of the Borrower, shall be issued by the Borrower and payable to such Lender in an amount equal to such Lender’s Commitment. </w:t>
      </w:r>
    </w:p>
    <w:p>
      <w:pPr>
        <w:pStyle w:val="TextBody"/>
        <w:bidi w:val="0"/>
        <w:spacing w:before="240" w:after="0"/>
        <w:jc w:val="both"/>
        <w:rPr>
          <w:rFonts w:ascii="Times New Roman" w:hAnsi="Times New Roman"/>
          <w:sz w:val="24"/>
        </w:rPr>
      </w:pPr>
      <w:r>
        <w:rPr>
          <w:rFonts w:ascii="Times New Roman" w:hAnsi="Times New Roman"/>
          <w:sz w:val="24"/>
        </w:rPr>
        <w:t xml:space="preserve">(b) Each Lender may open and maintain on its books in the name of the Borrower a loan account with respect to its portion of the Loans and interest thereon. Each Lender which opens such a loan account shall debit such loan account for the principal amount of its portion of each Advance made by it and accrued interest thereon, and shall credit such loan account for each payment on account of principal of or interest on its Loans. The records of a Lender with respect to the loan account maintained by it shall be prima facie evidence of its portion of the Loans and accrued interest thereon absent manifest error, but the failure of any Lender to make any such notations or any error or mistake in such notations shall not affect the Borrower’s repayment obligations with respect to such Loans. </w:t>
      </w:r>
    </w:p>
    <w:p>
      <w:pPr>
        <w:pStyle w:val="TextBody"/>
        <w:bidi w:val="0"/>
        <w:spacing w:before="240" w:after="0"/>
        <w:jc w:val="both"/>
        <w:rPr>
          <w:rFonts w:ascii="Times New Roman" w:hAnsi="Times New Roman"/>
          <w:sz w:val="24"/>
        </w:rPr>
      </w:pPr>
      <w:r>
        <w:rPr>
          <w:rFonts w:ascii="Times New Roman" w:hAnsi="Times New Roman"/>
          <w:sz w:val="24"/>
        </w:rPr>
        <w:t>Section 2.8 </w:t>
      </w:r>
      <w:r>
        <w:rPr>
          <w:rFonts w:ascii="Times New Roman" w:hAnsi="Times New Roman"/>
          <w:sz w:val="24"/>
          <w:u w:val="single"/>
        </w:rPr>
        <w:t>Manner of Payment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payment (including, without limitation, any prepayment) by the Borrower on account of the principal of or interest on the Loans and any other amount owed to the Lenders or the Administrative Agent or any of them under this Agreement or the Notes shall be made not later than 1:00 p.m. (New York, New York time) on the date specified for payment under this Agreement to the Administrative Agent at the Administrative Agent’s Office, for the account of the Lenders or the Administrative Agent, as the case may be, in lawful money of the United States of America in immediately available funds. Any payment received by the Administrative Agent after 1:00 p.m. (New York, New York time) shall be deemed received on the next Business Day. Receipt by the Administrative Agent of any payment intended for any Lender or Lenders hereunder prior to 1:00 p.m. (New York, New York time) on any Business Day shall be deemed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to constitute receipt by such Lender or Lenders on such Business Day. In the case of a payment for the account of a Lender, the Administrative Agent will promptly, but no later than the close of business on the date such payment is deemed received, thereafter distribute the amount so received in like funds to such Lender. If the Administrative Agent shall not have received any payment from the Borrower as and when due, the Administrative Agent will promptly notify the applicable Lenders accordingly. In the event that the Administrative Agent shall fail to make distribution to any Lender as required under this Section 2.8, the Administrative Agent agrees to pay such Lender interest from the date such payment was due until paid at the Federal Funds Rate. </w:t>
      </w:r>
    </w:p>
    <w:p>
      <w:pPr>
        <w:pStyle w:val="TextBody"/>
        <w:bidi w:val="0"/>
        <w:spacing w:before="240" w:after="0"/>
        <w:jc w:val="both"/>
        <w:rPr>
          <w:rFonts w:ascii="Times New Roman" w:hAnsi="Times New Roman"/>
          <w:sz w:val="24"/>
        </w:rPr>
      </w:pPr>
      <w:r>
        <w:rPr>
          <w:rFonts w:ascii="Times New Roman" w:hAnsi="Times New Roman"/>
          <w:sz w:val="24"/>
        </w:rPr>
        <w:t xml:space="preserve">(b) The Borrower agrees to pay principal, interest, fees and all other amounts due hereunder or under the Notes without set-off or counterclaim or any deduction whatsoever, except as provided in Section 10.3 hereof. </w:t>
      </w:r>
    </w:p>
    <w:p>
      <w:pPr>
        <w:pStyle w:val="TextBody"/>
        <w:bidi w:val="0"/>
        <w:spacing w:before="240" w:after="0"/>
        <w:jc w:val="both"/>
        <w:rPr>
          <w:rFonts w:ascii="Times New Roman" w:hAnsi="Times New Roman"/>
          <w:sz w:val="24"/>
        </w:rPr>
      </w:pPr>
      <w:r>
        <w:rPr>
          <w:rFonts w:ascii="Times New Roman" w:hAnsi="Times New Roman"/>
          <w:sz w:val="24"/>
        </w:rPr>
        <w:t xml:space="preserve">(c) Prior to the acceleration of the Loans under Section 8.2 hereof, if some but less than all amounts due from the Borrower are received by the Administrative Agent with respect to the Obligations, the Administrative Agent shall distribute such amounts in the following order of priority, all on a pro rata basis to the Lenders: (i) to the payment on a pro rata basis of any fees or expenses then due and payable to the Administrative Agent or expenses then due and payable to the Lenders; (ii) to the payment of interest then due and payable on the Loans on a pro rata basis and of fees then due and payable to the Lenders on a pro rata basis; (iii) to the payment of all other amounts not otherwise referred to in this Section 2.8(c) then due and payable to the Administrative Agent and the Lenders, or any of them, hereunder or under the Notes or any other Loan Document; and (iv) to the payment of principal then due and payable on the Loans on a pro rata basis. </w:t>
      </w:r>
    </w:p>
    <w:p>
      <w:pPr>
        <w:pStyle w:val="TextBody"/>
        <w:bidi w:val="0"/>
        <w:spacing w:before="240" w:after="0"/>
        <w:jc w:val="both"/>
        <w:rPr>
          <w:rFonts w:ascii="Times New Roman" w:hAnsi="Times New Roman"/>
          <w:sz w:val="24"/>
        </w:rPr>
      </w:pPr>
      <w:r>
        <w:rPr>
          <w:rFonts w:ascii="Times New Roman" w:hAnsi="Times New Roman"/>
          <w:sz w:val="24"/>
        </w:rPr>
        <w:t xml:space="preserve">(d) Subject to any contrary provisions in the definition of Interest Period, if any payment under this Agreement or any of the other Loan Documents is specified to be made on a day which is not a Business Day, it shall be made on the next Business Day, and such extension of time shall in such case be included in computing interest and fees, if any, in connection with such payment. </w:t>
      </w:r>
    </w:p>
    <w:p>
      <w:pPr>
        <w:pStyle w:val="TextBody"/>
        <w:bidi w:val="0"/>
        <w:spacing w:before="240" w:after="0"/>
        <w:jc w:val="both"/>
        <w:rPr>
          <w:rFonts w:ascii="Times New Roman" w:hAnsi="Times New Roman"/>
          <w:sz w:val="24"/>
        </w:rPr>
      </w:pPr>
      <w:r>
        <w:rPr>
          <w:rFonts w:ascii="Times New Roman" w:hAnsi="Times New Roman"/>
          <w:sz w:val="24"/>
        </w:rPr>
        <w:t>Section 2.9 </w:t>
      </w:r>
      <w:r>
        <w:rPr>
          <w:rFonts w:ascii="Times New Roman" w:hAnsi="Times New Roman"/>
          <w:sz w:val="24"/>
          <w:u w:val="single"/>
        </w:rPr>
        <w:t>Reimbursement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(a) Whenever any Lender shall sustain or incur any losses or reasonable out-of-pocket expenses in connection with (i) the failure by the Borrower to borrow, Continue or Convert any SOFR Advance after having given notice of its intention to borrow, Continue or Convert such Advance in accordance with Section 2.2 or 2.6 hereof (whether by reason of the Borrower’s election not to proceed or the non-fulfillment of any of the conditions set forth in Article 3 hereof, but not as a result of a failure of such Lender to make a Loan in accordance with the terms of this Agreement), or (ii) the prepayment other than on the applicable Payment Date (or failure to prepay after giving notice thereof) of any SOFR Advance in whole or in part for any reason, the Borrower agrees to pay to such Lender, upon such Lender’s demand, an amount sufficient to compensate such Lender for all such losses and out-of-pocket expenses. Such Lender’s good faith determination of the amount of such losses or out-of-pocket expenses, as set forth in writing and accompanied by calculations in reasonable detail demonstrating the basis for its demand, shall be presumptively correct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(b) Losses subject to reimbursement hereunder shall include, without limiting the generality of the foregoing, reasonable out-of-pocket expenses incurred by any Lender or any participant of such Lender permitted hereunder in connection with the re-employment of funds prepaid, paid, repaid, not borrowed, or not paid, as the case may be, but not losses resulting from lost Applicable Margin or other margin. Losses subject to reimbursement will be payable whether the Term Loan Maturity Date is changed by virtue of an amendment hereto (unless such amendment expressly waives such payment) or as a result of acceleration of the Loans. </w:t>
      </w:r>
    </w:p>
    <w:p>
      <w:pPr>
        <w:pStyle w:val="TextBody"/>
        <w:bidi w:val="0"/>
        <w:spacing w:before="240" w:after="0"/>
        <w:jc w:val="both"/>
        <w:rPr>
          <w:rFonts w:ascii="Times New Roman" w:hAnsi="Times New Roman"/>
          <w:sz w:val="24"/>
        </w:rPr>
      </w:pPr>
      <w:r>
        <w:rPr>
          <w:rFonts w:ascii="Times New Roman" w:hAnsi="Times New Roman"/>
          <w:sz w:val="24"/>
        </w:rPr>
        <w:t xml:space="preserve">(c) Failure or delay on the part of any Lender to demand compensation pursuant to the foregoing provisions of this Section 2.9 shall not constitute a waiver of such Lender’s right to demand such compensation, provided that the Borrower shall not be required to compensate a Lender pursuant to the foregoing provisions of this Section for any losses or expenses incurred more than six (6) months prior to the date that such Lender notifies the Borrower of the circumstances giving rise to such losses or expenses and of such Lender’s intention to claim compensation therefor. </w:t>
      </w:r>
    </w:p>
    <w:p>
      <w:pPr>
        <w:pStyle w:val="TextBody"/>
        <w:bidi w:val="0"/>
        <w:spacing w:before="240" w:after="0"/>
        <w:jc w:val="both"/>
        <w:rPr>
          <w:rFonts w:ascii="Times New Roman" w:hAnsi="Times New Roman"/>
          <w:sz w:val="24"/>
        </w:rPr>
      </w:pPr>
      <w:r>
        <w:rPr>
          <w:rFonts w:ascii="Times New Roman" w:hAnsi="Times New Roman"/>
          <w:sz w:val="24"/>
        </w:rPr>
        <w:t>Section 2.10 </w:t>
      </w:r>
      <w:r>
        <w:rPr>
          <w:rFonts w:ascii="Times New Roman" w:hAnsi="Times New Roman"/>
          <w:sz w:val="24"/>
          <w:u w:val="single"/>
        </w:rPr>
        <w:t>Pro Rata Treatment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[Intentionally Omitted.]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Payments</w:t>
      </w:r>
      <w:r>
        <w:rPr>
          <w:rFonts w:ascii="Times New Roman" w:hAnsi="Times New Roman"/>
          <w:sz w:val="24"/>
        </w:rPr>
        <w:t xml:space="preserve">. Except as provided in Article 10 hereof, each payment and prepayment of principal of, and interest on, the Loans shall be made to the Lenders pro rata on the basis of their respective unpaid principal amounts outstanding under the applicable Loans immediately prior to such payment or prepayment.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Sharing of Payments by Lenders</w:t>
      </w:r>
      <w:r>
        <w:rPr>
          <w:rFonts w:ascii="Times New Roman" w:hAnsi="Times New Roman"/>
          <w:sz w:val="24"/>
        </w:rPr>
        <w:t xml:space="preserve">. If any Lender shall, by exercising any right of setoff or counterclaim or otherwise, obtain payment in respect of any principal of or interest on any of the Loans made by it resulting in such Lender’s receiving payment of a proportion of the aggregate amount of such Loans and accrued interest thereon greater than its pro rata share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w:t>
      </w:r>
      <w:r>
        <w:rPr>
          <w:rFonts w:ascii="Times New Roman" w:hAnsi="Times New Roman"/>
          <w:sz w:val="24"/>
          <w:u w:val="single"/>
        </w:rPr>
        <w:t>provided</w:t>
      </w:r>
      <w:r>
        <w:rPr>
          <w:rFonts w:ascii="Times New Roman" w:hAnsi="Times New Roman"/>
          <w:sz w:val="24"/>
        </w:rPr>
        <w:t xml:space="preserve"> that: </w:t>
      </w:r>
    </w:p>
    <w:p>
      <w:pPr>
        <w:pStyle w:val="TextBody"/>
        <w:bidi w:val="0"/>
        <w:spacing w:before="120" w:after="0"/>
        <w:jc w:val="both"/>
        <w:rPr>
          <w:rFonts w:ascii="Times New Roman" w:hAnsi="Times New Roman"/>
          <w:sz w:val="24"/>
        </w:rPr>
      </w:pPr>
      <w:r>
        <w:rPr>
          <w:rFonts w:ascii="Times New Roman" w:hAnsi="Times New Roman"/>
          <w:sz w:val="24"/>
        </w:rPr>
        <w:t xml:space="preserve">(i) if any such participations are purchased and all or any portion of the payment giving rise thereto is recovered, such participations shall be rescinded and the purchase price restored to the extent of such recovery, without interest; and </w:t>
      </w:r>
    </w:p>
    <w:p>
      <w:pPr>
        <w:pStyle w:val="TextBody"/>
        <w:bidi w:val="0"/>
        <w:spacing w:before="120" w:after="0"/>
        <w:jc w:val="both"/>
        <w:rPr>
          <w:rFonts w:ascii="Times New Roman" w:hAnsi="Times New Roman"/>
          <w:sz w:val="24"/>
        </w:rPr>
      </w:pPr>
      <w:r>
        <w:rPr>
          <w:rFonts w:ascii="Times New Roman" w:hAnsi="Times New Roman"/>
          <w:sz w:val="24"/>
        </w:rPr>
        <w:t xml:space="preserve">(ii) the provisions of this Section shall not be construed to apply to (y) any payment made by or on behalf of the Borrower pursuant to and in accordance with the express terms of this Agreement or (z) any payment obtained by a Lender as consideration for the assignment of or sale of a participation in any of its Loans to any assignee or participant. </w:t>
      </w:r>
    </w:p>
    <w:p>
      <w:pPr>
        <w:pStyle w:val="TextBody"/>
        <w:bidi w:val="0"/>
        <w:spacing w:before="240" w:after="0"/>
        <w:jc w:val="both"/>
        <w:rPr>
          <w:rFonts w:ascii="Times New Roman" w:hAnsi="Times New Roman"/>
          <w:sz w:val="24"/>
        </w:rPr>
      </w:pPr>
      <w:r>
        <w:rPr>
          <w:rFonts w:ascii="Times New Roman" w:hAnsi="Times New Roman"/>
          <w:sz w:val="24"/>
        </w:rPr>
        <w:t xml:space="preserve">The Borrower agrees that any Lender so purchasing a participation from another Lender pursuant to this Section 2.10(b) may, to the fullest extent permitted by law, exercise all its rights of payment (including, without limitation, the right of set-off) with respect to such participation 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fully as if such purchasing Lender were the direct creditor of the Borrower in the amount of such participation. </w:t>
      </w:r>
    </w:p>
    <w:p>
      <w:pPr>
        <w:pStyle w:val="TextBody"/>
        <w:bidi w:val="0"/>
        <w:spacing w:before="240" w:after="0"/>
        <w:jc w:val="both"/>
        <w:rPr>
          <w:rFonts w:ascii="Times New Roman" w:hAnsi="Times New Roman"/>
          <w:sz w:val="24"/>
        </w:rPr>
      </w:pPr>
      <w:r>
        <w:rPr>
          <w:rFonts w:ascii="Times New Roman" w:hAnsi="Times New Roman"/>
          <w:sz w:val="24"/>
        </w:rPr>
        <w:t>Section 2.11 </w:t>
      </w:r>
      <w:r>
        <w:rPr>
          <w:rFonts w:ascii="Times New Roman" w:hAnsi="Times New Roman"/>
          <w:sz w:val="24"/>
          <w:u w:val="single"/>
        </w:rPr>
        <w:t>Capital Adequacy</w:t>
      </w:r>
      <w:r>
        <w:rPr>
          <w:rFonts w:ascii="Times New Roman" w:hAnsi="Times New Roman"/>
          <w:sz w:val="24"/>
        </w:rPr>
        <w:t xml:space="preserve">. If after the date hereof, the adoption of any Applicable Law regarding the capital adequacy or liquidity of banks or bank holding companies, or any change in Applicable Law (whether adopted before or after the Second Restatement Date) or any change in the interpretation or administration thereof by any Governmental Authority, central bank or comparable agency charged with the interpretation or administration thereof, including any such change resulting from the enactment or issuance of any regulation or regulatory interpretation affecting existing Applicable Law, or compliance by such Lender (or the bank holding company of such Lender) with any directive regarding capital adequacy or liquidity (whether or not having the force of law) of any such Governmental Authority, central bank or comparable agency, has or would have the effect of reducing the rate of return on any Lender’s capital as a consequence of its obligations hereunder with respect to the Loans to a level below that which it could have achieved but for such adoption, change or compliance (taking into consideration such Lender’s policies with respect to capital adequacy or liquidity immediately before such adoption, change or compliance and assuming that such Lender’s (or the bank holding company of such Lender) capital was fully utilized prior to such adoption, change or compliance) by an amount reasonably deemed by such Lender to be material, then, upon demand by such Lender, the Borrower shall promptly pay to such Lender such additional amounts as shall be sufficient to compensate such Lender (on an after-tax basis and without duplication of amounts paid by the Borrower pursuant to Section 10.3) for such reduced return which is reasonably allocable to this Agreement, together with interest on such amount from the fourth (4th) Business Day after the date of demand or the Term Loan Maturity Date, as applicable, until payment in full thereof at the Default Rate;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enacted, adopted or issued after the date hereof, regardless of the date enacted, adopted or issued. A certificate of such Lender setting forth the amount to be paid to such Lender by the Borrower as a result of any event referred to in this paragraph and supporting calculations in reasonable detail shall be presumptively correct absent manifest error. Notwithstanding any other provision of this Section 2.11, no Lender shall demand compensation for any increased cost or reduction referred to above if it shall not at the time be the general policy or practice of such Lender to demand such compensation in similar circumstances under comparable provisions of other credit agreements. Failure or delay on the part of any Lender to demand compensation pursuant to the foregoing provisions of this Section 2.11 shall not constitute a waiver of such Lender’s right to demand such compensation, provided that the Borrower shall not be required to compensate a Lender pursuant to the foregoing provisions of this Section for any increased costs incurred or reductions suffered more than six (6) months prior to the date that such Lender notifies the Borrower of the circumstances giving rise to such increased costs or reductions and of such Lender’s intention to claim compensation therefor (except that, if the circumstances giving rise to such increased costs or reductions is retroactive, then the six (6) month period referred to above shall be extended to include the period of retroactive effect thereof).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2.12 </w:t>
      </w:r>
      <w:r>
        <w:rPr>
          <w:rFonts w:ascii="Times New Roman" w:hAnsi="Times New Roman"/>
          <w:sz w:val="24"/>
          <w:u w:val="single"/>
        </w:rPr>
        <w:t>Lender Tax Forms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(ii)(a) and (ii)(b) of this Section)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240" w:after="0"/>
        <w:jc w:val="both"/>
        <w:rPr>
          <w:rFonts w:ascii="Times New Roman" w:hAnsi="Times New Roman"/>
          <w:sz w:val="24"/>
        </w:rPr>
      </w:pPr>
      <w:r>
        <w:rPr>
          <w:rFonts w:ascii="Times New Roman" w:hAnsi="Times New Roman"/>
          <w:sz w:val="24"/>
        </w:rPr>
        <w:t xml:space="preserve">(ii) Without limiting the generality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(a) On or prior to the Second Restatement Date and on or prior to the first Business Day of each calendar year thereafter, to the extent it may lawfully do so at such time, each Lender which is a Non-U.S. Person shall provide each of the Administrative Agent and the Borrower (A) if such Lender is a “bank” under Section 881(c)(3)(A) of the Code, with a properly executed original of Internal Revenue Service Form W-8BEN (or W-8BEN-E, as applicable) or W-8ECI (or any successor form) prescribed by the Internal Revenue Service or other documents satisfactory to the Borrower and the Administrative Agent, as the case may be, certifying (i) as to such Lender’s status as exempt from United States withholding taxes with respect to all payments to be made to such Lender hereunder and under the Notes or (ii) that all payments to be made to such Lender hereunder and under the Notes are subject to such taxes at a rate reduced to zero by an applicable tax treaty, or (B) if such Lender is not a “bank” within the meaning of Section 881(c)(3)(A) of the Code and intends to claim exemption from U.S. Federal withholding tax under Section 871(h) or 881(c) of the Code with respect to payments of “portfolio interest”, a Form W-8BEN (or W-8BEN-E, as applicable), or any subsequent versions thereof or successors thereto (and, if such Lender delivers a Form W-8BEN (or W-8BEN-E, as applicable), a certificate representing that such Lender is not a bank for purposes of Section 881(c) of the Code, is not a ten-percent (10%) shareholder (within the meaning of Section 871(h)(3)(B) of the Code and is not a controlled foreign corporation related to the Borrower (within the meaning of Section 864(d)(4) of the Code)), properly completed and duly executed by such Lender, indicating that such Lender is entitled to receive payments under this Agreement without deduction or withholding of any United States Federal income taxes as permitted by the Code. If a payment made to a Lender under this Agreement would be subject to withholding Tax imposed under FATCA if such Lender fails to comply with the applicable reporting requirements of FATCA (including those contained in Section 1471(b) or 1472(b) of the Code, as applicable), such Lender shall deliver to the Administrative Agent and the Borrower, at the time or times prescribed by law and at such time or times reasonably requested by the Administrative Agent or the Borrower, such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prescribed by Applicable Law (included as prescribed by Section 1471(b)(3)(C)(i) of the Code) and such additional documentation reasonably requested by the Administrative Agent or the Borrower as may be necessary for the Administrative Agent or the Borrower to comply with its obligations under FATCA, to determine that such Lender has complied with such Lender’s obligations under FATCA, or to determine the amount to deduct and withhold from such payment. </w:t>
      </w:r>
    </w:p>
    <w:p>
      <w:pPr>
        <w:pStyle w:val="TextBody"/>
        <w:bidi w:val="0"/>
        <w:spacing w:before="240" w:after="0"/>
        <w:jc w:val="both"/>
        <w:rPr>
          <w:rFonts w:ascii="Times New Roman" w:hAnsi="Times New Roman"/>
          <w:sz w:val="24"/>
        </w:rPr>
      </w:pPr>
      <w:r>
        <w:rPr>
          <w:rFonts w:ascii="Times New Roman" w:hAnsi="Times New Roman"/>
          <w:sz w:val="24"/>
        </w:rPr>
        <w:t xml:space="preserve">(b) On or prior to the Second Restatement Date, and to the extent permitted by applicable U.S. Federal law, on or prior to the first Business Day of each calendar year thereafter, each Lender which is a U.S. Person shall provide the Administrative Agent and the Borrower a duly completed and executed copy of the Internal Revenue Service Form W-9 or successor form to the effect that it is a U.S. Person. </w:t>
      </w:r>
    </w:p>
    <w:p>
      <w:pPr>
        <w:pStyle w:val="TextBody"/>
        <w:bidi w:val="0"/>
        <w:spacing w:before="240" w:after="0"/>
        <w:jc w:val="both"/>
        <w:rPr>
          <w:rFonts w:ascii="Times New Roman" w:hAnsi="Times New Roman"/>
          <w:sz w:val="24"/>
        </w:rPr>
      </w:pPr>
      <w:r>
        <w:rPr>
          <w:rFonts w:ascii="Times New Roman" w:hAnsi="Times New Roman"/>
          <w:sz w:val="24"/>
        </w:rPr>
        <w:t xml:space="preserve">Each Lender agrees that if any form or certification it previously delivered becomes inaccurate in any respect, it shall update such form or certification or promptly notify the Borrower and the Administrative Agent in writing of its legal inability to do so. In addition, each Lender agrees that if any form or certification it previously delivered expires or becomes obsolete, upon written request by the Borrower or the Administrative Agent, such Lender shall update such form or certification or promptly notify the Borrower and the Administrative Agent in writing of its legal inability to do so. </w:t>
      </w:r>
    </w:p>
    <w:p>
      <w:pPr>
        <w:pStyle w:val="TextBody"/>
        <w:bidi w:val="0"/>
        <w:spacing w:before="240" w:after="0"/>
        <w:jc w:val="both"/>
        <w:rPr>
          <w:rFonts w:ascii="Times New Roman" w:hAnsi="Times New Roman"/>
          <w:sz w:val="24"/>
        </w:rPr>
      </w:pPr>
      <w:r>
        <w:rPr>
          <w:rFonts w:ascii="Times New Roman" w:hAnsi="Times New Roman"/>
          <w:sz w:val="24"/>
        </w:rPr>
        <w:t>Section 2.13 </w:t>
      </w:r>
      <w:r>
        <w:rPr>
          <w:rFonts w:ascii="Times New Roman" w:hAnsi="Times New Roman"/>
          <w:sz w:val="24"/>
          <w:u w:val="single"/>
        </w:rPr>
        <w:t>Incremental Term Loans</w:t>
      </w:r>
      <w:r>
        <w:rPr>
          <w:rFonts w:ascii="Times New Roman" w:hAnsi="Times New Roman"/>
          <w:sz w:val="24"/>
        </w:rPr>
        <w:t>. The Borrower may, upon five (5) Business Days’ notice to the Administrative Agent, request a commitment for an additional term loan from the Lenders or by adding one or more lenders, determined by the Borrower in its sole discretion, subject to the consent of the Administrative Agent (such consent not to be unreasonably withheld), which lender or lenders are willing to commit to such increase (each such lender, a “</w:t>
      </w:r>
      <w:r>
        <w:rPr>
          <w:rFonts w:ascii="Times New Roman" w:hAnsi="Times New Roman"/>
          <w:sz w:val="24"/>
          <w:u w:val="single"/>
        </w:rPr>
        <w:t>New Lender</w:t>
      </w:r>
      <w:r>
        <w:rPr>
          <w:rFonts w:ascii="Times New Roman" w:hAnsi="Times New Roman"/>
          <w:sz w:val="24"/>
        </w:rPr>
        <w:t>,” and such commitment, an “</w:t>
      </w:r>
      <w:r>
        <w:rPr>
          <w:rFonts w:ascii="Times New Roman" w:hAnsi="Times New Roman"/>
          <w:sz w:val="24"/>
          <w:u w:val="single"/>
        </w:rPr>
        <w:t>Incremental Term Loan Commitment</w:t>
      </w:r>
      <w:r>
        <w:rPr>
          <w:rFonts w:ascii="Times New Roman" w:hAnsi="Times New Roman"/>
          <w:sz w:val="24"/>
        </w:rPr>
        <w:t xml:space="preserve">”); provided, however, that (i) the Borrower may not request an Incremental Term Loan Commitment after the occurrence and during the continuance of an Event of Default, including, without limitation, any Event of Default that would result after giving effect to any Incremental Term Loan, (ii) each Incremental Term Loan Commitment shall be in an amount not less than $10,000,000 or an integral multiple of $5,000,000 in excess thereof and (iii) the aggregate amount of all Incremental Term Loan Commitments shall not exceed $1,250,000,000. Such notice to the Administrative Agent shall describe the amount and intended disbursement date of the Incremental Term Loan to be made pursuant to such Incremental Term Loan Commitments. An Incremental Term Loan Commitment shall become effective upon (a) the execution by each applicable New Lender of a counterpart of this Agreement and delivering such counterpart to the Administrative Agent and (b) receipt by the Administrative Agent of a certificate of a responsible officer of the Borrower, dated as of the date such Incremental Term Loan Commitments are proposed to take effect, certifying that as of such date each of the representations and warranties in Article 4 hereof are true and correct in all material respects, except for those representations and warranties that are qualified by materiality or Materially Adverse Effect, which shall be true and correct, and no Default then exists. Over the term of the Agreement the Borrower may request Incremental Term Loan Commitments no more than four (4) times. Notwithstanding anything to the contrary herein, no Lender shall be required to provide an Incremental Term Loan Commitment pursuant to this Section 2.13. </w:t>
      </w:r>
    </w:p>
    <w:p>
      <w:pPr>
        <w:pStyle w:val="TextBody"/>
        <w:bidi w:val="0"/>
        <w:spacing w:before="240" w:after="0"/>
        <w:jc w:val="both"/>
        <w:rPr>
          <w:rFonts w:ascii="Times New Roman" w:hAnsi="Times New Roman"/>
          <w:sz w:val="24"/>
        </w:rPr>
      </w:pPr>
      <w:r>
        <w:rPr>
          <w:rFonts w:ascii="Times New Roman" w:hAnsi="Times New Roman"/>
          <w:sz w:val="24"/>
        </w:rPr>
        <w:t>Section 2.14 </w:t>
      </w:r>
      <w:r>
        <w:rPr>
          <w:rFonts w:ascii="Times New Roman" w:hAnsi="Times New Roman"/>
          <w:sz w:val="24"/>
          <w:u w:val="single"/>
        </w:rPr>
        <w:t>Defaulting Lender</w:t>
      </w:r>
      <w:r>
        <w:rPr>
          <w:rFonts w:ascii="Times New Roman" w:hAnsi="Times New Roman"/>
          <w:sz w:val="24"/>
        </w:rPr>
        <w:t xml:space="preserve">. (a) Notwithstanding anything to the contrary contained in this Agreement, if any Lender becomes a Defaulting Lender, then, until such time as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that Lender is no longer a Defaulting Lender, to the extent permitted by Applicable Law, such Defaulting Lender’s right to approve or disapprove any amendment, waiver or consent with respect to this Agreement shall be restricted as set forth in </w:t>
      </w:r>
      <w:r>
        <w:rPr>
          <w:rFonts w:ascii="Times New Roman" w:hAnsi="Times New Roman"/>
          <w:sz w:val="24"/>
          <w:u w:val="single"/>
        </w:rPr>
        <w:t>Section 11.11</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(b) If the Borrower and the Administrative Agent agree in writing in their sole discretion that a Defaulting Lender should no longer be deemed to be a Defaulting Lender, the Administrative Agent will so notify the parties hereto, whereupon that Lender will cease to be a Defaulting Lender; </w:t>
      </w:r>
      <w:r>
        <w:rPr>
          <w:rFonts w:ascii="Times New Roman" w:hAnsi="Times New Roman"/>
          <w:sz w:val="24"/>
          <w:u w:val="single"/>
        </w:rPr>
        <w:t>provided</w:t>
      </w:r>
      <w:r>
        <w:rPr>
          <w:rFonts w:ascii="Times New Roman" w:hAnsi="Times New Roman"/>
          <w:sz w:val="24"/>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480" w:after="0"/>
        <w:jc w:val="center"/>
        <w:rPr>
          <w:rFonts w:ascii="Times New Roman" w:hAnsi="Times New Roman"/>
          <w:sz w:val="24"/>
        </w:rPr>
      </w:pPr>
      <w:r>
        <w:rPr>
          <w:rFonts w:ascii="Times New Roman" w:hAnsi="Times New Roman"/>
          <w:sz w:val="24"/>
        </w:rPr>
        <w:t xml:space="preserve">ARTICLE 3 - CONDITIONS PRECEDENT </w:t>
      </w:r>
    </w:p>
    <w:p>
      <w:pPr>
        <w:pStyle w:val="TextBody"/>
        <w:bidi w:val="0"/>
        <w:spacing w:before="240" w:after="0"/>
        <w:jc w:val="both"/>
        <w:rPr>
          <w:rFonts w:ascii="Times New Roman" w:hAnsi="Times New Roman"/>
          <w:sz w:val="24"/>
        </w:rPr>
      </w:pPr>
      <w:r>
        <w:rPr>
          <w:rFonts w:ascii="Times New Roman" w:hAnsi="Times New Roman"/>
          <w:sz w:val="24"/>
        </w:rPr>
        <w:t>Section 3.1 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3.2 </w:t>
      </w:r>
      <w:r>
        <w:rPr>
          <w:rFonts w:ascii="Times New Roman" w:hAnsi="Times New Roman"/>
          <w:sz w:val="24"/>
          <w:u w:val="single"/>
        </w:rPr>
        <w:t>Conditions Precedent to Second Restatement Date</w:t>
      </w:r>
      <w:r>
        <w:rPr>
          <w:rFonts w:ascii="Times New Roman" w:hAnsi="Times New Roman"/>
          <w:sz w:val="24"/>
        </w:rPr>
        <w:t xml:space="preserve">. The effectiveness of this Agreement on the Second Restatement Date is subject to the prior or contemporaneous fulfillment (in the reasonable opinion of the Administrative Agent), or, if applicable, receipt by the Administrative Agent (in each case in form and substance reasonably satisfactory to the Administrative Agent and the Lenders) of each of the following: </w:t>
      </w:r>
    </w:p>
    <w:p>
      <w:pPr>
        <w:pStyle w:val="TextBody"/>
        <w:bidi w:val="0"/>
        <w:spacing w:before="240" w:after="0"/>
        <w:jc w:val="both"/>
        <w:rPr>
          <w:rFonts w:ascii="Times New Roman" w:hAnsi="Times New Roman"/>
          <w:sz w:val="24"/>
        </w:rPr>
      </w:pPr>
      <w:r>
        <w:rPr>
          <w:rFonts w:ascii="Times New Roman" w:hAnsi="Times New Roman"/>
          <w:sz w:val="24"/>
        </w:rPr>
        <w:t xml:space="preserve">(a) this Agreement duly executed by all relevant parties; </w:t>
      </w:r>
    </w:p>
    <w:p>
      <w:pPr>
        <w:pStyle w:val="TextBody"/>
        <w:bidi w:val="0"/>
        <w:spacing w:before="240" w:after="0"/>
        <w:jc w:val="both"/>
        <w:rPr>
          <w:rFonts w:ascii="Times New Roman" w:hAnsi="Times New Roman"/>
          <w:sz w:val="24"/>
        </w:rPr>
      </w:pPr>
      <w:r>
        <w:rPr>
          <w:rFonts w:ascii="Times New Roman" w:hAnsi="Times New Roman"/>
          <w:sz w:val="24"/>
        </w:rPr>
        <w:t xml:space="preserve">(b) a loan certificate of the Borrower dated as of the Second Restatement Date, in substantially the form attached hereto as </w:t>
      </w:r>
      <w:r>
        <w:rPr>
          <w:rFonts w:ascii="Times New Roman" w:hAnsi="Times New Roman"/>
          <w:sz w:val="24"/>
          <w:u w:val="single"/>
        </w:rPr>
        <w:t>Exhibit D</w:t>
      </w:r>
      <w:r>
        <w:rPr>
          <w:rFonts w:ascii="Times New Roman" w:hAnsi="Times New Roman"/>
          <w:sz w:val="24"/>
        </w:rPr>
        <w:t xml:space="preserve">, including a certificate of incumbency with respect to each Authorized Signatory of the Borrower, together with the following items: (i) a true, complete and correct copy of the articles of incorporation and by-laws of the Borrower as in effect on the Second Restatement Date, (ii) a certificate of good standing for the Borrower issued by the Secretary of State of Delaware, and (iii) a true, complete and correct copy of the resolutions of the Borrower authorizing it to execute, deliver and perform each of the Loan Documents to which it is a party; </w:t>
      </w:r>
    </w:p>
    <w:p>
      <w:pPr>
        <w:pStyle w:val="TextBody"/>
        <w:bidi w:val="0"/>
        <w:spacing w:before="240" w:after="0"/>
        <w:jc w:val="both"/>
        <w:rPr>
          <w:rFonts w:ascii="Times New Roman" w:hAnsi="Times New Roman"/>
          <w:sz w:val="24"/>
        </w:rPr>
      </w:pPr>
      <w:r>
        <w:rPr>
          <w:rFonts w:ascii="Times New Roman" w:hAnsi="Times New Roman"/>
          <w:sz w:val="24"/>
        </w:rPr>
        <w:t xml:space="preserve">(c) legal opinions of (i) Cleary Gottlieb Steen &amp; Hamilton LLP, special counsel to the Borrower and (ii) Edmund DiSanto, Esq., General Counsel of the Borrower, addressed to each Lender and the Administrative Agent and dated as of the Second Restatement Date; </w:t>
      </w:r>
    </w:p>
    <w:p>
      <w:pPr>
        <w:pStyle w:val="TextBody"/>
        <w:bidi w:val="0"/>
        <w:spacing w:before="240" w:after="0"/>
        <w:jc w:val="both"/>
        <w:rPr>
          <w:rFonts w:ascii="Times New Roman" w:hAnsi="Times New Roman"/>
          <w:sz w:val="24"/>
        </w:rPr>
      </w:pPr>
      <w:r>
        <w:rPr>
          <w:rFonts w:ascii="Times New Roman" w:hAnsi="Times New Roman"/>
          <w:sz w:val="24"/>
        </w:rPr>
        <w:t xml:space="preserve">(d) receipt by the Borrower of evidence that all Necessary Authorizations, other than Necessary Authorizations the absence of which would not reasonably be expected to have, individually or in the aggregate, a Materially Adverse Effect, including all necessary consents to the closing of this Agreement, have been obtained or made, are in full force and effect and are not subject to any pending or, to the knowledge of the Borrower, threatened reversal or cancellation; </w:t>
      </w:r>
    </w:p>
    <w:p>
      <w:pPr>
        <w:pStyle w:val="TextBody"/>
        <w:bidi w:val="0"/>
        <w:spacing w:before="240" w:after="0"/>
        <w:jc w:val="both"/>
        <w:rPr>
          <w:rFonts w:ascii="Times New Roman" w:hAnsi="Times New Roman"/>
          <w:sz w:val="24"/>
        </w:rPr>
      </w:pPr>
      <w:r>
        <w:rPr>
          <w:rFonts w:ascii="Times New Roman" w:hAnsi="Times New Roman"/>
          <w:sz w:val="24"/>
        </w:rPr>
        <w:t xml:space="preserve">(e) each of the representations and warranties in Article 4 hereof are true and correct in all material respects, except for those representations and warranties that are qualified by materiality or Materially Adverse Effect, which shall be true and correct, as of the Second Restatement Date, and no Default then exists;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(f) at least three (3) Business Days prior to the Second Restatement Date, to the extent reasonably requested in writing at least ten (10) Business Days prior to the Second Restatement Date, (i) documentation that the Administrative Agent and the Lenders are required to obtain from the Borrower under Section 326 of the USA PATRIOT ACT (P.L. 107-56, 115 Stat. 272 (2001)) and under any other provision of the Patriot Act, the Bank Secrecy Act (P.L. 91-508, 84 Stat. 1118 (1970)) or any regulations under such Act or the Patriot Act that contain document collection requirements that apply to the Administrative Agent and the Lenders and (ii) to the extent the Borrower qualifies as a “legal entity customer” under the Beneficial Ownership Regulation, the beneficial Ownership Certification to each Lender that so requests; </w:t>
      </w:r>
    </w:p>
    <w:p>
      <w:pPr>
        <w:pStyle w:val="TextBody"/>
        <w:bidi w:val="0"/>
        <w:spacing w:before="240" w:after="0"/>
        <w:jc w:val="both"/>
        <w:rPr>
          <w:rFonts w:ascii="Times New Roman" w:hAnsi="Times New Roman"/>
          <w:sz w:val="24"/>
        </w:rPr>
      </w:pPr>
      <w:r>
        <w:rPr>
          <w:rFonts w:ascii="Times New Roman" w:hAnsi="Times New Roman"/>
          <w:sz w:val="24"/>
        </w:rPr>
        <w:t xml:space="preserve">(g) all fees and expenses required to be paid in connection with this Agreement to the Administrative Agent, the Syndication Agent, the Joint Lead Arrangers and the Lenders shall have been (or shall be simultaneously) paid in full; </w:t>
      </w:r>
    </w:p>
    <w:p>
      <w:pPr>
        <w:pStyle w:val="TextBody"/>
        <w:bidi w:val="0"/>
        <w:spacing w:before="240" w:after="0"/>
        <w:jc w:val="both"/>
        <w:rPr>
          <w:rFonts w:ascii="Times New Roman" w:hAnsi="Times New Roman"/>
          <w:sz w:val="24"/>
        </w:rPr>
      </w:pPr>
      <w:r>
        <w:rPr>
          <w:rFonts w:ascii="Times New Roman" w:hAnsi="Times New Roman"/>
          <w:sz w:val="24"/>
        </w:rPr>
        <w:t xml:space="preserve">(h) audited consolidated financial statements for the three years ended December 31, 2020, and unaudited consolidated financial statements for each of the three quarters ended March 31, 2021, June 30, 2021 and September 30, 2021, in each case of the Borrower and its Subsidiaries; and </w:t>
      </w:r>
    </w:p>
    <w:p>
      <w:pPr>
        <w:pStyle w:val="TextBody"/>
        <w:bidi w:val="0"/>
        <w:spacing w:before="240" w:after="0"/>
        <w:jc w:val="both"/>
        <w:rPr>
          <w:rFonts w:ascii="Times New Roman" w:hAnsi="Times New Roman"/>
          <w:sz w:val="24"/>
        </w:rPr>
      </w:pPr>
      <w:r>
        <w:rPr>
          <w:rFonts w:ascii="Times New Roman" w:hAnsi="Times New Roman"/>
          <w:sz w:val="24"/>
        </w:rPr>
        <w:t xml:space="preserve">(i) a certificate of the president, chief financial officer or treasurer of the Borrower as to the financial performance of the Borrower and its Subsidiaries, substantially in the form of </w:t>
      </w:r>
      <w:r>
        <w:rPr>
          <w:rFonts w:ascii="Times New Roman" w:hAnsi="Times New Roman"/>
          <w:sz w:val="24"/>
          <w:u w:val="single"/>
        </w:rPr>
        <w:t>Exhibit E</w:t>
      </w:r>
      <w:r>
        <w:rPr>
          <w:rFonts w:ascii="Times New Roman" w:hAnsi="Times New Roman"/>
          <w:sz w:val="24"/>
        </w:rPr>
        <w:t xml:space="preserve"> attached hereto, and, to the extent applicable, using information contained in the financial statements delivered pursuant to clause (i) of this Section 3.2 in respect of the quarter ending September 30, 2021. </w:t>
      </w:r>
    </w:p>
    <w:p>
      <w:pPr>
        <w:pStyle w:val="TextBody"/>
        <w:bidi w:val="0"/>
        <w:spacing w:before="240" w:after="0"/>
        <w:jc w:val="both"/>
        <w:rPr>
          <w:rFonts w:ascii="Times New Roman" w:hAnsi="Times New Roman"/>
          <w:sz w:val="24"/>
        </w:rPr>
      </w:pPr>
      <w:r>
        <w:rPr>
          <w:rFonts w:ascii="Times New Roman" w:hAnsi="Times New Roman"/>
          <w:sz w:val="24"/>
        </w:rPr>
        <w:t xml:space="preserve">(j) a certificate of a responsible officer of the Borrower confirming that the commitments under the Bridge Commitment Letter have been (or concurrently with the occurrence of the Second Restatement Date will be) reduced by the aggregate amount of the 2021 Term Loan Commitments hereunder. </w:t>
      </w:r>
    </w:p>
    <w:p>
      <w:pPr>
        <w:pStyle w:val="TextBody"/>
        <w:bidi w:val="0"/>
        <w:spacing w:before="240" w:after="0"/>
        <w:jc w:val="both"/>
        <w:rPr>
          <w:rFonts w:ascii="Times New Roman" w:hAnsi="Times New Roman"/>
          <w:sz w:val="24"/>
        </w:rPr>
      </w:pPr>
      <w:r>
        <w:rPr>
          <w:rFonts w:ascii="Times New Roman" w:hAnsi="Times New Roman"/>
          <w:sz w:val="24"/>
        </w:rPr>
        <w:t>Section 3.3 </w:t>
      </w:r>
      <w:r>
        <w:rPr>
          <w:rFonts w:ascii="Times New Roman" w:hAnsi="Times New Roman"/>
          <w:sz w:val="24"/>
          <w:u w:val="single"/>
        </w:rPr>
        <w:t>Non-Merger Conditions Precedent to 2021 Term Loan Funding Date</w:t>
      </w:r>
      <w:r>
        <w:rPr>
          <w:rFonts w:ascii="Times New Roman" w:hAnsi="Times New Roman"/>
          <w:sz w:val="24"/>
        </w:rPr>
        <w:t xml:space="preserve">. Subject to Borrower’s election to fund the 2021 Term Loans under Section 3.4, the obligation of each 2021 Term Loan Lender to make any 2021 Term Loan requested to be made by it on the 2021 Term Loan Funding Date is subject to the following conditions precedent as of such date (or to the extent the Pre-Closing Funding Election had been made, the conditions other than the Specified Funding Related Conditions shall only be required to be met on the Pre-Closing Funding Date as contemplated by Section 2.2(f)). </w:t>
      </w:r>
    </w:p>
    <w:p>
      <w:pPr>
        <w:pStyle w:val="TextBody"/>
        <w:bidi w:val="0"/>
        <w:spacing w:before="240" w:after="0"/>
        <w:jc w:val="both"/>
        <w:rPr>
          <w:rFonts w:ascii="Times New Roman" w:hAnsi="Times New Roman"/>
          <w:sz w:val="24"/>
        </w:rPr>
      </w:pPr>
      <w:r>
        <w:rPr>
          <w:rFonts w:ascii="Times New Roman" w:hAnsi="Times New Roman"/>
          <w:sz w:val="24"/>
        </w:rPr>
        <w:t xml:space="preserve">(a) The Second Restatement Date shall have occurred. </w:t>
      </w:r>
    </w:p>
    <w:p>
      <w:pPr>
        <w:pStyle w:val="TextBody"/>
        <w:bidi w:val="0"/>
        <w:spacing w:before="240" w:after="0"/>
        <w:jc w:val="both"/>
        <w:rPr>
          <w:rFonts w:ascii="Times New Roman" w:hAnsi="Times New Roman"/>
          <w:sz w:val="24"/>
        </w:rPr>
      </w:pPr>
      <w:r>
        <w:rPr>
          <w:rFonts w:ascii="Times New Roman" w:hAnsi="Times New Roman"/>
          <w:sz w:val="24"/>
        </w:rPr>
        <w:t xml:space="preserve">(b) (i) all of the representations and warranties of the Borrower under this Agreement and the other Loan Documents (other than those set forth in Section 4.1(f)(ii) and Section 4.1(i) hereof), which, pursuant to Section 4.2 hereof, are made at and as of the time of such borrowing, in each case shall be true and correct at such time in all material respects, except for those representations and warranties that are qualified by materiality or Materially Adverse Effect, which shall be true and correct, both before and after giving effect to the application of the proceeds of such borrowing, and after giving effect to any updates to information provided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accordance with the terms of this Agreement except to the extent stated to have been made as of the Second Restatement Date, and (ii) no Default hereunder shall then exist or be caused thereby. </w:t>
      </w:r>
    </w:p>
    <w:p>
      <w:pPr>
        <w:pStyle w:val="TextBody"/>
        <w:bidi w:val="0"/>
        <w:spacing w:before="240" w:after="0"/>
        <w:jc w:val="both"/>
        <w:rPr>
          <w:rFonts w:ascii="Times New Roman" w:hAnsi="Times New Roman"/>
          <w:sz w:val="24"/>
        </w:rPr>
      </w:pPr>
      <w:r>
        <w:rPr>
          <w:rFonts w:ascii="Times New Roman" w:hAnsi="Times New Roman"/>
          <w:sz w:val="24"/>
        </w:rPr>
        <w:t xml:space="preserve">(c) The Administrative Agent shall have received in accordance with the provisions of Section 2.2 a duly executed Request for Advance. </w:t>
      </w:r>
    </w:p>
    <w:p>
      <w:pPr>
        <w:pStyle w:val="TextBody"/>
        <w:bidi w:val="0"/>
        <w:spacing w:before="240" w:after="0"/>
        <w:jc w:val="both"/>
        <w:rPr>
          <w:rFonts w:ascii="Times New Roman" w:hAnsi="Times New Roman"/>
          <w:sz w:val="24"/>
        </w:rPr>
      </w:pPr>
      <w:r>
        <w:rPr>
          <w:rFonts w:ascii="Times New Roman" w:hAnsi="Times New Roman"/>
          <w:sz w:val="24"/>
        </w:rPr>
        <w:t xml:space="preserve">(d) The Administrative Agent shall have received a certificate of the Borrower certifying that all the conditions contained in this Section 3.3 have been satisfied. </w:t>
      </w:r>
    </w:p>
    <w:p>
      <w:pPr>
        <w:pStyle w:val="TextBody"/>
        <w:bidi w:val="0"/>
        <w:spacing w:before="240" w:after="0"/>
        <w:jc w:val="both"/>
        <w:rPr>
          <w:rFonts w:ascii="Times New Roman" w:hAnsi="Times New Roman"/>
          <w:sz w:val="24"/>
        </w:rPr>
      </w:pPr>
      <w:r>
        <w:rPr>
          <w:rFonts w:ascii="Times New Roman" w:hAnsi="Times New Roman"/>
          <w:sz w:val="24"/>
        </w:rPr>
        <w:t>Section 3.4 </w:t>
      </w:r>
      <w:r>
        <w:rPr>
          <w:rFonts w:ascii="Times New Roman" w:hAnsi="Times New Roman"/>
          <w:sz w:val="24"/>
          <w:u w:val="single"/>
        </w:rPr>
        <w:t>Certain Funds Conditions Precedent to 2021 Term Loan Funding Date</w:t>
      </w:r>
      <w:r>
        <w:rPr>
          <w:rFonts w:ascii="Times New Roman" w:hAnsi="Times New Roman"/>
          <w:sz w:val="24"/>
        </w:rPr>
        <w:t xml:space="preserve">. At the Borrower’s election, the obligation of each 2021 Term Loan Lender to make any 2021 Term Loan requested to be made by it on the 2021 Term Loan Funding Date is subject to the following conditions precedent as of such date (or to the extent the Pre-Closing Funding Election had been made, the conditions other than the Specified Funding Related Conditions shall only be required to be met on the Pre-Closing Funding Date as contemplated by Section 2.2(f)): </w:t>
      </w:r>
    </w:p>
    <w:p>
      <w:pPr>
        <w:pStyle w:val="TextBody"/>
        <w:bidi w:val="0"/>
        <w:spacing w:before="120" w:after="0"/>
        <w:jc w:val="both"/>
        <w:rPr>
          <w:rFonts w:ascii="Times New Roman" w:hAnsi="Times New Roman"/>
          <w:sz w:val="24"/>
        </w:rPr>
      </w:pPr>
      <w:r>
        <w:rPr>
          <w:rFonts w:ascii="Times New Roman" w:hAnsi="Times New Roman"/>
          <w:sz w:val="24"/>
        </w:rPr>
        <w:t xml:space="preserve">(a) The Second Restatement Date shall have occurred. </w:t>
      </w:r>
    </w:p>
    <w:p>
      <w:pPr>
        <w:pStyle w:val="TextBody"/>
        <w:bidi w:val="0"/>
        <w:spacing w:before="240" w:after="0"/>
        <w:jc w:val="both"/>
        <w:rPr>
          <w:rFonts w:ascii="Times New Roman" w:hAnsi="Times New Roman"/>
          <w:sz w:val="24"/>
        </w:rPr>
      </w:pPr>
      <w:r>
        <w:rPr>
          <w:rFonts w:ascii="Times New Roman" w:hAnsi="Times New Roman"/>
          <w:sz w:val="24"/>
        </w:rPr>
        <w:t xml:space="preserve">(b) The Specified Merger shall have been consummated, or substantially concurrently with the funding hereunder shall be consummated, in each case pursuant to and on the terms and conditions set forth in the Specified Merger Agreement and without giving effect to amendments, supplements, waivers or other modifications to or consents under the Specified Merger Agreement that are adverse in any material respect to the Lenders and that have not been approved by the Joint Lead Arrangers, such approval not to be unreasonably withheld or delayed (it being understood and agreed that (a) any decrease in the purchase price shall be deemed to be materially adverse to the Lenders unless the aggregate decrease does not exceed 10% and is allocated to reduce the commitments under the Bridge Facility (or, if the commitments under the Bridge Facility have been reduced to zero, to reduce the commitments under the 364-Day Term Loan Agreement and, if such commitments have been reduced to zero, to reduce the commitments under the 2-Year Term Loan Agreement), (b) any increase in the purchase price shall be deemed not to be materially adverse so long as not financed with the incurrence of Indebtedness and (c) any amendment to the definition of “Target Material Adverse Effect” in the Specified Merger Agreement shall be deemed to be materially adverse to the Lenders). </w:t>
      </w:r>
    </w:p>
    <w:p>
      <w:pPr>
        <w:pStyle w:val="TextBody"/>
        <w:bidi w:val="0"/>
        <w:spacing w:before="240" w:after="0"/>
        <w:jc w:val="both"/>
        <w:rPr>
          <w:rFonts w:ascii="Times New Roman" w:hAnsi="Times New Roman"/>
          <w:sz w:val="24"/>
        </w:rPr>
      </w:pPr>
      <w:r>
        <w:rPr>
          <w:rFonts w:ascii="Times New Roman" w:hAnsi="Times New Roman"/>
          <w:sz w:val="24"/>
        </w:rPr>
        <w:t xml:space="preserve">(c) The Joint Lead Arrangers shall have received in the case of the Borrower (i) audited consolidated balance sheets and related audited statements of operations, stockholders’ equity and cash flows of the Borrower for each of the three fiscal years most recently ended at least 60 days prior to the 2021 Term Loan Funding Date (and audit reports for such financial statements shall not be subject to any qualification or “going concern” disclosures) and (ii) unaudited consolidated balance sheets and related unaudited statements of operations, stockholders’ equity and cash flows of the Borrower for each subsequent fiscal quarter ended at least 40 days prior to the 2021 Term Loan Funding Date (but excluding the fourth quarter of any fiscal year). Reports and financial statements required to be delivered pursuant to clauses (i) and (ii) above shall be deemed to have been delivered on the date on which such reports, or reports containing such financial statements, are made publicly available on the SEC’s EDGAR database.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(d) All costs, fees, expenses and other compensation required by the Bridge Commitment Letter and the Fee Letter (as defined in the Bridge Commitment Letter) to be payable to the Joint Lead Arrangers, the Administrative Agent or the Lenders at or prior to the 2021 Term Loan Funding Date (in the case of expenses, to the extent invoiced at least two Business Days prior to the 2021 Term Loan Funding Date shall have been paid to the extent due. </w:t>
      </w:r>
    </w:p>
    <w:p>
      <w:pPr>
        <w:pStyle w:val="TextBody"/>
        <w:bidi w:val="0"/>
        <w:spacing w:before="240" w:after="0"/>
        <w:jc w:val="both"/>
        <w:rPr>
          <w:rFonts w:ascii="Times New Roman" w:hAnsi="Times New Roman"/>
          <w:sz w:val="24"/>
        </w:rPr>
      </w:pPr>
      <w:r>
        <w:rPr>
          <w:rFonts w:ascii="Times New Roman" w:hAnsi="Times New Roman"/>
          <w:sz w:val="24"/>
        </w:rPr>
        <w:t xml:space="preserve">(e) The Administrative Agent shall have received a solvency certificate in substantially the form of Schedule I to Annex B to the Bridge Commitment Letter. </w:t>
      </w:r>
    </w:p>
    <w:p>
      <w:pPr>
        <w:pStyle w:val="TextBody"/>
        <w:bidi w:val="0"/>
        <w:spacing w:before="240" w:after="0"/>
        <w:jc w:val="both"/>
        <w:rPr>
          <w:rFonts w:ascii="Times New Roman" w:hAnsi="Times New Roman"/>
          <w:sz w:val="24"/>
        </w:rPr>
      </w:pPr>
      <w:r>
        <w:rPr>
          <w:rFonts w:ascii="Times New Roman" w:hAnsi="Times New Roman"/>
          <w:sz w:val="24"/>
        </w:rPr>
        <w:t xml:space="preserve">(f) After giving effect to the Transactions, no Event of Default shall have occurred and be continuing under Section 8.1(b), (f) or (g). </w:t>
      </w:r>
    </w:p>
    <w:p>
      <w:pPr>
        <w:pStyle w:val="TextBody"/>
        <w:bidi w:val="0"/>
        <w:spacing w:before="240" w:after="0"/>
        <w:jc w:val="both"/>
        <w:rPr>
          <w:rFonts w:ascii="Times New Roman" w:hAnsi="Times New Roman"/>
          <w:sz w:val="24"/>
        </w:rPr>
      </w:pPr>
      <w:r>
        <w:rPr>
          <w:rFonts w:ascii="Times New Roman" w:hAnsi="Times New Roman"/>
          <w:sz w:val="24"/>
        </w:rPr>
        <w:t xml:space="preserve">(g) The Specified Representations and Specified Merger Agreement Representations shall be true and correct in all material respects. </w:t>
      </w:r>
    </w:p>
    <w:p>
      <w:pPr>
        <w:pStyle w:val="TextBody"/>
        <w:bidi w:val="0"/>
        <w:spacing w:before="240" w:after="0"/>
        <w:jc w:val="both"/>
        <w:rPr>
          <w:rFonts w:ascii="Times New Roman" w:hAnsi="Times New Roman"/>
          <w:sz w:val="24"/>
        </w:rPr>
      </w:pPr>
      <w:r>
        <w:rPr>
          <w:rFonts w:ascii="Times New Roman" w:hAnsi="Times New Roman"/>
          <w:sz w:val="24"/>
        </w:rPr>
        <w:t xml:space="preserve">(h) Since the date of the Specified Merger Agreement, there shall not have been any Target Material Adverse Effect or any event, change or effect that would, individually or in the aggregate, reasonably be expected to have a Target Material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(i) The Administrative Agent shall have received in accordance with the provisions of Section 2.2 a duly executed Request for Advance. </w:t>
      </w:r>
    </w:p>
    <w:p>
      <w:pPr>
        <w:pStyle w:val="TextBody"/>
        <w:bidi w:val="0"/>
        <w:spacing w:before="240" w:after="0"/>
        <w:jc w:val="both"/>
        <w:rPr>
          <w:rFonts w:ascii="Times New Roman" w:hAnsi="Times New Roman"/>
          <w:sz w:val="24"/>
        </w:rPr>
      </w:pPr>
      <w:r>
        <w:rPr>
          <w:rFonts w:ascii="Times New Roman" w:hAnsi="Times New Roman"/>
          <w:sz w:val="24"/>
        </w:rPr>
        <w:t xml:space="preserve">Each submission by the Borrower to the Administrative Agent of a Request for Advance with respect to a 2021 Term Loan and the acceptance by the Borrower of the proceeds of each such 2021 Term Loan made hereunder shall constitute a representation and warranty by the Borrower as of the 2021 Term Loan Funding Date in respect of such 2021 Term Loan that all the conditions contained in this Section 3.4 have been satisfied. </w:t>
      </w:r>
    </w:p>
    <w:p>
      <w:pPr>
        <w:pStyle w:val="TextBody"/>
        <w:bidi w:val="0"/>
        <w:spacing w:before="240" w:after="0"/>
        <w:jc w:val="center"/>
        <w:rPr>
          <w:rFonts w:ascii="Times New Roman" w:hAnsi="Times New Roman"/>
          <w:sz w:val="24"/>
        </w:rPr>
      </w:pPr>
      <w:r>
        <w:rPr>
          <w:rFonts w:ascii="Times New Roman" w:hAnsi="Times New Roman"/>
          <w:sz w:val="24"/>
        </w:rPr>
        <w:t xml:space="preserve">ARTICLE 4 - REPRESENTATIONS AND WARRANTIES </w:t>
      </w:r>
    </w:p>
    <w:p>
      <w:pPr>
        <w:pStyle w:val="TextBody"/>
        <w:bidi w:val="0"/>
        <w:spacing w:before="240" w:after="0"/>
        <w:jc w:val="both"/>
        <w:rPr>
          <w:rFonts w:ascii="Times New Roman" w:hAnsi="Times New Roman"/>
          <w:sz w:val="24"/>
        </w:rPr>
      </w:pPr>
      <w:r>
        <w:rPr>
          <w:rFonts w:ascii="Times New Roman" w:hAnsi="Times New Roman"/>
          <w:sz w:val="24"/>
        </w:rPr>
        <w:t>Section 4.1 </w:t>
      </w:r>
      <w:r>
        <w:rPr>
          <w:rFonts w:ascii="Times New Roman" w:hAnsi="Times New Roman"/>
          <w:sz w:val="24"/>
          <w:u w:val="single"/>
        </w:rPr>
        <w:t>Representations and Warranties</w:t>
      </w:r>
      <w:r>
        <w:rPr>
          <w:rFonts w:ascii="Times New Roman" w:hAnsi="Times New Roman"/>
          <w:sz w:val="24"/>
        </w:rPr>
        <w:t xml:space="preserve">. The Borrower hereby represents and warrants in favor of the Administrative Agent and each Lender on the Second Restatement Date (other than with respect to Section 4.1(m)) and on the 2021 Term Loan Funding Date (after giving effect to the Transactions):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Organization; Ownership; Power; Qualification</w:t>
      </w:r>
      <w:r>
        <w:rPr>
          <w:rFonts w:ascii="Times New Roman" w:hAnsi="Times New Roman"/>
          <w:sz w:val="24"/>
        </w:rPr>
        <w:t xml:space="preserve">. The Borrower is a corporation duly organized, validly existing and in good standing under the laws of its jurisdiction of incorporation. The Borrower has the power and authority to own its properties and to carry on its business as now being and as proposed hereafter to be conducted. The Subsidiaries of the Borrower and the direct and indirect ownership thereof as of the Second Restatement Date are as set forth on </w:t>
      </w:r>
      <w:r>
        <w:rPr>
          <w:rFonts w:ascii="Times New Roman" w:hAnsi="Times New Roman"/>
          <w:sz w:val="24"/>
          <w:u w:val="single"/>
        </w:rPr>
        <w:t>Schedule 3</w:t>
      </w:r>
      <w:r>
        <w:rPr>
          <w:rFonts w:ascii="Times New Roman" w:hAnsi="Times New Roman"/>
          <w:sz w:val="24"/>
        </w:rPr>
        <w:t xml:space="preserve"> attached hereto. Except as would not reasonably be expected to have a Materially Adverse Effect, each Subsidiary of the Borrower is a corporation, limited liability company, limited partnership or other legal entity duly organized or formed, validly existing and in good standing under the laws of the jurisdiction of its incorporation or formation and has the power and authority to own its properties and to carry on its business as now being and as proposed hereafter to be conducted.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(b) </w:t>
      </w:r>
      <w:r>
        <w:rPr>
          <w:rFonts w:ascii="Times New Roman" w:hAnsi="Times New Roman"/>
          <w:sz w:val="24"/>
          <w:u w:val="single"/>
        </w:rPr>
        <w:t>Authorization; Enforceability</w:t>
      </w:r>
      <w:r>
        <w:rPr>
          <w:rFonts w:ascii="Times New Roman" w:hAnsi="Times New Roman"/>
          <w:sz w:val="24"/>
        </w:rPr>
        <w:t xml:space="preserve">. The Borrower has the corporate power, and has taken all necessary action, to authorize it to borrow hereunder, to execute, deliver and perform this Agreement and each of the other Loan Documents to which it is a party in accordance with their respective terms, and to consummate the transactions contemplated hereby and thereby. This Agreement has been duly executed and delivered by the Borrower and is, and each of the other Loan Documents to which the Borrower is party is, a legal, valid and binding obligation of the Borrower and enforceable against the Borrower in accordance with its terms, subject to applicable bankruptcy, insolvency, fraudulent conveyance, reorganization, moratorium and similar laws affecting creditors’ rights and remedies generally and subject, as to enforceability, to general principles of equity.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Compliance with Other Loan Documents and Contemplated</w:t>
      </w:r>
      <w:r>
        <w:rPr>
          <w:rFonts w:ascii="Times New Roman" w:hAnsi="Times New Roman"/>
          <w:sz w:val="24"/>
        </w:rPr>
        <w:t xml:space="preserve"> </w:t>
      </w:r>
      <w:r>
        <w:rPr>
          <w:rFonts w:ascii="Times New Roman" w:hAnsi="Times New Roman"/>
          <w:sz w:val="24"/>
          <w:u w:val="single"/>
        </w:rPr>
        <w:t>Transactions</w:t>
      </w:r>
      <w:r>
        <w:rPr>
          <w:rFonts w:ascii="Times New Roman" w:hAnsi="Times New Roman"/>
          <w:sz w:val="24"/>
        </w:rPr>
        <w:t xml:space="preserve">. The execution, delivery and performance, in accordance with their respective terms, by the Borrower of this Agreement, the Notes, and each of the other Loan Documents, and the consummation of the transactions contemplated hereby and thereby, do not (i) require any consent or approval, governmental or otherwise, not already obtained, (ii) violate any Applicable Law respecting the Borrower, (iii) conflict with, result in a breach of, or constitute a default under the articles of incorporation or by-laws, as amended, of the Borrower, or under any indenture, agreement, or other instrument, including without limitation the Licenses, to which the Borrower is a party or by which the Borrower or its respective properties is bound that is material to the Borrower and its Subsidiaries on a consolidated basis or (iv) result in or require the creation or imposition of any Lien upon or with respect to any property now owned or hereafter acquired by the Borrower or any of the Material Subsidiaries, except for Liens permitted pursuant to Section 7.2 hereof.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Compliance with Law</w:t>
      </w:r>
      <w:r>
        <w:rPr>
          <w:rFonts w:ascii="Times New Roman" w:hAnsi="Times New Roman"/>
          <w:sz w:val="24"/>
        </w:rPr>
        <w:t xml:space="preserve">. The Borrower and its Subsidiaries are in compliance with all Applicable Law, except where the failure to be in compliance therewith would not individually or in the aggregate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Title to Assets</w:t>
      </w:r>
      <w:r>
        <w:rPr>
          <w:rFonts w:ascii="Times New Roman" w:hAnsi="Times New Roman"/>
          <w:sz w:val="24"/>
        </w:rPr>
        <w:t xml:space="preserve">. The Borrower and its Subsidiaries have good title to, or a valid leasehold interest in, all of their respective assets, except for such exceptions as would not reasonably be expected to have, individually or in the aggregate, a Materially Adverse Effect. None of the properties or assets of the Borrower or any Material Subsidiary is subject to any Liens, except for Liens permitted pursuant to Section 7.2 hereof.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Litigation</w:t>
      </w:r>
      <w:r>
        <w:rPr>
          <w:rFonts w:ascii="Times New Roman" w:hAnsi="Times New Roman"/>
          <w:sz w:val="24"/>
        </w:rPr>
        <w:t xml:space="preserve">. There is no action, suit, proceeding or investigation pending against, or, to the knowledge of the Borrower, threatened against the Borrower or any of its Subsidiaries or any of their respective properties, including without limitation the Licenses, in any court or before any arbitrator of any kind or before or by any governmental body (including, without limitation, the FCC) that (i) calls into question the validity of this Agreement or any other Loan Document or (ii) would reasonably be expected to have a Materially Adverse Effect, other than as may be disclosed in the public filings of the Borrower with the Securities and Exchange Commission prior to the Second Restatement Date.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sz w:val="24"/>
          <w:u w:val="single"/>
        </w:rPr>
        <w:t>Taxes</w:t>
      </w:r>
      <w:r>
        <w:rPr>
          <w:rFonts w:ascii="Times New Roman" w:hAnsi="Times New Roman"/>
          <w:sz w:val="24"/>
        </w:rPr>
        <w:t xml:space="preserve">. All Federal income, other material Federal and material state and other tax returns of the Borrower and its Material Subsidiaries required by law to be filed have been duly filed and all Federal income, other material Federal and material state and other taxes,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including, without limitation, withholding taxes, assessments and other governmental charges or levies required to be paid by the Borrower or any of its Subsidiaries or imposed upon the Borrower or any of its Subsidiaries or any of their respective properties, income, profits or assets, which are due and payable, have been paid, except any such taxes (i) (x) the payment of which the Borrower or any of its Subsidiaries is diligently contesting in good faith by appropriate proceedings, (y) for which adequate reserves in accordance with GAAP have been provided on the books of such Person, and (z) as to which no Lien other than a Lien permitted pursuant to Section 7.2 hereof has attached, or (ii) which may result from audits not yet conducted, or (iii) as to which the failure to pay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(h) </w:t>
      </w:r>
      <w:r>
        <w:rPr>
          <w:rFonts w:ascii="Times New Roman" w:hAnsi="Times New Roman"/>
          <w:sz w:val="24"/>
          <w:u w:val="single"/>
        </w:rPr>
        <w:t>Financial Statements</w:t>
      </w:r>
      <w:r>
        <w:rPr>
          <w:rFonts w:ascii="Times New Roman" w:hAnsi="Times New Roman"/>
          <w:sz w:val="24"/>
        </w:rPr>
        <w:t xml:space="preserve">. As of the Second Restatement Date, the Borrower has furnished or caused to be furnished to the Administrative Agent the audited financial statements for the Borrower and its Subsidiaries on a consolidated basis for the fiscal year ended December 31, 2020, and the consolidated balance sheet of the Borrower and its Subsidiaries as at September 30, 2021 and the related consolidated statements of income and cash flows of the Borrower and its Subsidiaries for the nine months then ended, duly certified by the chief financial officer of the Borrower, all of which have been prepared in accordance with GAAP and present fairly, subject, in the case of said balance sheet as at September 30, 2021, and said statements of income and cash flows for the nine months then ended, to year-end audit adjustments and the absence of footnotes, in all material respects the financial position of the Borrower and its Subsidiaries on a consolidated basis, on and as at such dates and the results of operations for the periods then ended. As of the Second Restatement Date, none of the Borrower or its Subsidiaries has any liabilities, contingent or otherwise, that are material to the Borrower and its Subsidiaries on a consolidated basis other than as disclosed in the financial statements referred to in the preceding sentence or in the reports filed by the Borrower with the Securities and Exchange Commission prior to the Second Restatement Date or the Obligations.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No Material Adverse Change</w:t>
      </w:r>
      <w:r>
        <w:rPr>
          <w:rFonts w:ascii="Times New Roman" w:hAnsi="Times New Roman"/>
          <w:sz w:val="24"/>
        </w:rPr>
        <w:t xml:space="preserve">. Other than as may be disclosed in the public filings of the Borrower with the Securities and Exchange Commission prior to the Effective Date, there has occurred no event since December 31, 2020 which has had or which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sz w:val="24"/>
          <w:u w:val="single"/>
        </w:rPr>
        <w:t>ERISA</w:t>
      </w:r>
      <w:r>
        <w:rPr>
          <w:rFonts w:ascii="Times New Roman" w:hAnsi="Times New Roman"/>
          <w:sz w:val="24"/>
        </w:rPr>
        <w:t xml:space="preserve">. The Borrower and its Subsidiaries and, to the best of their knowledge, their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reasonably be expected to result in a Materially Adverse Effect. </w:t>
      </w:r>
    </w:p>
    <w:p>
      <w:pPr>
        <w:pStyle w:val="TextBody"/>
        <w:bidi w:val="0"/>
        <w:spacing w:before="240" w:after="0"/>
        <w:jc w:val="both"/>
        <w:rPr>
          <w:rFonts w:ascii="Times New Roman" w:hAnsi="Times New Roman"/>
          <w:sz w:val="24"/>
        </w:rPr>
      </w:pPr>
      <w:r>
        <w:rPr>
          <w:rFonts w:ascii="Times New Roman" w:hAnsi="Times New Roman"/>
          <w:sz w:val="24"/>
        </w:rPr>
        <w:t>(k) </w:t>
      </w:r>
      <w:r>
        <w:rPr>
          <w:rFonts w:ascii="Times New Roman" w:hAnsi="Times New Roman"/>
          <w:sz w:val="24"/>
          <w:u w:val="single"/>
        </w:rPr>
        <w:t>Compliance with Regulations U and X</w:t>
      </w:r>
      <w:r>
        <w:rPr>
          <w:rFonts w:ascii="Times New Roman" w:hAnsi="Times New Roman"/>
          <w:sz w:val="24"/>
        </w:rPr>
        <w:t>. The Borrower does not own or presently intend to own an amount of “margin stock” as defined in Regulations U and X (12 C.F.R. Parts 221 and 224) of the Board of Governors of the Federal Reserve System (“</w:t>
      </w:r>
      <w:r>
        <w:rPr>
          <w:rFonts w:ascii="Times New Roman" w:hAnsi="Times New Roman"/>
          <w:sz w:val="24"/>
          <w:u w:val="single"/>
        </w:rPr>
        <w:t>margin stock</w:t>
      </w:r>
      <w:r>
        <w:rPr>
          <w:rFonts w:ascii="Times New Roman" w:hAnsi="Times New Roman"/>
          <w:sz w:val="24"/>
        </w:rPr>
        <w:t xml:space="preserve">”) representing twenty-five percent (25%) or more of the total assets of the Borrower, as measured on both a consolidated and unconsolidated basis. Neither the making of the Loans nor the use of proceeds thereof will violate, or be inconsistent with, the provisions of any of the above-mentioned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(l) </w:t>
      </w:r>
      <w:r>
        <w:rPr>
          <w:rFonts w:ascii="Times New Roman" w:hAnsi="Times New Roman"/>
          <w:sz w:val="24"/>
          <w:u w:val="single"/>
        </w:rPr>
        <w:t>Investment Company Act</w:t>
      </w:r>
      <w:r>
        <w:rPr>
          <w:rFonts w:ascii="Times New Roman" w:hAnsi="Times New Roman"/>
          <w:sz w:val="24"/>
        </w:rPr>
        <w:t xml:space="preserve">. The Borrower is not required to register under the provisions of the Investment Company Act of 1940, as amended. </w:t>
      </w:r>
    </w:p>
    <w:p>
      <w:pPr>
        <w:pStyle w:val="TextBody"/>
        <w:bidi w:val="0"/>
        <w:spacing w:before="240" w:after="0"/>
        <w:jc w:val="both"/>
        <w:rPr>
          <w:rFonts w:ascii="Times New Roman" w:hAnsi="Times New Roman"/>
          <w:sz w:val="24"/>
        </w:rPr>
      </w:pPr>
      <w:r>
        <w:rPr>
          <w:rFonts w:ascii="Times New Roman" w:hAnsi="Times New Roman"/>
          <w:sz w:val="24"/>
        </w:rPr>
        <w:t>(m) </w:t>
      </w:r>
      <w:r>
        <w:rPr>
          <w:rFonts w:ascii="Times New Roman" w:hAnsi="Times New Roman"/>
          <w:sz w:val="24"/>
          <w:u w:val="single"/>
        </w:rPr>
        <w:t>Solvency</w:t>
      </w:r>
      <w:r>
        <w:rPr>
          <w:rFonts w:ascii="Times New Roman" w:hAnsi="Times New Roman"/>
          <w:sz w:val="24"/>
        </w:rPr>
        <w:t xml:space="preserve">. As of the Second Restatement Date and after giving effect to the transactions contemplated by the Loan Documents (i) the assets and property of the Borrower and its Subsidiaries on a consolidated basis, at a fair valuation, will exceed the total amount of liabilities, including contingent liabilities of the Borrower and its Subsidiaries on a consolidated basis; (ii) the capital of the Borrower and its Subsidiaries on a consolidated basis will not be unreasonably small to conduct its business as such business is now conducted and expected to be conducted following the Second Restatement Date; (iii) the Borrower and its Subsidiaries on a consolidated basis will not have incurred debts, or have intended to incur debts, beyond their ability to pay such debts as they mature; and (iv) the present fair salable value of the assets and property of the Borrower and its Subsidiaries on a consolidated basis will be greater than the amount that will be required to pay their probable liabilities (including debts) as they become absolute and matured. For purposes of this Section, the amount of contingent liabilities at any time will be computed as the amount that, in light of all the facts and circumstances existing as such time, can reasonably be expected to become an actual or matured liability. </w:t>
      </w:r>
    </w:p>
    <w:p>
      <w:pPr>
        <w:pStyle w:val="TextBody"/>
        <w:bidi w:val="0"/>
        <w:spacing w:before="240" w:after="0"/>
        <w:jc w:val="both"/>
        <w:rPr>
          <w:rFonts w:ascii="Times New Roman" w:hAnsi="Times New Roman"/>
          <w:sz w:val="24"/>
        </w:rPr>
      </w:pPr>
      <w:r>
        <w:rPr>
          <w:rFonts w:ascii="Times New Roman" w:hAnsi="Times New Roman"/>
          <w:sz w:val="24"/>
        </w:rPr>
        <w:t>(n) </w:t>
      </w:r>
      <w:r>
        <w:rPr>
          <w:rFonts w:ascii="Times New Roman" w:hAnsi="Times New Roman"/>
          <w:sz w:val="24"/>
          <w:u w:val="single"/>
        </w:rPr>
        <w:t>Designated Persons; Sanctions Laws and Regulations</w:t>
      </w:r>
      <w:r>
        <w:rPr>
          <w:rFonts w:ascii="Times New Roman" w:hAnsi="Times New Roman"/>
          <w:sz w:val="24"/>
        </w:rPr>
        <w:t xml:space="preserve">. Neither the Borrower nor any of its Subsidiaries nor, to the knowledge of the Borrower, any of their respective directors or officers is a Designated Person. The Borrower, its Subsidiaries and their respective officers and employees and to the knowledge of the Borrower, its directors, are in compliance with Anti-Corruption Laws and applicable Sanctions Laws and Regulations, in each case, in all material respects. </w:t>
      </w:r>
    </w:p>
    <w:p>
      <w:pPr>
        <w:pStyle w:val="TextBody"/>
        <w:bidi w:val="0"/>
        <w:spacing w:before="240" w:after="0"/>
        <w:jc w:val="both"/>
        <w:rPr>
          <w:rFonts w:ascii="Times New Roman" w:hAnsi="Times New Roman"/>
          <w:sz w:val="24"/>
        </w:rPr>
      </w:pPr>
      <w:r>
        <w:rPr>
          <w:rFonts w:ascii="Times New Roman" w:hAnsi="Times New Roman"/>
          <w:sz w:val="24"/>
        </w:rPr>
        <w:t>(o) </w:t>
      </w:r>
      <w:r>
        <w:rPr>
          <w:rFonts w:ascii="Times New Roman" w:hAnsi="Times New Roman"/>
          <w:sz w:val="24"/>
          <w:u w:val="single"/>
        </w:rPr>
        <w:t>Beneficial Ownership Certifications</w:t>
      </w:r>
      <w:r>
        <w:rPr>
          <w:rFonts w:ascii="Times New Roman" w:hAnsi="Times New Roman"/>
          <w:sz w:val="24"/>
        </w:rPr>
        <w:t xml:space="preserve">. As of the date so delivered, to the best knowledge of the Borrower, the information included in the Beneficial Ownership Certification, if any, provided to any Lender in connection with this Agreement is true and correct in all respects. </w:t>
      </w:r>
    </w:p>
    <w:p>
      <w:pPr>
        <w:pStyle w:val="TextBody"/>
        <w:bidi w:val="0"/>
        <w:spacing w:before="240" w:after="0"/>
        <w:jc w:val="both"/>
        <w:rPr>
          <w:rFonts w:ascii="Times New Roman" w:hAnsi="Times New Roman"/>
          <w:sz w:val="24"/>
        </w:rPr>
      </w:pPr>
      <w:r>
        <w:rPr>
          <w:rFonts w:ascii="Times New Roman" w:hAnsi="Times New Roman"/>
          <w:sz w:val="24"/>
        </w:rPr>
        <w:t>Section 4.2 </w:t>
      </w:r>
      <w:r>
        <w:rPr>
          <w:rFonts w:ascii="Times New Roman" w:hAnsi="Times New Roman"/>
          <w:sz w:val="24"/>
          <w:u w:val="single"/>
        </w:rPr>
        <w:t>Survival of Representations and Warranties, Etc</w:t>
      </w:r>
      <w:r>
        <w:rPr>
          <w:rFonts w:ascii="Times New Roman" w:hAnsi="Times New Roman"/>
          <w:sz w:val="24"/>
        </w:rPr>
        <w:t xml:space="preserve">. All representations and warranties made under this Agreement and any other Loan Document, shall be deemed to be made, and shall be true and correct in all material respects, except for those representations and warranties that are qualified by materiality or Materially Adverse Effect, which shall be true and correct, at and as of the Second Restatement Date (other than with respect to Section 4.1(m)) and the 2021 Term Loan Funding Date. All representations and warranties made under this Agreement and the other Loan Documents shall survive, and not be waived by, the execution hereof by the Lenders and the Administrative Agent, any investigation or inquiry by any Lender or the Administrative Agent, or the making of any Advance under this Agreement. </w:t>
      </w:r>
    </w:p>
    <w:p>
      <w:pPr>
        <w:pStyle w:val="TextBody"/>
        <w:bidi w:val="0"/>
        <w:spacing w:before="240" w:after="0"/>
        <w:jc w:val="center"/>
        <w:rPr>
          <w:rFonts w:ascii="Times New Roman" w:hAnsi="Times New Roman"/>
          <w:sz w:val="24"/>
        </w:rPr>
      </w:pPr>
      <w:r>
        <w:rPr>
          <w:rFonts w:ascii="Times New Roman" w:hAnsi="Times New Roman"/>
          <w:sz w:val="24"/>
        </w:rPr>
        <w:t xml:space="preserve">ARTICLE 5 - GENERAL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w:t>
      </w:r>
    </w:p>
    <w:p>
      <w:pPr>
        <w:pStyle w:val="TextBody"/>
        <w:bidi w:val="0"/>
        <w:spacing w:before="240" w:after="0"/>
        <w:jc w:val="both"/>
        <w:rPr>
          <w:rFonts w:ascii="Times New Roman" w:hAnsi="Times New Roman"/>
          <w:sz w:val="24"/>
        </w:rPr>
      </w:pPr>
      <w:r>
        <w:rPr>
          <w:rFonts w:ascii="Times New Roman" w:hAnsi="Times New Roman"/>
          <w:sz w:val="24"/>
        </w:rPr>
        <w:t>Section 5.1 </w:t>
      </w:r>
      <w:r>
        <w:rPr>
          <w:rFonts w:ascii="Times New Roman" w:hAnsi="Times New Roman"/>
          <w:sz w:val="24"/>
          <w:u w:val="single"/>
        </w:rPr>
        <w:t>Preservation of Existence and Similar Matters</w:t>
      </w:r>
      <w:r>
        <w:rPr>
          <w:rFonts w:ascii="Times New Roman" w:hAnsi="Times New Roman"/>
          <w:sz w:val="24"/>
        </w:rPr>
        <w:t xml:space="preserve">. Except as permitted under Section 7.3 hereof or to the extent required for the Borrower or any of its Subsidiaries to maintain its status as a REIT, the Borrower will, and will cause each of its Subsidiaries to, preserve and maintain its existence, and its material rights, franchises, licenses and privileges in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jurisdiction of its incorporation or formation, including, without limitation, the Licenses and all other Necessary Authorizations, except where the failure to do so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5.2 </w:t>
      </w:r>
      <w:r>
        <w:rPr>
          <w:rFonts w:ascii="Times New Roman" w:hAnsi="Times New Roman"/>
          <w:sz w:val="24"/>
          <w:u w:val="single"/>
        </w:rPr>
        <w:t>Compliance with Applicable Law</w:t>
      </w:r>
      <w:r>
        <w:rPr>
          <w:rFonts w:ascii="Times New Roman" w:hAnsi="Times New Roman"/>
          <w:sz w:val="24"/>
        </w:rPr>
        <w:t xml:space="preserve">. The Borrower will, and will cause each of its Subsidiaries to comply in all respects with the requirements of all Applicable Law, except when the failure to comply therewith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5.3 </w:t>
      </w:r>
      <w:r>
        <w:rPr>
          <w:rFonts w:ascii="Times New Roman" w:hAnsi="Times New Roman"/>
          <w:sz w:val="24"/>
          <w:u w:val="single"/>
        </w:rPr>
        <w:t>Maintenance of Properties</w:t>
      </w:r>
      <w:r>
        <w:rPr>
          <w:rFonts w:ascii="Times New Roman" w:hAnsi="Times New Roman"/>
          <w:sz w:val="24"/>
        </w:rPr>
        <w:t xml:space="preserve">. The Borrower will, and will cause each of its Subsidiaries to, maintain or cause to be maintained in the ordinary course of business in good repair, working order and condition (reasonable wear and tear excepted) all properties then used or useful in their respective businesses (whether owned or held under lease) that, individually or in the aggregate, are material to the conduct of the business of the Borrower and its Subsidiaries on a consolidated basis, except where the failure to maintain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5.4 </w:t>
      </w:r>
      <w:r>
        <w:rPr>
          <w:rFonts w:ascii="Times New Roman" w:hAnsi="Times New Roman"/>
          <w:sz w:val="24"/>
          <w:u w:val="single"/>
        </w:rPr>
        <w:t>Accounting Methods and Financial Records</w:t>
      </w:r>
      <w:r>
        <w:rPr>
          <w:rFonts w:ascii="Times New Roman" w:hAnsi="Times New Roman"/>
          <w:sz w:val="24"/>
        </w:rPr>
        <w:t xml:space="preserve">. The Borrower will, and will cause each of its Subsidiaries on a consolidated and consolidating basis to, maintain a system of accounting established and administered in accordance with generally accepted accounting principles, keep adequate records and books of account in which complete entries will be made in accordance with generally accepted accounting principles and reflecting all transactions required to be reflected by generally accepted accounting principles, and keep accurate and complete records of their respective properties and assets. </w:t>
      </w:r>
    </w:p>
    <w:p>
      <w:pPr>
        <w:pStyle w:val="TextBody"/>
        <w:bidi w:val="0"/>
        <w:spacing w:before="240" w:after="0"/>
        <w:jc w:val="both"/>
        <w:rPr>
          <w:rFonts w:ascii="Times New Roman" w:hAnsi="Times New Roman"/>
          <w:sz w:val="24"/>
        </w:rPr>
      </w:pPr>
      <w:r>
        <w:rPr>
          <w:rFonts w:ascii="Times New Roman" w:hAnsi="Times New Roman"/>
          <w:sz w:val="24"/>
        </w:rPr>
        <w:t>Section 5.5 </w:t>
      </w:r>
      <w:r>
        <w:rPr>
          <w:rFonts w:ascii="Times New Roman" w:hAnsi="Times New Roman"/>
          <w:sz w:val="24"/>
          <w:u w:val="single"/>
        </w:rPr>
        <w:t>Insurance</w:t>
      </w:r>
      <w:r>
        <w:rPr>
          <w:rFonts w:ascii="Times New Roman" w:hAnsi="Times New Roman"/>
          <w:sz w:val="24"/>
        </w:rPr>
        <w:t xml:space="preserve">. The Borrower will, and will cause each Material Subsidiary to, maintain insurance (including self-insurance) with respect to its properties and business that are material to the conduct of the business of the Borrower and its Subsidiaries on a consolidated basis from responsible companies in such amounts and against such risks as are customary for companies engaged in the same or similar business, with all premiums thereon to be paid by the Borrower and the Material Subsidiaries. </w:t>
      </w:r>
    </w:p>
    <w:p>
      <w:pPr>
        <w:pStyle w:val="TextBody"/>
        <w:bidi w:val="0"/>
        <w:spacing w:before="240" w:after="0"/>
        <w:jc w:val="both"/>
        <w:rPr>
          <w:rFonts w:ascii="Times New Roman" w:hAnsi="Times New Roman"/>
          <w:sz w:val="24"/>
        </w:rPr>
      </w:pPr>
      <w:r>
        <w:rPr>
          <w:rFonts w:ascii="Times New Roman" w:hAnsi="Times New Roman"/>
          <w:sz w:val="24"/>
        </w:rPr>
        <w:t>Section 5.6 </w:t>
      </w:r>
      <w:r>
        <w:rPr>
          <w:rFonts w:ascii="Times New Roman" w:hAnsi="Times New Roman"/>
          <w:sz w:val="24"/>
          <w:u w:val="single"/>
        </w:rPr>
        <w:t>Payment of Taxes and Claims</w:t>
      </w:r>
      <w:r>
        <w:rPr>
          <w:rFonts w:ascii="Times New Roman" w:hAnsi="Times New Roman"/>
          <w:sz w:val="24"/>
        </w:rPr>
        <w:t xml:space="preserve">. The Borrower will, and will cause each of its Subsidiaries to, pay and discharge all Federal income, other material Federal and material state and other material taxes required to be paid by them or imposed upon them or their income or profits or upon any properties belonging to them, prior to the date on which penalties attach thereto, which, if unpaid, might become a Lien or charge upon any of their properties (other than Liens permitted pursuant to Section 7.2 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such tax, assessment, charge, levy or claim need be paid which is being diligently contested in good faith by appropriate proceedings and for which adequate reserves in accordance with GAAP shall have been set aside on the appropriate books or where the failure to pay would not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5.7 </w:t>
      </w:r>
      <w:r>
        <w:rPr>
          <w:rFonts w:ascii="Times New Roman" w:hAnsi="Times New Roman"/>
          <w:sz w:val="24"/>
          <w:u w:val="single"/>
        </w:rPr>
        <w:t>Visits and Inspections</w:t>
      </w:r>
      <w:r>
        <w:rPr>
          <w:rFonts w:ascii="Times New Roman" w:hAnsi="Times New Roman"/>
          <w:sz w:val="24"/>
        </w:rPr>
        <w:t xml:space="preserve">. The Borrower will, and will cause each Material Subsidiary to, permit representatives of the Administrative Agent and any of the Lenders, upon reasonable notice, to (a) visit and inspect the properties of the Borrower or any Material Subsidiary during business hours, (b) inspect and make extracts from and copies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books and records, and (c) discuss with their respective principal officers and accountants (with representatives of the Borrower participating in such discussions with their accountants) their respective businesses, assets, liabilities, financial positions, results of operations and business prospects, all at such reasonable times and as often as reasonably requested. </w:t>
      </w:r>
    </w:p>
    <w:p>
      <w:pPr>
        <w:pStyle w:val="TextBody"/>
        <w:bidi w:val="0"/>
        <w:spacing w:before="240" w:after="0"/>
        <w:jc w:val="both"/>
        <w:rPr>
          <w:rFonts w:ascii="Times New Roman" w:hAnsi="Times New Roman"/>
          <w:sz w:val="24"/>
        </w:rPr>
      </w:pPr>
      <w:r>
        <w:rPr>
          <w:rFonts w:ascii="Times New Roman" w:hAnsi="Times New Roman"/>
          <w:sz w:val="24"/>
        </w:rPr>
        <w:t>Section 5.8 </w:t>
      </w:r>
      <w:r>
        <w:rPr>
          <w:rFonts w:ascii="Times New Roman" w:hAnsi="Times New Roman"/>
          <w:sz w:val="24"/>
          <w:u w:val="single"/>
        </w:rPr>
        <w:t>Use of Proceeds</w:t>
      </w:r>
      <w:r>
        <w:rPr>
          <w:rFonts w:ascii="Times New Roman" w:hAnsi="Times New Roman"/>
          <w:sz w:val="24"/>
        </w:rPr>
        <w:t xml:space="preserve">. The Borrower will use the aggregate proceeds of the Advances for working capital needs, to finance acquisitions and other general corporate purposes of the Borrower and its Subsidiaries (including, without limitation, to refinance or repurchase Indebtedness and to purchase issued and outstanding Ownership Interests of the Borrower). </w:t>
      </w:r>
    </w:p>
    <w:p>
      <w:pPr>
        <w:pStyle w:val="TextBody"/>
        <w:bidi w:val="0"/>
        <w:spacing w:before="240" w:after="0"/>
        <w:jc w:val="both"/>
        <w:rPr>
          <w:rFonts w:ascii="Times New Roman" w:hAnsi="Times New Roman"/>
          <w:sz w:val="24"/>
        </w:rPr>
      </w:pPr>
      <w:r>
        <w:rPr>
          <w:rFonts w:ascii="Times New Roman" w:hAnsi="Times New Roman"/>
          <w:sz w:val="24"/>
        </w:rPr>
        <w:t>Section 5.9 </w:t>
      </w:r>
      <w:r>
        <w:rPr>
          <w:rFonts w:ascii="Times New Roman" w:hAnsi="Times New Roman"/>
          <w:sz w:val="24"/>
          <w:u w:val="single"/>
        </w:rPr>
        <w:t>Maintenance of REIT Status</w:t>
      </w:r>
      <w:r>
        <w:rPr>
          <w:rFonts w:ascii="Times New Roman" w:hAnsi="Times New Roman"/>
          <w:sz w:val="24"/>
        </w:rPr>
        <w:t xml:space="preserve">. The Borrower will, at all times, conduct its affairs in a manner so as to continue to qualify as a REIT and elect to be treated as a REIT under all Applicable Laws, rules and regulations until such time as the board of directors of the Borrower deems it in the best interests of the Borrower and its stockholders not to remain qualified as a REIT. </w:t>
      </w:r>
    </w:p>
    <w:p>
      <w:pPr>
        <w:pStyle w:val="TextBody"/>
        <w:bidi w:val="0"/>
        <w:spacing w:before="240" w:after="0"/>
        <w:jc w:val="both"/>
        <w:rPr>
          <w:rFonts w:ascii="Times New Roman" w:hAnsi="Times New Roman"/>
          <w:sz w:val="24"/>
        </w:rPr>
      </w:pPr>
      <w:r>
        <w:rPr>
          <w:rFonts w:ascii="Times New Roman" w:hAnsi="Times New Roman"/>
          <w:sz w:val="24"/>
        </w:rPr>
        <w:t>Section 5.10 </w:t>
      </w:r>
      <w:r>
        <w:rPr>
          <w:rFonts w:ascii="Times New Roman" w:hAnsi="Times New Roman"/>
          <w:sz w:val="24"/>
          <w:u w:val="single"/>
        </w:rPr>
        <w:t>Senior Credit Facilities</w:t>
      </w:r>
      <w:r>
        <w:rPr>
          <w:rFonts w:ascii="Times New Roman" w:hAnsi="Times New Roman"/>
          <w:sz w:val="24"/>
        </w:rPr>
        <w:t>. If the provisions of Articles 7 (Negative Covenants) and/or 8 (Default) (and the definitions of defined terms used therein) of any of the Existing Credit Agreements are proposed to be amended or otherwise modified in a manner that is more restrictive from the Borrower’s perspective (a “</w:t>
      </w:r>
      <w:r>
        <w:rPr>
          <w:rFonts w:ascii="Times New Roman" w:hAnsi="Times New Roman"/>
          <w:sz w:val="24"/>
          <w:u w:val="single"/>
        </w:rPr>
        <w:t>Restrictive Change</w:t>
      </w:r>
      <w:r>
        <w:rPr>
          <w:rFonts w:ascii="Times New Roman" w:hAnsi="Times New Roman"/>
          <w:sz w:val="24"/>
        </w:rPr>
        <w:t xml:space="preserve">”), the Borrower covenants and agrees that it shall (a) provide the Lenders with written notice describing such proposed Restrictive Change promptly and in any event prior to the effectiveness of such Restrictive Change, and (b) upon fifteen (15) Business Days prior written notice from the Majority Lenders requesting that such Restrictive Change be effected with respect to this Agreement, take such steps as are necessary to effect a Restrictive Change with respect to this Agreement that is acceptable to the Majority Lenders and the Borrower; </w:t>
      </w:r>
      <w:r>
        <w:rPr>
          <w:rFonts w:ascii="Times New Roman" w:hAnsi="Times New Roman"/>
          <w:sz w:val="24"/>
          <w:u w:val="single"/>
        </w:rPr>
        <w:t>provided</w:t>
      </w:r>
      <w:r>
        <w:rPr>
          <w:rFonts w:ascii="Times New Roman" w:hAnsi="Times New Roman"/>
          <w:sz w:val="24"/>
        </w:rPr>
        <w:t xml:space="preserve">, that, in the event the Borrower fails to effect such equivalent Restrictive Change within such fifteen (15) Business Day period, then, such Restrictive Change to such Existing Credit Agreement shall automatically be applied to this Agreement;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(i) no default or event of default would occur solely by reason of such amendment to this Agreement or any other debt agreement of the Borrower, and (ii) such Restrictive Change shall not be made if doing so would cause the Borrower to fail to maintain, or prevent it from being able to elect, REIT status. Notwithstanding the foregoing, any such Restrictive Change made to this Agreement hereunder shall remain in effect until such time as the applicable Existing Credit Agreement has matured or otherwise been terminated, at which point, unless the Borrower’s Debt Ratings (or their related outlooks) have declined since the date this Agreement was executed, the Administrative Agent, Lenders and the Borrower will take such steps as are necessary to amend this Agreement to remove entirely any such amendments made under this Section 5.10 to this Agreement; provided, however, that in the event that (A) the applicable Existing Credit Agreement has matured or otherwise been terminated, and (B) the Borrower’s Debt Ratings (or their related outlooks) have declined since the date this Agreement was executed, the Administrative Agent, the Lenders and the Borrower shall negotiate in good faith to modify such Restrictive Change with respect to its application for the remainder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6 - INFORMATION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the Borrower will furnish or cause to be furnished to the Administrative Agent (with the Administrative Agent to make the same available to the Lenders) at its office: </w:t>
      </w:r>
    </w:p>
    <w:p>
      <w:pPr>
        <w:pStyle w:val="TextBody"/>
        <w:bidi w:val="0"/>
        <w:spacing w:before="240" w:after="0"/>
        <w:jc w:val="both"/>
        <w:rPr>
          <w:rFonts w:ascii="Times New Roman" w:hAnsi="Times New Roman"/>
          <w:sz w:val="24"/>
        </w:rPr>
      </w:pPr>
      <w:r>
        <w:rPr>
          <w:rFonts w:ascii="Times New Roman" w:hAnsi="Times New Roman"/>
          <w:sz w:val="24"/>
        </w:rPr>
        <w:t>Section 6.1 </w:t>
      </w:r>
      <w:r>
        <w:rPr>
          <w:rFonts w:ascii="Times New Roman" w:hAnsi="Times New Roman"/>
          <w:sz w:val="24"/>
          <w:u w:val="single"/>
        </w:rPr>
        <w:t>Quarterly Financial Statements and Information</w:t>
      </w:r>
      <w:r>
        <w:rPr>
          <w:rFonts w:ascii="Times New Roman" w:hAnsi="Times New Roman"/>
          <w:sz w:val="24"/>
        </w:rPr>
        <w:t xml:space="preserve">. Within forty -five (45) days after the last day of each of the first three (3) quarters of each fiscal year of the Borrower, the consolidated balance sheet of the Borrower and its Subsidiaries at the end of such quarter and as of the end of the preceding fiscal year, and the related consolidated statement of operations and the related consolidated statement of cash flows of the Borrower and its Subsidiaries for such quarter and for the elapsed portion of the year ended with the last day of such quarter, which shall set forth in comparative form such figures as at the end of and for such quarter and appropriate prior period and shall be certified by the chief financial officer of the Borrower to have been prepared in accordance with generally accepted accounting principles and to present fairly in all material respects the consolidated financial position of the Borrower and its Subsidiaries as at the end of such period and the results of operations for such period, and for the elapsed portion of the year ended with the last day of such period, subject only to normal year -end and audit adjustments; </w:t>
      </w:r>
      <w:r>
        <w:rPr>
          <w:rFonts w:ascii="Times New Roman" w:hAnsi="Times New Roman"/>
          <w:sz w:val="24"/>
          <w:u w:val="single"/>
        </w:rPr>
        <w:t>provided</w:t>
      </w:r>
      <w:r>
        <w:rPr>
          <w:rFonts w:ascii="Times New Roman" w:hAnsi="Times New Roman"/>
          <w:sz w:val="24"/>
        </w:rPr>
        <w:t>, that in the event of any change in generally accepted accounting principles used in the preparation of such financial statements, the Borrower shall also provide, if necessary for the determination of compliance with Section</w:t>
      </w:r>
      <w:r>
        <w:rPr>
          <w:rFonts w:ascii="Times New Roman" w:hAnsi="Times New Roman"/>
          <w:strike/>
          <w:color w:val="FF0000"/>
          <w:sz w:val="24"/>
        </w:rPr>
        <w:t xml:space="preserve"> 7.5 and </w:t>
      </w:r>
      <w:r>
        <w:rPr>
          <w:rFonts w:ascii="Times New Roman" w:hAnsi="Times New Roman"/>
          <w:sz w:val="24"/>
        </w:rPr>
        <w:t xml:space="preserve">7.6, a statement of reconciliation conforming such financial statements to GAAP; </w:t>
      </w:r>
      <w:r>
        <w:rPr>
          <w:rFonts w:ascii="Times New Roman" w:hAnsi="Times New Roman"/>
          <w:sz w:val="24"/>
          <w:u w:val="single"/>
        </w:rPr>
        <w:t>provided</w:t>
      </w:r>
      <w:r>
        <w:rPr>
          <w:rFonts w:ascii="Times New Roman" w:hAnsi="Times New Roman"/>
          <w:sz w:val="24"/>
        </w:rPr>
        <w:t xml:space="preserve">, further, that notwithstanding anything to the contrary in this Section 6.1, no financial statements delivered pursuant to this Section 6.1 shall be required to include footnotes. </w:t>
      </w:r>
    </w:p>
    <w:p>
      <w:pPr>
        <w:pStyle w:val="TextBody"/>
        <w:bidi w:val="0"/>
        <w:spacing w:before="240" w:after="0"/>
        <w:jc w:val="both"/>
        <w:rPr>
          <w:rFonts w:ascii="Times New Roman" w:hAnsi="Times New Roman"/>
          <w:sz w:val="24"/>
        </w:rPr>
      </w:pPr>
      <w:r>
        <w:rPr>
          <w:rFonts w:ascii="Times New Roman" w:hAnsi="Times New Roman"/>
          <w:sz w:val="24"/>
        </w:rPr>
        <w:t>Section 6.2 </w:t>
      </w:r>
      <w:r>
        <w:rPr>
          <w:rFonts w:ascii="Times New Roman" w:hAnsi="Times New Roman"/>
          <w:sz w:val="24"/>
          <w:u w:val="single"/>
        </w:rPr>
        <w:t>Annual Financial Statements and Information</w:t>
      </w:r>
      <w:r>
        <w:rPr>
          <w:rFonts w:ascii="Times New Roman" w:hAnsi="Times New Roman"/>
          <w:sz w:val="24"/>
        </w:rPr>
        <w:t xml:space="preserve">. As soon as available, but in any event not later than the earlier of (a) the date such deliverables are required (if at all) by the Securities and Exchange Commission and (b) one hundred twenty (120) days after the end of each fiscal year of the Borrower, the audited consolidated balance sheet of the Borrower and its Subsidiaries as of the end of such fiscal year and the related audited consolidated statement of operations for such fiscal year and for the previous fiscal year, the related audited consolidated statements of cash flow and stockholders’ equity for such fiscal year and for the previous fiscal year, which shall be accompanied by an opinion of Deloitte &amp; Touche, LLP, or other independent certified public accountants of recognized national standing reasonably acceptable to the Administrative Agent, together with a statement of such accountants (unless the giving of such statement is contrary to accounting practice for the continuing independence of such accountant) that in connection with their audit, nothing came to their attention that caused them to believe that the Borrower was not in compliance with Sections </w:t>
      </w:r>
      <w:r>
        <w:rPr>
          <w:rFonts w:ascii="Times New Roman" w:hAnsi="Times New Roman"/>
          <w:strike/>
          <w:color w:val="FF0000"/>
          <w:sz w:val="24"/>
        </w:rPr>
        <w:t xml:space="preserve">7.5 and </w:t>
      </w:r>
      <w:r>
        <w:rPr>
          <w:rFonts w:ascii="Times New Roman" w:hAnsi="Times New Roman"/>
          <w:sz w:val="24"/>
        </w:rPr>
        <w:t xml:space="preserve">7.6 hereof insofar as they relate to accounting matters; </w:t>
      </w:r>
      <w:r>
        <w:rPr>
          <w:rFonts w:ascii="Times New Roman" w:hAnsi="Times New Roman"/>
          <w:sz w:val="24"/>
          <w:u w:val="single"/>
        </w:rPr>
        <w:t>provided</w:t>
      </w:r>
      <w:r>
        <w:rPr>
          <w:rFonts w:ascii="Times New Roman" w:hAnsi="Times New Roman"/>
          <w:sz w:val="24"/>
        </w:rPr>
        <w:t xml:space="preserve"> that in the event of any change in generally accepted accounting principles used in the preparation of such financial statements, the Borrower shall also provide, if necessary for the determination of compliance with Section</w:t>
      </w:r>
      <w:r>
        <w:rPr>
          <w:rFonts w:ascii="Times New Roman" w:hAnsi="Times New Roman"/>
          <w:strike/>
          <w:color w:val="FF0000"/>
          <w:sz w:val="24"/>
        </w:rPr>
        <w:t xml:space="preserve"> 7.5 and </w:t>
      </w:r>
      <w:r>
        <w:rPr>
          <w:rFonts w:ascii="Times New Roman" w:hAnsi="Times New Roman"/>
          <w:sz w:val="24"/>
        </w:rPr>
        <w:t xml:space="preserve">7.6, a statement of reconciliation conforming such financial statements to GAAP. </w:t>
      </w:r>
    </w:p>
    <w:p>
      <w:pPr>
        <w:pStyle w:val="TextBody"/>
        <w:bidi w:val="0"/>
        <w:spacing w:before="240" w:after="0"/>
        <w:jc w:val="both"/>
        <w:rPr>
          <w:rFonts w:ascii="Times New Roman" w:hAnsi="Times New Roman"/>
          <w:sz w:val="24"/>
        </w:rPr>
      </w:pPr>
      <w:r>
        <w:rPr>
          <w:rFonts w:ascii="Times New Roman" w:hAnsi="Times New Roman"/>
          <w:sz w:val="24"/>
        </w:rPr>
        <w:t>Section 6.3 </w:t>
      </w:r>
      <w:r>
        <w:rPr>
          <w:rFonts w:ascii="Times New Roman" w:hAnsi="Times New Roman"/>
          <w:sz w:val="24"/>
          <w:u w:val="single"/>
        </w:rPr>
        <w:t>Performance Certificates</w:t>
      </w:r>
      <w:r>
        <w:rPr>
          <w:rFonts w:ascii="Times New Roman" w:hAnsi="Times New Roman"/>
          <w:sz w:val="24"/>
        </w:rPr>
        <w:t xml:space="preserve">. At the time the financial statements are furnished pursuant to Sections 6.1 and 6.2 hereof, a certificate of the president, chief financial officer or treasurer of the Borrower as to the financial performance of the Borrower and its Subsidiaries on a consolidated basis, in substantially the form attached hereto as </w:t>
      </w:r>
      <w:r>
        <w:rPr>
          <w:rFonts w:ascii="Times New Roman" w:hAnsi="Times New Roman"/>
          <w:sz w:val="24"/>
          <w:u w:val="single"/>
        </w:rPr>
        <w:t>Exhibit E</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(a) setting forth as and at the end of such quarterly period or fiscal year, as the case may be, the arithmetical calculations required to establish whether or not the Borrower was in compliance with Sections </w:t>
      </w:r>
      <w:r>
        <w:rPr>
          <w:rFonts w:ascii="Times New Roman" w:hAnsi="Times New Roman"/>
          <w:strike/>
          <w:color w:val="FF0000"/>
          <w:sz w:val="24"/>
        </w:rPr>
        <w:t xml:space="preserve">7.5 and </w:t>
      </w:r>
      <w:r>
        <w:rPr>
          <w:rFonts w:ascii="Times New Roman" w:hAnsi="Times New Roman"/>
          <w:sz w:val="24"/>
        </w:rPr>
        <w:t xml:space="preserve">7.6 hereof; and </w:t>
      </w:r>
    </w:p>
    <w:p>
      <w:pPr>
        <w:pStyle w:val="TextBody"/>
        <w:bidi w:val="0"/>
        <w:spacing w:before="240" w:after="0"/>
        <w:jc w:val="both"/>
        <w:rPr>
          <w:rFonts w:ascii="Times New Roman" w:hAnsi="Times New Roman"/>
          <w:sz w:val="24"/>
        </w:rPr>
      </w:pPr>
      <w:r>
        <w:rPr>
          <w:rFonts w:ascii="Times New Roman" w:hAnsi="Times New Roman"/>
          <w:sz w:val="24"/>
        </w:rPr>
        <w:t xml:space="preserve">(b) stating that, to the best of his or her knowledge, no Default has occurred and is continuing as at the end of such quarterly period or year, as the case may be, or, if a Default has occurred, disclosing each such Default and its nature, when it occurred, whether it is continuing and the steps being taken by the Borrower with respect to such Default. </w:t>
      </w:r>
    </w:p>
    <w:p>
      <w:pPr>
        <w:pStyle w:val="TextBody"/>
        <w:bidi w:val="0"/>
        <w:spacing w:before="240" w:after="0"/>
        <w:jc w:val="both"/>
        <w:rPr>
          <w:rFonts w:ascii="Times New Roman" w:hAnsi="Times New Roman"/>
          <w:sz w:val="24"/>
        </w:rPr>
      </w:pPr>
      <w:r>
        <w:rPr>
          <w:rFonts w:ascii="Times New Roman" w:hAnsi="Times New Roman"/>
          <w:sz w:val="24"/>
        </w:rPr>
        <w:t>Section 6.4 </w:t>
      </w:r>
      <w:r>
        <w:rPr>
          <w:rFonts w:ascii="Times New Roman" w:hAnsi="Times New Roman"/>
          <w:sz w:val="24"/>
          <w:u w:val="single"/>
        </w:rPr>
        <w:t>Copies of Other Reports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(a) Promptly upon receipt thereof, copies of the management letter prepared in connection with the annual audit referred to in Section 6.2 hereof. </w:t>
      </w:r>
    </w:p>
    <w:p>
      <w:pPr>
        <w:pStyle w:val="TextBody"/>
        <w:bidi w:val="0"/>
        <w:spacing w:before="240" w:after="0"/>
        <w:jc w:val="both"/>
        <w:rPr>
          <w:rFonts w:ascii="Times New Roman" w:hAnsi="Times New Roman"/>
          <w:sz w:val="24"/>
        </w:rPr>
      </w:pPr>
      <w:r>
        <w:rPr>
          <w:rFonts w:ascii="Times New Roman" w:hAnsi="Times New Roman"/>
          <w:sz w:val="24"/>
        </w:rPr>
        <w:t xml:space="preserve">(b) Promptly upon receipt thereof, copies of any adverse notice or report regarding any License that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(c) From time to time and promptly upon each request, such data, certificates, reports, statements, documents or further information regarding the business, assets, liabilities, financial position, projections, results of operations or business prospects of the Borrower and its Subsidiaries, as the Administrative Agent or any Lender may reasonably request. </w:t>
      </w:r>
    </w:p>
    <w:p>
      <w:pPr>
        <w:pStyle w:val="TextBody"/>
        <w:bidi w:val="0"/>
        <w:spacing w:before="240" w:after="0"/>
        <w:jc w:val="both"/>
        <w:rPr>
          <w:rFonts w:ascii="Times New Roman" w:hAnsi="Times New Roman"/>
          <w:sz w:val="24"/>
        </w:rPr>
      </w:pPr>
      <w:r>
        <w:rPr>
          <w:rFonts w:ascii="Times New Roman" w:hAnsi="Times New Roman"/>
          <w:sz w:val="24"/>
        </w:rPr>
        <w:t xml:space="preserve">(d) Promptly after the sending thereof, copies of all statements, reports and other information which the Borrower sends to public security holders of the Borrower generally or publicly files with the Securities and Exchange Commission, but solely in the event that any such statement, report or information has not been made publicly available by the Securities and Exchange Commission on the EDGAR or similar system or by the Borrower on its internet website. </w:t>
      </w:r>
    </w:p>
    <w:p>
      <w:pPr>
        <w:pStyle w:val="TextBody"/>
        <w:bidi w:val="0"/>
        <w:spacing w:before="240" w:after="0"/>
        <w:jc w:val="both"/>
        <w:rPr>
          <w:rFonts w:ascii="Times New Roman" w:hAnsi="Times New Roman"/>
          <w:sz w:val="24"/>
        </w:rPr>
      </w:pPr>
      <w:r>
        <w:rPr>
          <w:rFonts w:ascii="Times New Roman" w:hAnsi="Times New Roman"/>
          <w:sz w:val="24"/>
        </w:rPr>
        <w:t>Section 6.5 </w:t>
      </w:r>
      <w:r>
        <w:rPr>
          <w:rFonts w:ascii="Times New Roman" w:hAnsi="Times New Roman"/>
          <w:sz w:val="24"/>
          <w:u w:val="single"/>
        </w:rPr>
        <w:t>Notice of Litigation and Other Matters</w:t>
      </w:r>
      <w:r>
        <w:rPr>
          <w:rFonts w:ascii="Times New Roman" w:hAnsi="Times New Roman"/>
          <w:sz w:val="24"/>
        </w:rPr>
        <w:t xml:space="preserve">. Unless previously disclosed in the public filings of the Borrower with the Securities and Exchange Commission, notice specifying the nature and status of any of the following events, promptly, but in any event not later than fifteen (15) days after the occurrence of any of the following events becomes known to the Borrower: </w:t>
      </w:r>
    </w:p>
    <w:p>
      <w:pPr>
        <w:pStyle w:val="TextBody"/>
        <w:bidi w:val="0"/>
        <w:spacing w:before="240" w:after="0"/>
        <w:jc w:val="both"/>
        <w:rPr>
          <w:rFonts w:ascii="Times New Roman" w:hAnsi="Times New Roman"/>
          <w:sz w:val="24"/>
        </w:rPr>
      </w:pPr>
      <w:r>
        <w:rPr>
          <w:rFonts w:ascii="Times New Roman" w:hAnsi="Times New Roman"/>
          <w:sz w:val="24"/>
        </w:rPr>
        <w:t xml:space="preserve">(a) the commencement of all proceedings and investigations by or before any governmental body and all actions and proceedings in any court or before any arbitrator against the Borrower or any of its Subsidiaries or, to the extent known to the Borrower, threatened in writing against the Borrower or any of its Subsidiaries, which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 xml:space="preserve">(b) any material adverse change with respect to the business, assets, liabilities, financial position, results of operations or business prospects of the Borrower and its Subsidiaries, taken as a whole, other than changes which have not had and would not reasonably be expected to have a Materially Adverse Effect and other than changes in the industry in which the Borrower or any of its Subsidiaries operates or the economy or business conditions in general;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(c) any Default, giving a description thereof and specifying the action proposed to be taken with respect thereto; and </w:t>
      </w:r>
    </w:p>
    <w:p>
      <w:pPr>
        <w:pStyle w:val="TextBody"/>
        <w:bidi w:val="0"/>
        <w:spacing w:before="240" w:after="0"/>
        <w:jc w:val="both"/>
        <w:rPr>
          <w:rFonts w:ascii="Times New Roman" w:hAnsi="Times New Roman"/>
          <w:sz w:val="24"/>
        </w:rPr>
      </w:pPr>
      <w:r>
        <w:rPr>
          <w:rFonts w:ascii="Times New Roman" w:hAnsi="Times New Roman"/>
          <w:sz w:val="24"/>
        </w:rPr>
        <w:t xml:space="preserve">(d) the commencement or threatened commencement of any litigation regarding any Plan or naming it or the trustee of any such Plan with respect to such Plan or any action taken by the Borrower or any of its Subsidiaries or any ERISA Affiliate of the Borrower to withdraw or partially withdraw from any Plan or to terminate any Plan, that in each case would reasonably be expected to have a Materially Adverse Effect. </w:t>
      </w:r>
    </w:p>
    <w:p>
      <w:pPr>
        <w:pStyle w:val="TextBody"/>
        <w:bidi w:val="0"/>
        <w:spacing w:before="240" w:after="0"/>
        <w:jc w:val="both"/>
        <w:rPr>
          <w:rFonts w:ascii="Times New Roman" w:hAnsi="Times New Roman"/>
          <w:sz w:val="24"/>
        </w:rPr>
      </w:pPr>
      <w:r>
        <w:rPr>
          <w:rFonts w:ascii="Times New Roman" w:hAnsi="Times New Roman"/>
          <w:sz w:val="24"/>
        </w:rPr>
        <w:t>Section 6.6 </w:t>
      </w:r>
      <w:r>
        <w:rPr>
          <w:rFonts w:ascii="Times New Roman" w:hAnsi="Times New Roman"/>
          <w:sz w:val="24"/>
          <w:u w:val="single"/>
        </w:rPr>
        <w:t>Certain Electronic Delivery; Public Information</w:t>
      </w:r>
      <w:r>
        <w:rPr>
          <w:rFonts w:ascii="Times New Roman" w:hAnsi="Times New Roman"/>
          <w:sz w:val="24"/>
        </w:rPr>
        <w:t xml:space="preserve">. Documents required to be delivered pursuant to this </w:t>
      </w:r>
      <w:r>
        <w:rPr>
          <w:rFonts w:ascii="Times New Roman" w:hAnsi="Times New Roman"/>
          <w:sz w:val="24"/>
          <w:u w:val="single"/>
        </w:rPr>
        <w:t>Section 6</w:t>
      </w:r>
      <w:r>
        <w:rPr>
          <w:rFonts w:ascii="Times New Roman" w:hAnsi="Times New Roman"/>
          <w:sz w:val="24"/>
        </w:rPr>
        <w:t xml:space="preserve"> (to the extent any such documents are included in materials otherwise filed with the Securities and Exchange Commission)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hAnsi="Times New Roman"/>
          <w:sz w:val="24"/>
          <w:u w:val="single"/>
        </w:rPr>
        <w:t>Schedule 4</w:t>
      </w:r>
      <w:r>
        <w:rPr>
          <w:rFonts w:ascii="Times New Roman" w:hAnsi="Times New Roman"/>
          <w:sz w:val="24"/>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hAnsi="Times New Roman"/>
          <w:sz w:val="24"/>
          <w:u w:val="single"/>
        </w:rPr>
        <w:t>provided</w:t>
      </w:r>
      <w:r>
        <w:rPr>
          <w:rFonts w:ascii="Times New Roman" w:hAnsi="Times New Roman"/>
          <w:sz w:val="24"/>
        </w:rPr>
        <w:t xml:space="preserve"> that the Administrative Agent shall receive notice (by telecopier or electronic mail) of the posting of any such documents and shall be provided access (by electronic mail) to electronic versions (</w:t>
      </w:r>
      <w:r>
        <w:rPr>
          <w:rFonts w:ascii="Times New Roman" w:hAnsi="Times New Roman"/>
          <w:sz w:val="24"/>
          <w:u w:val="single"/>
        </w:rPr>
        <w:t>i.e.</w:t>
      </w:r>
      <w:r>
        <w:rPr>
          <w:rFonts w:ascii="Times New Roman" w:hAnsi="Times New Roman"/>
          <w:sz w:val="24"/>
        </w:rPr>
        <w:t xml:space="preserve">, soft copies) of such documents. </w:t>
      </w:r>
    </w:p>
    <w:p>
      <w:pPr>
        <w:pStyle w:val="TextBody"/>
        <w:bidi w:val="0"/>
        <w:spacing w:before="240" w:after="0"/>
        <w:jc w:val="both"/>
        <w:rPr>
          <w:rFonts w:ascii="Times New Roman" w:hAnsi="Times New Roman"/>
          <w:sz w:val="24"/>
        </w:rPr>
      </w:pPr>
      <w:r>
        <w:rPr>
          <w:rFonts w:ascii="Times New Roman" w:hAnsi="Times New Roman"/>
          <w:sz w:val="24"/>
        </w:rPr>
        <w:t>The Borrower hereby acknowledges that (a) the Administrative Agent will make available to the Lenders materials and/or information provided by or on behalf of the Borrower hereunder (collectively, the “</w:t>
      </w:r>
      <w:r>
        <w:rPr>
          <w:rFonts w:ascii="Times New Roman" w:hAnsi="Times New Roman"/>
          <w:sz w:val="24"/>
          <w:u w:val="single"/>
        </w:rPr>
        <w:t>Borrower Materials</w:t>
      </w:r>
      <w:r>
        <w:rPr>
          <w:rFonts w:ascii="Times New Roman" w:hAnsi="Times New Roman"/>
          <w:sz w:val="24"/>
        </w:rPr>
        <w:t>”) by posting the Borrower Materials on IntraLinks or another similar electronic system (the “</w:t>
      </w:r>
      <w:r>
        <w:rPr>
          <w:rFonts w:ascii="Times New Roman" w:hAnsi="Times New Roman"/>
          <w:sz w:val="24"/>
          <w:u w:val="single"/>
        </w:rPr>
        <w:t>Platform</w:t>
      </w:r>
      <w:r>
        <w:rPr>
          <w:rFonts w:ascii="Times New Roman" w:hAnsi="Times New Roman"/>
          <w:sz w:val="24"/>
        </w:rPr>
        <w:t>”) and (b) certain of the Lenders (each, a “</w:t>
      </w:r>
      <w:r>
        <w:rPr>
          <w:rFonts w:ascii="Times New Roman" w:hAnsi="Times New Roman"/>
          <w:sz w:val="24"/>
          <w:u w:val="single"/>
        </w:rPr>
        <w:t>Public Lender</w:t>
      </w:r>
      <w:r>
        <w:rPr>
          <w:rFonts w:ascii="Times New Roman" w:hAnsi="Times New Roman"/>
          <w:sz w:val="24"/>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and the Lenders to treat such Borrower Materials as not containing any material non-public information with respect to the Borrower or its securities for purposes of United States federal and state securities laws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to the extent such Borrower Materials constitute confidential information, they shall be treated as set forth in Section</w:t>
      </w:r>
      <w:r>
        <w:rPr>
          <w:rFonts w:ascii="Times New Roman" w:hAnsi="Times New Roman"/>
          <w:sz w:val="24"/>
          <w:u w:val="single"/>
        </w:rPr>
        <w:t> 11.18</w:t>
      </w:r>
      <w:r>
        <w:rPr>
          <w:rFonts w:ascii="Times New Roman" w:hAnsi="Times New Roman"/>
          <w:sz w:val="24"/>
        </w:rPr>
        <w:t xml:space="preserve">);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marked as “Public Investor.” Notwithstanding the foregoing, (1) the Borrower shall be under no obligation to mark any Borrower Materials “PUBLIC” and (2) the following Borrower Materials shall be marked “PUBLIC”, unless the Borrower notifies the Administrative Agent promptly that any such document contains material non-public information: (1) the Loan Documents and (2) notification of changes in the terms of the Loans.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 </w:t>
      </w:r>
    </w:p>
    <w:p>
      <w:pPr>
        <w:pStyle w:val="TextBody"/>
        <w:bidi w:val="0"/>
        <w:spacing w:before="240" w:after="0"/>
        <w:jc w:val="both"/>
        <w:rPr>
          <w:rFonts w:ascii="Times New Roman" w:hAnsi="Times New Roman"/>
          <w:sz w:val="24"/>
        </w:rPr>
      </w:pPr>
      <w:r>
        <w:rPr>
          <w:rFonts w:ascii="Times New Roman" w:hAnsi="Times New Roman"/>
          <w:sz w:val="24"/>
        </w:rPr>
        <w:t>Section 6.7 </w:t>
      </w:r>
      <w:r>
        <w:rPr>
          <w:rFonts w:ascii="Times New Roman" w:hAnsi="Times New Roman"/>
          <w:sz w:val="24"/>
          <w:u w:val="single"/>
        </w:rPr>
        <w:t>Know Your Customer Information</w:t>
      </w:r>
      <w:r>
        <w:rPr>
          <w:rFonts w:ascii="Times New Roman" w:hAnsi="Times New Roman"/>
          <w:sz w:val="24"/>
        </w:rPr>
        <w:t xml:space="preserve">. Upon a merger or consolidation pursuant to Section 7.3(b), the Borrower or the surviving corporation into which the Borrower is merged or consolidated shall deliver for the benefit of the Lenders and the Administrative Agent, such other documents as may reasonably be requested in connection with such merger or consolidation, including, without limitation, information in respect of “know your customer” and similar requirements, an incumbency certificate and an opinion of nationally recognized independent counsel, or other independent counsel reasonably satisfactory to the Majority Lenders, to the effect that all agreements or instruments effecting the assumption of the Obligations of the Borrower under the Notes, this Agreement and the other Loan Documents pursuant to the terms of Section 7.3(b) are enforceable in accordance with their terms and comply with the terms hereof. </w:t>
      </w:r>
    </w:p>
    <w:p>
      <w:pPr>
        <w:pStyle w:val="TextBody"/>
        <w:bidi w:val="0"/>
        <w:spacing w:before="240" w:after="0"/>
        <w:jc w:val="both"/>
        <w:rPr>
          <w:rFonts w:ascii="Times New Roman" w:hAnsi="Times New Roman"/>
          <w:sz w:val="24"/>
        </w:rPr>
      </w:pPr>
      <w:r>
        <w:rPr>
          <w:rFonts w:ascii="Times New Roman" w:hAnsi="Times New Roman"/>
          <w:sz w:val="24"/>
        </w:rPr>
        <w:t>Section 6.8 </w:t>
      </w:r>
      <w:r>
        <w:rPr>
          <w:rFonts w:ascii="Times New Roman" w:hAnsi="Times New Roman"/>
          <w:sz w:val="24"/>
          <w:u w:val="single"/>
        </w:rPr>
        <w:t>Additional Requested Information</w:t>
      </w:r>
      <w:r>
        <w:rPr>
          <w:rFonts w:ascii="Times New Roman" w:hAnsi="Times New Roman"/>
          <w:sz w:val="24"/>
        </w:rPr>
        <w:t xml:space="preserve">. Promptly upon request, information and documentation reasonably requested by the Administrative Agent or any Lender for purposes of compliance with applicable “know your customer” and anti-money laundering rules and regulations, including the Patriot Act and the Beneficial Ownership Regulation. </w:t>
      </w:r>
    </w:p>
    <w:p>
      <w:pPr>
        <w:pStyle w:val="TextBody"/>
        <w:bidi w:val="0"/>
        <w:spacing w:before="240" w:after="0"/>
        <w:jc w:val="center"/>
        <w:rPr>
          <w:rFonts w:ascii="Times New Roman" w:hAnsi="Times New Roman"/>
          <w:sz w:val="24"/>
        </w:rPr>
      </w:pPr>
      <w:r>
        <w:rPr>
          <w:rFonts w:ascii="Times New Roman" w:hAnsi="Times New Roman"/>
          <w:sz w:val="24"/>
        </w:rPr>
        <w:t xml:space="preserve">ARTICLE 7 - NEGATIVE COVENANTS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Obligations are outstanding and unpaid: </w:t>
      </w:r>
    </w:p>
    <w:p>
      <w:pPr>
        <w:pStyle w:val="TextBody"/>
        <w:bidi w:val="0"/>
        <w:spacing w:before="240" w:after="0"/>
        <w:jc w:val="both"/>
        <w:rPr>
          <w:rFonts w:ascii="Times New Roman" w:hAnsi="Times New Roman"/>
          <w:sz w:val="24"/>
        </w:rPr>
      </w:pPr>
      <w:r>
        <w:rPr>
          <w:rFonts w:ascii="Times New Roman" w:hAnsi="Times New Roman"/>
          <w:sz w:val="24"/>
        </w:rPr>
        <w:t>Section 7.1 </w:t>
      </w:r>
      <w:r>
        <w:rPr>
          <w:rFonts w:ascii="Times New Roman" w:hAnsi="Times New Roman"/>
          <w:sz w:val="24"/>
          <w:u w:val="single"/>
        </w:rPr>
        <w:t xml:space="preserve">Indebtedness; Guaranties of the </w:t>
      </w:r>
      <w:r>
        <w:rPr>
          <w:rFonts w:ascii="Times New Roman" w:hAnsi="Times New Roman"/>
          <w:strike/>
          <w:color w:val="FF0000"/>
          <w:sz w:val="24"/>
        </w:rPr>
        <w:t>Borrower and its</w:t>
      </w:r>
      <w:r>
        <w:rPr>
          <w:rFonts w:ascii="Times New Roman" w:hAnsi="Times New Roman"/>
          <w:color w:val="0000FF"/>
          <w:sz w:val="24"/>
          <w:u w:val="single"/>
          <w:bdr w:val="double" w:sz="2" w:space="1" w:color="000000"/>
        </w:rPr>
        <w:t>Borrower’s</w:t>
      </w:r>
      <w:r>
        <w:rPr>
          <w:rFonts w:ascii="Times New Roman" w:hAnsi="Times New Roman"/>
          <w:sz w:val="24"/>
          <w:u w:val="single"/>
        </w:rPr>
        <w:t xml:space="preserve"> Subsidiaries</w:t>
      </w:r>
      <w:r>
        <w:rPr>
          <w:rFonts w:ascii="Times New Roman" w:hAnsi="Times New Roman"/>
          <w:sz w:val="24"/>
        </w:rPr>
        <w:t xml:space="preserve">. The Borrower </w:t>
      </w:r>
      <w:r>
        <w:rPr>
          <w:rFonts w:ascii="Times New Roman" w:hAnsi="Times New Roman"/>
          <w:strike/>
          <w:color w:val="FF0000"/>
          <w:sz w:val="24"/>
        </w:rPr>
        <w:t xml:space="preserve">shall not, and </w:t>
      </w:r>
      <w:r>
        <w:rPr>
          <w:rFonts w:ascii="Times New Roman" w:hAnsi="Times New Roman"/>
          <w:sz w:val="24"/>
        </w:rPr>
        <w:t xml:space="preserve">shall not permit any of its Subsidiaries to, create, assume, incur or otherwise become or remain obligated in respect of, or permit to be outstanding, any Indebtedness (including, without limitation, any Guaranty) except: </w:t>
      </w:r>
    </w:p>
    <w:p>
      <w:pPr>
        <w:pStyle w:val="TextBody"/>
        <w:bidi w:val="0"/>
        <w:spacing w:before="240" w:after="0"/>
        <w:jc w:val="both"/>
        <w:rPr>
          <w:rFonts w:ascii="Times New Roman" w:hAnsi="Times New Roman"/>
          <w:sz w:val="24"/>
        </w:rPr>
      </w:pPr>
      <w:r>
        <w:rPr>
          <w:rFonts w:ascii="Times New Roman" w:hAnsi="Times New Roman"/>
          <w:sz w:val="24"/>
        </w:rPr>
        <w:t xml:space="preserve">(a) Indebtedness existing on the date hereof and disclosed in the public filings of the Borrower with the Securities and Exchange Commission and any refinancing, extensions, renewals and replacements (including through open market purchases and tender offers) of any such Indebtedness that do not (i) increase the outstanding principal amount and any existing commitments not utilized thereunder, or accreted value thereof (or, in the case of open market purchases and tender offers, exceed the current market value thereof) plus any accrued interest thereon, the amount of any premiums and any costs and expenses incurred to effect such refinancing, extension, renewal or replacement, (ii) result in an earlier maturity date or decrease the weighted average life thereof or (iii) change the direct or any contingent obligor with respect thereto; </w:t>
      </w:r>
    </w:p>
    <w:p>
      <w:pPr>
        <w:pStyle w:val="TextBody"/>
        <w:bidi w:val="0"/>
        <w:spacing w:before="240" w:after="0"/>
        <w:jc w:val="both"/>
        <w:rPr>
          <w:rFonts w:ascii="Times New Roman" w:hAnsi="Times New Roman"/>
          <w:sz w:val="24"/>
        </w:rPr>
      </w:pPr>
      <w:r>
        <w:rPr>
          <w:rFonts w:ascii="Times New Roman" w:hAnsi="Times New Roman"/>
          <w:sz w:val="24"/>
        </w:rPr>
        <w:t xml:space="preserve">(b) Indebtedness owed to the Borrower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(c) Indebtedness existing at the time a Subsidiary of the Borrower (not having previously been a Subsidiary) (i) becomes a Subsidiary of the Borrower or (ii) is merged or consolidated with or into a Subsidiary of the Borrower and any refinancing, extensions, renewals and replacements (including through open market purchases and tender offers) of any such Indebtedness that do not (x) increase the outstanding principal amount, including any existing commitments not utilized thereunder, or accreted value thereof (or, in the case of open market purchases and tender offers, exceed the current market value thereof) plus any accrued interest thereon, the amount of any premiums and any costs and expenses incurred to effect such refinancing, extension, renewal or replacement or (y) result in an earlier maturity date or decrease the weighted average life thereof; </w:t>
      </w:r>
      <w:r>
        <w:rPr>
          <w:rFonts w:ascii="Times New Roman" w:hAnsi="Times New Roman"/>
          <w:sz w:val="24"/>
          <w:u w:val="single"/>
        </w:rPr>
        <w:t>provided</w:t>
      </w:r>
      <w:r>
        <w:rPr>
          <w:rFonts w:ascii="Times New Roman" w:hAnsi="Times New Roman"/>
          <w:sz w:val="24"/>
        </w:rPr>
        <w:t xml:space="preserve"> that such Indebtedness is not created in contemplation of such merger or consolidation; </w:t>
      </w:r>
    </w:p>
    <w:p>
      <w:pPr>
        <w:pStyle w:val="TextBody"/>
        <w:bidi w:val="0"/>
        <w:spacing w:before="240" w:after="0"/>
        <w:jc w:val="both"/>
        <w:rPr>
          <w:rFonts w:ascii="Times New Roman" w:hAnsi="Times New Roman"/>
          <w:sz w:val="24"/>
        </w:rPr>
      </w:pPr>
      <w:r>
        <w:rPr>
          <w:rFonts w:ascii="Times New Roman" w:hAnsi="Times New Roman"/>
          <w:sz w:val="24"/>
        </w:rPr>
        <w:t xml:space="preserve">(d) Indebtedness secured by Permitted Liens; </w:t>
      </w:r>
    </w:p>
    <w:p>
      <w:pPr>
        <w:pStyle w:val="TextBody"/>
        <w:bidi w:val="0"/>
        <w:spacing w:before="240" w:after="0"/>
        <w:jc w:val="both"/>
        <w:rPr>
          <w:rFonts w:ascii="Times New Roman" w:hAnsi="Times New Roman"/>
          <w:sz w:val="24"/>
        </w:rPr>
      </w:pPr>
      <w:r>
        <w:rPr>
          <w:rFonts w:ascii="Times New Roman" w:hAnsi="Times New Roman"/>
          <w:sz w:val="24"/>
        </w:rPr>
        <w:t xml:space="preserve">(e) Capitalized Lease Obligations; </w:t>
      </w:r>
    </w:p>
    <w:p>
      <w:pPr>
        <w:pStyle w:val="TextBody"/>
        <w:bidi w:val="0"/>
        <w:spacing w:before="240" w:after="0"/>
        <w:jc w:val="both"/>
        <w:rPr>
          <w:rFonts w:ascii="Times New Roman" w:hAnsi="Times New Roman"/>
          <w:sz w:val="24"/>
        </w:rPr>
      </w:pPr>
      <w:r>
        <w:rPr>
          <w:rFonts w:ascii="Times New Roman" w:hAnsi="Times New Roman"/>
          <w:sz w:val="24"/>
        </w:rPr>
        <w:t xml:space="preserve">(f) obligations under Hedge Agreements; </w:t>
      </w:r>
      <w:r>
        <w:rPr>
          <w:rFonts w:ascii="Times New Roman" w:hAnsi="Times New Roman"/>
          <w:sz w:val="24"/>
          <w:u w:val="single"/>
        </w:rPr>
        <w:t>provided</w:t>
      </w:r>
      <w:r>
        <w:rPr>
          <w:rFonts w:ascii="Times New Roman" w:hAnsi="Times New Roman"/>
          <w:sz w:val="24"/>
        </w:rPr>
        <w:t xml:space="preserve"> that such Hedge Agreements shall not be speculative in nature; </w:t>
      </w:r>
    </w:p>
    <w:p>
      <w:pPr>
        <w:pStyle w:val="TextBody"/>
        <w:bidi w:val="0"/>
        <w:spacing w:before="240" w:after="0"/>
        <w:jc w:val="both"/>
        <w:rPr>
          <w:rFonts w:ascii="Times New Roman" w:hAnsi="Times New Roman"/>
          <w:sz w:val="24"/>
        </w:rPr>
      </w:pPr>
      <w:r>
        <w:rPr>
          <w:rFonts w:ascii="Times New Roman" w:hAnsi="Times New Roman"/>
          <w:sz w:val="24"/>
        </w:rPr>
        <w:t xml:space="preserve">(g) Indebtedness of Subsidiaries of the Borrower, so long as (i) no Default exists or would be caused thereby and (ii) the principal outstanding amount of such Indebtedness at the time of its incurrence does not exceed (when taken together with the principal outstanding amount at such time of Indebtedness incurred under Section 7.1(i) hereof (or portion thereof) that is guaranteed by any Subsidiary of the Borrower), in the aggregate, the greater of (x) $3,500,000,000 and (y) fifty percent (50%) of Adjusted EBITDA of the Borrower and its Subsidiaries on a consolidated basis as of the last day of the most recently completed fiscal quarter; </w:t>
      </w:r>
    </w:p>
    <w:p>
      <w:pPr>
        <w:pStyle w:val="TextBody"/>
        <w:bidi w:val="0"/>
        <w:spacing w:before="240" w:after="0"/>
        <w:jc w:val="both"/>
        <w:rPr>
          <w:rFonts w:ascii="Times New Roman" w:hAnsi="Times New Roman"/>
          <w:sz w:val="24"/>
        </w:rPr>
      </w:pPr>
      <w:r>
        <w:rPr>
          <w:rFonts w:ascii="Times New Roman" w:hAnsi="Times New Roman"/>
          <w:sz w:val="24"/>
        </w:rPr>
        <w:t xml:space="preserve">(h) Indebtedness under (i) each Existing ABS Facility and (ii) any additional ABS Facilities entered into by the Borrower or any of its Subsidiaries (including any increase of any Existing ABS Facility) so long as, in each case after giving pro forma effect to such ABS Facility, the Borrower is in compliance with Sections </w:t>
      </w:r>
      <w:r>
        <w:rPr>
          <w:rFonts w:ascii="Times New Roman" w:hAnsi="Times New Roman"/>
          <w:strike/>
          <w:color w:val="FF0000"/>
          <w:sz w:val="24"/>
        </w:rPr>
        <w:t>7.5 and</w:t>
      </w:r>
      <w:r>
        <w:rPr>
          <w:rFonts w:ascii="Times New Roman" w:hAnsi="Times New Roman"/>
          <w:sz w:val="24"/>
        </w:rPr>
        <w:t xml:space="preserve"> 7.6 hereof;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color w:val="0000FF"/>
          <w:sz w:val="24"/>
          <w:u w:val="single"/>
          <w:bdr w:val="double" w:sz="2" w:space="1" w:color="000000"/>
        </w:rPr>
        <w:t xml:space="preserve">[Reserved]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color w:val="0000FF"/>
          <w:sz w:val="24"/>
          <w:u w:val="single"/>
          <w:bdr w:val="double" w:sz="2" w:space="1" w:color="000000"/>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(i) (i) Indebtedness under the Loan Documents and (ii) other Indebtedness of the Borrower so long as, in each case after giving pro forma effect to such other Indebtedness, the Borrower is in compliance with Sections 7.5 and 7.6 hereof;</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(j)</w:t>
      </w:r>
      <w:r>
        <w:rPr>
          <w:rFonts w:ascii="Times New Roman" w:hAnsi="Times New Roman"/>
          <w:sz w:val="24"/>
        </w:rPr>
        <w:t> </w:t>
      </w:r>
      <w:r>
        <w:rPr>
          <w:rFonts w:ascii="Times New Roman" w:hAnsi="Times New Roman"/>
          <w:strike/>
          <w:color w:val="FF0000"/>
          <w:sz w:val="24"/>
        </w:rPr>
        <w:t xml:space="preserve"> Guaranties by the Borrower of any of the foregoing except for the Indebtedness set forth under Section 7.1(h) hereof;</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(k) Guaranties by any Subsidiary of the Borrower of any of the foregoing except for the Indebtedness set forth under Section 7.1(h) hereof; provided that there shall be no prohibition against Guaranties by any Subsidiaries of the Borrower that (i) are special purposes entities directly involved in any ABS Facilities and (ii) have no material assets other than the direct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or indirect Ownership Interests in special purpose entities directly involved in such ABS Facilities; provided further that the principal outstanding amount of any Indebtedness set forth in Section 7.1(i) hereof (or portion thereof) that is guaranteed by any Subsidiary of the Borrower shall not exceed (when taken together with the principal outstanding amount at such time of Indebtedness incurred under Section 7.1(g) hereof), in the aggregate, the greater of (x) $3,000,000,000 and (y) fifty percent (50%) of Adjusted EBITDA of the Borrower and its Subsidiaries on a consolidated basis as of the last day of the most recently completed fiscal quarter; </w:t>
      </w:r>
      <w:r>
        <w:rPr>
          <w:rFonts w:ascii="Times New Roman" w:hAnsi="Times New Roman"/>
          <w:color w:val="0000FF"/>
          <w:sz w:val="24"/>
          <w:u w:val="single"/>
          <w:bdr w:val="double" w:sz="2" w:space="1" w:color="000000"/>
        </w:rPr>
        <w:t>and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(l) In respect of Subsidiaries of the Borrower that are owned by the Borrower and one or more joint venture partners, Indebtedness of such Subsidiaries owed to such joint venture partners</w:t>
      </w:r>
      <w:r>
        <w:rPr>
          <w:rFonts w:ascii="Times New Roman" w:hAnsi="Times New Roman"/>
          <w:strike/>
          <w:color w:val="FF0000"/>
          <w:sz w:val="24"/>
        </w:rPr>
        <w:t>; and</w:t>
      </w:r>
      <w:r>
        <w:rPr>
          <w:rFonts w:ascii="Times New Roman" w:hAnsi="Times New Roman"/>
          <w:color w:val="0000FF"/>
          <w:sz w:val="24"/>
          <w:u w:val="single"/>
          <w:bdr w:val="double" w:sz="2" w:space="1" w:color="000000"/>
        </w:rPr>
        <w: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trike/>
          <w:color w:val="FF0000"/>
          <w:sz w:val="24"/>
        </w:rPr>
        <w:t>(m)</w:t>
      </w:r>
      <w:r>
        <w:rPr>
          <w:rFonts w:ascii="Times New Roman" w:hAnsi="Times New Roman"/>
          <w:sz w:val="24"/>
        </w:rPr>
        <w:t> </w:t>
      </w:r>
      <w:r>
        <w:rPr>
          <w:rFonts w:ascii="Times New Roman" w:hAnsi="Times New Roman"/>
          <w:strike/>
          <w:color w:val="FF0000"/>
          <w:sz w:val="24"/>
        </w:rPr>
        <w:t xml:space="preserve"> Unsecured Indebtedness incurred by the Borrower to finance all or a portion of the Specified Merger.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determining compliance with this Section 7.1, (A) if an item of Indebtedness meets the criteria of more than one of the types of Indebtedness described above, the Borrower, in its sole discretion, shall classify such item of Indebtedness and only be required to include the amount and type of such Indebtedness in one of such clauses, although the Borrower may divide and classify an item of Indebtedness in one or more of the types of Indebtedness and may later re-divide or reclassify all or a portion of such item of Indebtedness in any manner that complies with this Section 7.1 and (B) the amount of Indebtedness issued at a price that is less than the principal amount thereof shall be equal to the amount of the liability in respect thereof determined in conformity with GAAP. </w:t>
      </w:r>
    </w:p>
    <w:p>
      <w:pPr>
        <w:pStyle w:val="TextBody"/>
        <w:bidi w:val="0"/>
        <w:spacing w:before="240" w:after="0"/>
        <w:jc w:val="both"/>
        <w:rPr>
          <w:rFonts w:ascii="Times New Roman" w:hAnsi="Times New Roman"/>
          <w:sz w:val="24"/>
        </w:rPr>
      </w:pPr>
      <w:r>
        <w:rPr>
          <w:rFonts w:ascii="Times New Roman" w:hAnsi="Times New Roman"/>
          <w:sz w:val="24"/>
        </w:rPr>
        <w:t>Section 7.2 </w:t>
      </w:r>
      <w:r>
        <w:rPr>
          <w:rFonts w:ascii="Times New Roman" w:hAnsi="Times New Roman"/>
          <w:sz w:val="24"/>
          <w:u w:val="single"/>
        </w:rPr>
        <w:t>Limitation on Liens</w:t>
      </w:r>
      <w:r>
        <w:rPr>
          <w:rFonts w:ascii="Times New Roman" w:hAnsi="Times New Roman"/>
          <w:sz w:val="24"/>
        </w:rPr>
        <w:t xml:space="preserve">. The Borrower shall not, and shall not permit any of its Subsidiaries to, create, assume, incur or permit to exist or to be created, assumed, incurred or permitted to exist, directly or indirectly, any Lien on any of its properties or assets, whether now owned or hereafter acquired, except for (i) Liens securing the Obligations (if any), (ii) Permitted Liens, and (iii) Liens securing Indebtedness </w:t>
      </w:r>
      <w:r>
        <w:rPr>
          <w:rFonts w:ascii="Times New Roman" w:hAnsi="Times New Roman"/>
          <w:color w:val="0000FF"/>
          <w:sz w:val="24"/>
          <w:u w:val="single"/>
          <w:bdr w:val="double" w:sz="2" w:space="1" w:color="000000"/>
        </w:rPr>
        <w:t>of the Company or any of its Subsidiaries</w:t>
      </w:r>
      <w:r>
        <w:rPr>
          <w:rFonts w:ascii="Times New Roman" w:hAnsi="Times New Roman"/>
          <w:sz w:val="24"/>
        </w:rPr>
        <w:t xml:space="preserve"> permitted under Section 7.1</w:t>
      </w:r>
      <w:r>
        <w:rPr>
          <w:rFonts w:ascii="Times New Roman" w:hAnsi="Times New Roman"/>
          <w:strike/>
          <w:color w:val="FF0000"/>
          <w:sz w:val="24"/>
        </w:rPr>
        <w:t>(a) (but only if and to the extent such Indebtedness (or the Indebtedness which was refinanced, extended, renewed or replaced) is secured as of the date hereof), Section 7.1(c) (but only if and to the extent such Indebtedness (or the Indebtedness which was refinanced, extended, renewed or replaced) is secured as of the date the Subsidiary that incurred such Indebtedness became a Subsidiary of the Borrower), Section 7.1(g), Section 7.1(h) or Section 7.1(k).</w:t>
      </w:r>
      <w:r>
        <w:rPr>
          <w:rFonts w:ascii="Times New Roman" w:hAnsi="Times New Roman"/>
          <w:sz w:val="24"/>
        </w:rPr>
        <w:t xml:space="preserve"> </w:t>
      </w:r>
      <w:r>
        <w:rPr>
          <w:rFonts w:ascii="Times New Roman" w:hAnsi="Times New Roman"/>
          <w:color w:val="0000FF"/>
          <w:sz w:val="24"/>
          <w:u w:val="single"/>
          <w:bdr w:val="double" w:sz="2" w:space="1" w:color="000000"/>
        </w:rPr>
        <w:t>if, after giving effect to the incurrence of such Liens, the ratio of (x) Senior Secured Debt to (y)</w:t>
      </w:r>
      <w:r>
        <w:rPr>
          <w:rFonts w:ascii="Times New Roman" w:hAnsi="Times New Roman"/>
          <w:sz w:val="24"/>
        </w:rPr>
        <w:t> </w:t>
      </w:r>
      <w:r>
        <w:rPr>
          <w:rFonts w:ascii="Times New Roman" w:hAnsi="Times New Roman"/>
          <w:color w:val="00C000"/>
          <w:sz w:val="24"/>
          <w:u w:val="single"/>
        </w:rPr>
        <w:t>Adjusted EBITDA, as of the last day of</w:t>
      </w:r>
      <w:r>
        <w:rPr>
          <w:rFonts w:ascii="Times New Roman" w:hAnsi="Times New Roman"/>
          <w:sz w:val="24"/>
        </w:rPr>
        <w:t xml:space="preserve"> </w:t>
      </w:r>
      <w:r>
        <w:rPr>
          <w:rFonts w:ascii="Times New Roman" w:hAnsi="Times New Roman"/>
          <w:color w:val="0000FF"/>
          <w:sz w:val="24"/>
          <w:u w:val="single"/>
          <w:bdr w:val="double" w:sz="2" w:space="1" w:color="000000"/>
        </w:rPr>
        <w:t>the most recently ended fiscal quarter shall not be greater than 3.50 to 1.00.</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7.3 </w:t>
      </w:r>
      <w:r>
        <w:rPr>
          <w:rFonts w:ascii="Times New Roman" w:hAnsi="Times New Roman"/>
          <w:sz w:val="24"/>
          <w:u w:val="single"/>
        </w:rPr>
        <w:t>Liquidation, Merger or Disposition of Assets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Disposition of Assets</w:t>
      </w:r>
      <w:r>
        <w:rPr>
          <w:rFonts w:ascii="Times New Roman" w:hAnsi="Times New Roman"/>
          <w:sz w:val="24"/>
        </w:rPr>
        <w:t>. The Borrower shall not, and shall not permit any of its Subsidiaries to, at any time sell, lease, abandon, or otherwise dispose of any assets (other than assets disposed of in the ordinary course of business), except for (i) the transfer of assets among the Borrower and its Subsidiaries (excluding Subsidiaries of such Persons described in clause (b) of the definition of “</w:t>
      </w:r>
      <w:r>
        <w:rPr>
          <w:rFonts w:ascii="Times New Roman" w:hAnsi="Times New Roman"/>
          <w:sz w:val="24"/>
          <w:u w:val="single"/>
        </w:rPr>
        <w:t>Subsidiary</w:t>
      </w:r>
      <w:r>
        <w:rPr>
          <w:rFonts w:ascii="Times New Roman" w:hAnsi="Times New Roman"/>
          <w:sz w:val="24"/>
        </w:rPr>
        <w:t xml:space="preserve">” if the requirements of clause (a) thereof are not otherwise met) or the transfer of assets between or among the Borrower’s Subsidiaries (excluding Subsidiaries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such Persons described in clause (b) of the definition of “</w:t>
      </w:r>
      <w:r>
        <w:rPr>
          <w:rFonts w:ascii="Times New Roman" w:hAnsi="Times New Roman"/>
          <w:sz w:val="24"/>
          <w:u w:val="single"/>
        </w:rPr>
        <w:t>Subsidiary</w:t>
      </w:r>
      <w:r>
        <w:rPr>
          <w:rFonts w:ascii="Times New Roman" w:hAnsi="Times New Roman"/>
          <w:sz w:val="24"/>
        </w:rPr>
        <w:t xml:space="preserve">” if the requirements of clause (a) thereof are not otherwise met), (ii) the transfer of assets by the Borrower or any of its Subsidiaries to Unrestricted Subsidiaries representing an amount not to exceed, in any given fiscal year, fifteen percent (15%) of Adjusted EBITDA of the Borrower and its Subsidiaries on a consolidated basis as of the last day of the immediately preceding fiscal year, but in aggregate for the period commencing on the Second Restatement Date and ending of the date of such transfer, not more than twenty-five percent (25%) of Adjusted EBITDA of the Borrower and its Subsidiaries on a consolidated basis as of the last day of the fiscal year immediately preceding the date of such transfer, or (iii) the disposition of assets for fair market value so long as no Default exists or will be caused to occur as a result of such disposition; </w:t>
      </w:r>
      <w:r>
        <w:rPr>
          <w:rFonts w:ascii="Times New Roman" w:hAnsi="Times New Roman"/>
          <w:sz w:val="24"/>
          <w:u w:val="single"/>
        </w:rPr>
        <w:t>provided</w:t>
      </w:r>
      <w:r>
        <w:rPr>
          <w:rFonts w:ascii="Times New Roman" w:hAnsi="Times New Roman"/>
          <w:sz w:val="24"/>
        </w:rPr>
        <w:t xml:space="preserve"> that, in respect of this clause (iii), the fair market value of all such assets disposed of by the Borrower and its Subsidiaries during any fiscal year shall not exceed fifteen percent (15%) of Consolidated Total Assets as of the last day of the immediately preceding fiscal year. For the avoidance of doubt, cash and cash equivalents shall not be considered assets subject to the provisions of this Section 7.3(a).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Liquidation or Merger</w:t>
      </w:r>
      <w:r>
        <w:rPr>
          <w:rFonts w:ascii="Times New Roman" w:hAnsi="Times New Roman"/>
          <w:sz w:val="24"/>
        </w:rPr>
        <w:t xml:space="preserve">. The Borrower shall not, at any time, liquidate or dissolve itself (or suffer any liquidation or dissolution) or otherwise wind up, or enter into any merger or consolidation, other than (i) a merger or consolidation among the Borrower and one or more of its Subsidiaries;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Borrower is the surviving Person, (ii) in connection with an Acquisition permitted hereunder effected by a merger in which the Borrower is the surviving Person, or (iii) a merger or consolidation (including, without limitation, in connection with an Acquisition permitted hereunder) among the Borrower, on the one hand, and any other Person (including, without limitation, an Affiliate), on the other hand, where the surviving Person (if other than the Borrower) (A) is a corporation, partnership, or limited liability company organized and existing under the laws of the United States of America, any State thereof or the District of Columbia and (B) on the effective date of such merger or consolidation expressly assumes, by supplemental agreement, executed and delivered to the Administrative Agent, for itself and on behalf of the Lenders, in form and substance reasonably satisfactory to the Majority Lenders, all the Obligations of the Borrower under the Notes, this Agreement and the other Loan Documents;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each case, no Default exists or would be caused thereby. </w:t>
      </w:r>
    </w:p>
    <w:p>
      <w:pPr>
        <w:pStyle w:val="TextBody"/>
        <w:bidi w:val="0"/>
        <w:spacing w:before="240" w:after="0"/>
        <w:jc w:val="both"/>
        <w:rPr>
          <w:rFonts w:ascii="Times New Roman" w:hAnsi="Times New Roman"/>
          <w:sz w:val="24"/>
        </w:rPr>
      </w:pPr>
      <w:r>
        <w:rPr>
          <w:rFonts w:ascii="Times New Roman" w:hAnsi="Times New Roman"/>
          <w:sz w:val="24"/>
        </w:rPr>
        <w:t>Section 7.4 </w:t>
      </w:r>
      <w:r>
        <w:rPr>
          <w:rFonts w:ascii="Times New Roman" w:hAnsi="Times New Roman"/>
          <w:sz w:val="24"/>
          <w:u w:val="single"/>
        </w:rPr>
        <w:t>Restricted Payments</w:t>
      </w:r>
      <w:r>
        <w:rPr>
          <w:rFonts w:ascii="Times New Roman" w:hAnsi="Times New Roman"/>
          <w:sz w:val="24"/>
        </w:rPr>
        <w:t xml:space="preserve">. The Borrower shall not, and shall not permit any of its Subsidiaries to, make any Restricted Payments;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Borrower and its Subsidiaries may make any Restricted Payments so long as no Default exists or would be caused thereby, and,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that, (a) for so long as the Borrower is a REIT, during the continuation of a Default, the Borrower and its Subsidiaries may make any Restricted Payments provided they do not exceed in the aggregate for any four consecutive fiscal quarters of the Borrower occurring from and after September 30, 2013, (i) 95% of Funds From Operations for such four fiscal quarter period, or (ii) such greater amount as may be required to comply with Section 5.9 or to avoid the imposition of income or excise taxes on the Borrower, and (b) the Borrower may make any Restricted Payment required to comply with Section 5.9, including, for the avoidance of doubt, any Restricted Payment necessary to satisfy the requirements of section 857(a)(2)(B) of the Code, or any successor provision, or to avoid the imposition of any income or excise taxes.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7.5 </w:t>
      </w:r>
      <w:r>
        <w:rPr>
          <w:rFonts w:ascii="Times New Roman" w:hAnsi="Times New Roman"/>
          <w:strike/>
          <w:color w:val="FF0000"/>
          <w:sz w:val="24"/>
        </w:rPr>
        <w:t>Senior Secured Leverage Ratio</w:t>
      </w:r>
      <w:r>
        <w:rPr>
          <w:rFonts w:ascii="Times New Roman" w:hAnsi="Times New Roman"/>
          <w:color w:val="0000FF"/>
          <w:sz w:val="24"/>
          <w:u w:val="single"/>
          <w:bdr w:val="double" w:sz="2" w:space="1" w:color="000000"/>
        </w:rPr>
        <w:t>[Reserved]</w:t>
      </w:r>
      <w:r>
        <w:rPr>
          <w:rFonts w:ascii="Times New Roman" w:hAnsi="Times New Roman"/>
          <w:sz w:val="24"/>
        </w:rPr>
        <w:t xml:space="preserve"> </w:t>
      </w:r>
    </w:p>
    <w:p>
      <w:pPr>
        <w:pStyle w:val="TextBody"/>
        <w:bidi w:val="0"/>
        <w:spacing w:before="240" w:after="0"/>
        <w:jc w:val="both"/>
        <w:rPr>
          <w:rFonts w:ascii="Times New Roman" w:hAnsi="Times New Roman"/>
          <w:color w:val="FF0000"/>
          <w:sz w:val="24"/>
        </w:rPr>
      </w:pPr>
      <w:r>
        <w:rPr>
          <w:rFonts w:ascii="Times New Roman" w:hAnsi="Times New Roman"/>
          <w:strike/>
          <w:color w:val="FF0000"/>
          <w:sz w:val="24"/>
        </w:rPr>
        <w:t>. As of the end of each fiscal quarter, the Borrower shall not permit the ratio of (i) Senior Secured Debt on such calculation date to (ii</w:t>
      </w:r>
      <w:r>
        <w:rPr>
          <w:rFonts w:ascii="Times New Roman" w:hAnsi="Times New Roman"/>
          <w:strike/>
          <w:color w:val="00C000"/>
          <w:sz w:val="24"/>
        </w:rPr>
        <w:t xml:space="preserve">) Adjusted EBITDA, as of the last day of </w:t>
      </w:r>
      <w:r>
        <w:rPr>
          <w:rFonts w:ascii="Times New Roman" w:hAnsi="Times New Roman"/>
          <w:strike/>
          <w:color w:val="FF0000"/>
          <w:sz w:val="24"/>
        </w:rPr>
        <w:t>such fiscal quarter, to be greater than 3.00 to 1.00.</w:t>
      </w:r>
      <w:r>
        <w:rPr>
          <w:rFonts w:ascii="Times New Roman" w:hAnsi="Times New Roman"/>
          <w:color w:val="FF0000"/>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7.6 </w:t>
      </w:r>
      <w:r>
        <w:rPr>
          <w:rFonts w:ascii="Times New Roman" w:hAnsi="Times New Roman"/>
          <w:sz w:val="24"/>
          <w:u w:val="single"/>
        </w:rPr>
        <w:t>Total Borrower Leverage Ratio</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As of the end of each fiscal quarter ending on or after the Second Restatement Date, the Borrower shall not permit the ratio of (a) Total Debt on such calculation date to (b) Adjusted EBITDA, as of the last day of such fiscal quarter to be greater than 6.00 to 1.00; </w:t>
      </w:r>
      <w:r>
        <w:rPr>
          <w:rFonts w:ascii="Times New Roman" w:hAnsi="Times New Roman"/>
          <w:sz w:val="24"/>
          <w:u w:val="single"/>
        </w:rPr>
        <w:t>provided</w:t>
      </w:r>
      <w:r>
        <w:rPr>
          <w:rFonts w:ascii="Times New Roman" w:hAnsi="Times New Roman"/>
          <w:sz w:val="24"/>
        </w:rPr>
        <w:t xml:space="preserve"> that, for any such date occurring after a Qualified Acquisition (as defined below) and on or prior to the last day of the fourth full fiscal quarter of the Borrower after the consummation of such Qualified Acquisition, the Borrower will not permit such ratio as of such date to exceed 7.50 to 1.00 (the “</w:t>
      </w:r>
      <w:r>
        <w:rPr>
          <w:rFonts w:ascii="Times New Roman" w:hAnsi="Times New Roman"/>
          <w:sz w:val="24"/>
          <w:u w:val="single"/>
        </w:rPr>
        <w:t>Qualified Acquisition Step Up</w:t>
      </w:r>
      <w:r>
        <w:rPr>
          <w:rFonts w:ascii="Times New Roman" w:hAnsi="Times New Roman"/>
          <w:sz w:val="24"/>
        </w:rPr>
        <w:t xml:space="preserve">”) so long as the Qualified Acquisition Step Up did not apply in the immediately preceding fiscal quarter. </w:t>
      </w:r>
    </w:p>
    <w:p>
      <w:pPr>
        <w:pStyle w:val="TextBody"/>
        <w:bidi w:val="0"/>
        <w:spacing w:before="240" w:after="0"/>
        <w:jc w:val="both"/>
        <w:rPr/>
      </w:pPr>
      <w:r>
        <w:rPr/>
        <w:t>“</w:t>
      </w:r>
      <w:r>
        <w:rPr>
          <w:rFonts w:ascii="Times New Roman" w:hAnsi="Times New Roman"/>
          <w:sz w:val="24"/>
          <w:u w:val="single"/>
        </w:rPr>
        <w:t>Qualified Acquisition</w:t>
      </w:r>
      <w:r>
        <w:rPr>
          <w:rFonts w:ascii="Times New Roman" w:hAnsi="Times New Roman"/>
          <w:sz w:val="24"/>
        </w:rPr>
        <w:t xml:space="preserve">” shall mean an Acquisition by the Borrower or any Subsidiary which has been designated to the Lenders by an authorized officer of the Borrower as a “Qualified Acquisition” so long as, on a pro forma basis after giving effect to such Acquisition, the ratio of Total Debt to Adjusted EBITDA as of the last day of the most recently ended fiscal quarter of the Borrower (for which financial statements have been delivered pursuant to Section 6.1 or 6.2) prior to such acquisition would be no less than 5.50 to 1.00; provided that (i) no such designation may be made with respect to any Acquisition prior to the end of the fourth full fiscal quarter following the completion of the most recently consummated Qualified Acquisition unless the ratio of Total Debt to Adjusted EBITDA as of the last day of the most recently ended fiscal quarter of the Borrower (for which financial statements have been delivered pursuant to Section 6.1 or 6.2) prior to the consummation of such Acquisition was no greater than 6.00 to 1.00, (ii) the aggregate consideration for such Acquisition (including the aggregate principal amount of any Indebtedness assumed thereby) is equal to or greater than $850,000,000 and (iii) the Specified Merger shall constitute a “Qualified Acquisition” for all purposes hereunder. </w:t>
      </w:r>
    </w:p>
    <w:p>
      <w:pPr>
        <w:pStyle w:val="TextBody"/>
        <w:bidi w:val="0"/>
        <w:spacing w:before="240" w:after="0"/>
        <w:jc w:val="both"/>
        <w:rPr>
          <w:rFonts w:ascii="Times New Roman" w:hAnsi="Times New Roman"/>
          <w:sz w:val="24"/>
        </w:rPr>
      </w:pPr>
      <w:r>
        <w:rPr>
          <w:rFonts w:ascii="Times New Roman" w:hAnsi="Times New Roman"/>
          <w:sz w:val="24"/>
        </w:rPr>
        <w:t>Section 7.7 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Section 7.8 </w:t>
      </w:r>
      <w:r>
        <w:rPr>
          <w:rFonts w:ascii="Times New Roman" w:hAnsi="Times New Roman"/>
          <w:sz w:val="24"/>
          <w:u w:val="single"/>
        </w:rPr>
        <w:t>Affiliate Transactions</w:t>
      </w:r>
      <w:r>
        <w:rPr>
          <w:rFonts w:ascii="Times New Roman" w:hAnsi="Times New Roman"/>
          <w:sz w:val="24"/>
        </w:rPr>
        <w:t xml:space="preserve">. Except (i) as specifically provided herein (including, without limitation, Sections 7.1, 7.3 and 7.4 hereof), (ii) investments of cash and cash equivalents in Unrestricted Subsidiaries, and (iii) as may be disclosed in the public filings of the Borrower with the Securities and Exchange Commission prior to the Second Restatement Date, the Borrower shall not, and shall not permit any of its Subsidiaries to, at any time engage in any transaction with an Affiliate, other than between or among the Borrower and/or any Subsidiaries of the Borrower or in the ordinary course of business, or make an assignment or other transfer of any of its properties or assets to any Affiliate, in each case on terms less advantageous in any material respect to the Borrower or such Subsidiary than would be the case if such transaction had been effected with a non-Affiliate. </w:t>
      </w:r>
    </w:p>
    <w:p>
      <w:pPr>
        <w:pStyle w:val="TextBody"/>
        <w:bidi w:val="0"/>
        <w:spacing w:before="240" w:after="0"/>
        <w:jc w:val="both"/>
        <w:rPr>
          <w:rFonts w:ascii="Times New Roman" w:hAnsi="Times New Roman"/>
          <w:sz w:val="24"/>
        </w:rPr>
      </w:pPr>
      <w:r>
        <w:rPr>
          <w:rFonts w:ascii="Times New Roman" w:hAnsi="Times New Roman"/>
          <w:sz w:val="24"/>
        </w:rPr>
        <w:t>Section 7.9 </w:t>
      </w:r>
      <w:r>
        <w:rPr>
          <w:rFonts w:ascii="Times New Roman" w:hAnsi="Times New Roman"/>
          <w:sz w:val="24"/>
          <w:u w:val="single"/>
        </w:rPr>
        <w:t>Restrictive Agreements</w:t>
      </w:r>
      <w:r>
        <w:rPr>
          <w:rFonts w:ascii="Times New Roman" w:hAnsi="Times New Roman"/>
          <w:sz w:val="24"/>
        </w:rPr>
        <w:t xml:space="preserve">. The Borrower shall not, nor shall the Borrower permit any of its Material Subsidiaries to, directly or indirectly, enter into, incur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permit to exist any agreement or other arrangement that prohibits, restricts or imposes any condition upon the ability of any Material Subsidiary of the Borrower to pay dividends or other distributions with respect to any shares of its capital stock or to make or repay loans or advances to the Borrower or any other Material Subsidiary of the Borrower; </w:t>
      </w:r>
      <w:r>
        <w:rPr>
          <w:rFonts w:ascii="Times New Roman" w:hAnsi="Times New Roman"/>
          <w:sz w:val="24"/>
          <w:u w:val="single"/>
        </w:rPr>
        <w:t>provided</w:t>
      </w:r>
      <w:r>
        <w:rPr>
          <w:rFonts w:ascii="Times New Roman" w:hAnsi="Times New Roman"/>
          <w:sz w:val="24"/>
        </w:rPr>
        <w:t xml:space="preserve"> that (i) the foregoing shall not apply to restrictions and conditions imposed by Applicable Law or by any Loan Document, (ii) the foregoing shall not apply to restrictions and conditions contained in agreements relating to the sale of a Material Subsidiary of the Borrower pending such sale; </w:t>
      </w:r>
      <w:r>
        <w:rPr>
          <w:rFonts w:ascii="Times New Roman" w:hAnsi="Times New Roman"/>
          <w:sz w:val="24"/>
          <w:u w:val="single"/>
        </w:rPr>
        <w:t>provided</w:t>
      </w:r>
      <w:r>
        <w:rPr>
          <w:rFonts w:ascii="Times New Roman" w:hAnsi="Times New Roman"/>
          <w:sz w:val="24"/>
        </w:rPr>
        <w:t xml:space="preserve"> that such restrictions and conditions apply only to the Material Subsidiary that is to be sold and such sale is permitted hereunder, (iii) the foregoing shall not apply to restrictions and conditions contained in any instrument governing Indebtedness or Ownership Interests of a Person acquired by the Borrower or any of its Material Subsidiaries as in effect at the time of such acquisition (except to the extent such Indebtedness was incurred, or such Ownership Interests were issued, in connection with or in contemplation of such acquisition), which encumbrance or restriction is not applicable to any Person, or the properties or assets of any Person, other than the Person or the property or assets of the Person so acquired, and any amendments, modifications, restatements, renewals, increases, supplements, refundings, replacements or refinancings of those instruments; </w:t>
      </w:r>
      <w:r>
        <w:rPr>
          <w:rFonts w:ascii="Times New Roman" w:hAnsi="Times New Roman"/>
          <w:sz w:val="24"/>
          <w:u w:val="single"/>
        </w:rPr>
        <w:t>provided</w:t>
      </w:r>
      <w:r>
        <w:rPr>
          <w:rFonts w:ascii="Times New Roman" w:hAnsi="Times New Roman"/>
          <w:sz w:val="24"/>
        </w:rPr>
        <w:t xml:space="preserve"> that the encumbrances or restrictions contained in any such amendments, modifications, restatements, renewals, increases, supplements, refundings, replacements or refinancings, taken as whole, are not materially more restrictive than the encumbrances or restrictions contained in instruments as in effect on the date of acquisition, (iv) the foregoing shall not apply to restrictions and conditions on cash or other deposits or net worth imposed by customers or lessors under contracts or leases entered into in the ordinary course of business, (v) the foregoing shall not apply to restrictions and conditions imposed on the transfer of copyrighted or patented materials or other intellectual property and customary provisions in agreements that restrict the assignment of such agreements or any rights thereunder, (vi) the foregoing shall not apply to restrictions and conditions imposed by contracts or leases entered into in the ordinary course of business by the Borrower or any of its Material Subsidiaries with such Person’s customers, lessors or suppliers; (vii) the foregoing shall not apply to restrictions and conditions imposed upon the “borrower”, “issuer”, “guarantor”, “pledgor” or “lender” entities under ABS Facilities permitted under Section 7.1(h) hereof or which arise in connection with any payment default regarding Indebtedness otherwise permitted under Section 7.1 hereof and (viii) the foregoing shall not apply to restrictions and conditions imposed under Indebtedness otherwise permitted under Section 7.1(m). </w:t>
      </w:r>
    </w:p>
    <w:p>
      <w:pPr>
        <w:pStyle w:val="TextBody"/>
        <w:bidi w:val="0"/>
        <w:spacing w:before="240" w:after="0"/>
        <w:jc w:val="both"/>
        <w:rPr>
          <w:rFonts w:ascii="Times New Roman" w:hAnsi="Times New Roman"/>
          <w:sz w:val="24"/>
        </w:rPr>
      </w:pPr>
      <w:r>
        <w:rPr>
          <w:rFonts w:ascii="Times New Roman" w:hAnsi="Times New Roman"/>
          <w:sz w:val="24"/>
        </w:rPr>
        <w:t>Section 7.10 </w:t>
      </w:r>
      <w:r>
        <w:rPr>
          <w:rFonts w:ascii="Times New Roman" w:hAnsi="Times New Roman"/>
          <w:sz w:val="24"/>
          <w:u w:val="single"/>
        </w:rPr>
        <w:t>Use of Proceeds</w:t>
      </w:r>
      <w:r>
        <w:rPr>
          <w:rFonts w:ascii="Times New Roman" w:hAnsi="Times New Roman"/>
          <w:sz w:val="24"/>
        </w:rPr>
        <w:t xml:space="preserve">. The Borrower shall not, nor shall the Borrower permit any of its Subsidiaries to, use the proceeds of any Loan directly, or to the Borrower’s knowledge indirectly, to fund any operations in, finance any investments or activities in, or make any payments to a Designated Person or a Sanctioned Country, in material violation of Anti-Corruption Laws or in any manner that would result in the violation by any party hereto of any Sanctions Laws and Regulations. </w:t>
      </w:r>
    </w:p>
    <w:p>
      <w:pPr>
        <w:pStyle w:val="TextBody"/>
        <w:bidi w:val="0"/>
        <w:spacing w:before="240" w:after="0"/>
        <w:jc w:val="center"/>
        <w:rPr>
          <w:rFonts w:ascii="Times New Roman" w:hAnsi="Times New Roman"/>
          <w:sz w:val="24"/>
        </w:rPr>
      </w:pPr>
      <w:r>
        <w:rPr>
          <w:rFonts w:ascii="Times New Roman" w:hAnsi="Times New Roman"/>
          <w:sz w:val="24"/>
        </w:rPr>
        <w:t xml:space="preserve">ARTICLE 8 - DEFAULT </w:t>
      </w:r>
    </w:p>
    <w:p>
      <w:pPr>
        <w:pStyle w:val="TextBody"/>
        <w:bidi w:val="0"/>
        <w:spacing w:before="240" w:after="0"/>
        <w:jc w:val="both"/>
        <w:rPr>
          <w:rFonts w:ascii="Times New Roman" w:hAnsi="Times New Roman"/>
          <w:sz w:val="24"/>
        </w:rPr>
      </w:pPr>
      <w:r>
        <w:rPr>
          <w:rFonts w:ascii="Times New Roman" w:hAnsi="Times New Roman"/>
          <w:sz w:val="24"/>
        </w:rPr>
        <w:t>Section 8.1 </w:t>
      </w:r>
      <w:r>
        <w:rPr>
          <w:rFonts w:ascii="Times New Roman" w:hAnsi="Times New Roman"/>
          <w:sz w:val="24"/>
          <w:u w:val="single"/>
        </w:rPr>
        <w:t>Events of Default</w:t>
      </w:r>
      <w:r>
        <w:rPr>
          <w:rFonts w:ascii="Times New Roman" w:hAnsi="Times New Roman"/>
          <w:sz w:val="24"/>
        </w:rPr>
        <w:t xml:space="preserve">. Each of the following shall constitute an Event of Default, whatever the reason for such event and whether it shall be voluntary or involuntary or be effected by operation of law or pursuant to any judgment or order of any court or any order, rule or regulation of any governmental or non-governmental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(a) any representation or warranty made under this Agreement shall prove to be incorrect in any material respect when made or deemed to be made pursuant to Section 4.2 hereof; </w:t>
      </w:r>
    </w:p>
    <w:p>
      <w:pPr>
        <w:pStyle w:val="TextBody"/>
        <w:bidi w:val="0"/>
        <w:spacing w:before="240" w:after="0"/>
        <w:jc w:val="both"/>
        <w:rPr>
          <w:rFonts w:ascii="Times New Roman" w:hAnsi="Times New Roman"/>
          <w:sz w:val="24"/>
        </w:rPr>
      </w:pPr>
      <w:r>
        <w:rPr>
          <w:rFonts w:ascii="Times New Roman" w:hAnsi="Times New Roman"/>
          <w:sz w:val="24"/>
        </w:rPr>
        <w:t xml:space="preserve">(b) the Borrower shall default in the payment of (i) any interest hereunder or under any of the Notes or fees or other amounts payable to the Lenders and the Administrative Agent under any of the Loan Documents, or any of them, when due, and such Default shall not be cured by payment in full within five (5) Business Days from the due date or (ii) any principal hereunder or under any of the Notes when due; </w:t>
      </w:r>
    </w:p>
    <w:p>
      <w:pPr>
        <w:pStyle w:val="TextBody"/>
        <w:bidi w:val="0"/>
        <w:spacing w:before="240" w:after="0"/>
        <w:jc w:val="both"/>
        <w:rPr>
          <w:rFonts w:ascii="Times New Roman" w:hAnsi="Times New Roman"/>
          <w:sz w:val="24"/>
        </w:rPr>
      </w:pPr>
      <w:r>
        <w:rPr>
          <w:rFonts w:ascii="Times New Roman" w:hAnsi="Times New Roman"/>
          <w:sz w:val="24"/>
        </w:rPr>
        <w:t xml:space="preserve">(c) the Borrower or any Material Subsidiary, as applicable, shall default in the performance or observance of any agreement or covenant contained in Sections 5.1 (as to the existence of the Borrower), 5.8, 5.10, 7.1, 7.2, 7.3, 7.4, </w:t>
      </w:r>
      <w:r>
        <w:rPr>
          <w:rFonts w:ascii="Times New Roman" w:hAnsi="Times New Roman"/>
          <w:strike/>
          <w:color w:val="FF0000"/>
          <w:sz w:val="24"/>
        </w:rPr>
        <w:t xml:space="preserve">7.5, </w:t>
      </w:r>
      <w:r>
        <w:rPr>
          <w:rFonts w:ascii="Times New Roman" w:hAnsi="Times New Roman"/>
          <w:sz w:val="24"/>
        </w:rPr>
        <w:t xml:space="preserve">7.6 and 7.9 hereof; </w:t>
      </w:r>
    </w:p>
    <w:p>
      <w:pPr>
        <w:pStyle w:val="TextBody"/>
        <w:bidi w:val="0"/>
        <w:spacing w:before="240" w:after="0"/>
        <w:jc w:val="both"/>
        <w:rPr>
          <w:rFonts w:ascii="Times New Roman" w:hAnsi="Times New Roman"/>
          <w:sz w:val="24"/>
        </w:rPr>
      </w:pPr>
      <w:r>
        <w:rPr>
          <w:rFonts w:ascii="Times New Roman" w:hAnsi="Times New Roman"/>
          <w:sz w:val="24"/>
        </w:rPr>
        <w:t xml:space="preserve">(d) the Borrower or any of its Subsidiaries, as applicable, shall default in the performance or observance of any other agreement or covenant contained in this Agreement not specifically referred to elsewhere in this Section 8.1, and such default shall not be cured within a period of thirty (30) days (or with respect to Sections 5.3, 5.4, 5.5, 5.6, 6.4, 6.5 and 7.8 hereof, such longer period not to exceed sixty (60) days if such default is curable within such period and the Borrower is proceeding in good faith with all diligent efforts to cure such default) from the later of (i) occurrence of such Default and (ii) the date on which such Default became known to the Borrower; </w:t>
      </w:r>
    </w:p>
    <w:p>
      <w:pPr>
        <w:pStyle w:val="TextBody"/>
        <w:bidi w:val="0"/>
        <w:spacing w:before="240" w:after="0"/>
        <w:jc w:val="both"/>
        <w:rPr>
          <w:rFonts w:ascii="Times New Roman" w:hAnsi="Times New Roman"/>
          <w:sz w:val="24"/>
        </w:rPr>
      </w:pPr>
      <w:r>
        <w:rPr>
          <w:rFonts w:ascii="Times New Roman" w:hAnsi="Times New Roman"/>
          <w:sz w:val="24"/>
        </w:rPr>
        <w:t xml:space="preserve">(e) there shall occur any default in the performance or observance of any agreement or covenant or breach of any representation or warranty contained in any of the Loan Documents (other than this Agreement or as otherwise provided in this Section 8.1) by the Borrower, which shall not be cured within a period of thirty (30) days (or such longer period not to exceed sixty (60) days if such default is curable within such period and the Borrower is proceeding in good faith with all diligent efforts to cure such default) from the date on which such default became known to the Borrower; </w:t>
      </w:r>
    </w:p>
    <w:p>
      <w:pPr>
        <w:pStyle w:val="TextBody"/>
        <w:bidi w:val="0"/>
        <w:spacing w:before="240" w:after="0"/>
        <w:jc w:val="both"/>
        <w:rPr>
          <w:rFonts w:ascii="Times New Roman" w:hAnsi="Times New Roman"/>
          <w:sz w:val="24"/>
        </w:rPr>
      </w:pPr>
      <w:r>
        <w:rPr>
          <w:rFonts w:ascii="Times New Roman" w:hAnsi="Times New Roman"/>
          <w:sz w:val="24"/>
        </w:rPr>
        <w:t xml:space="preserve">(f) there shall be entered and remain unstayed a decree or order for relief in respect of the Borrower or any Material Subsidiary Group under Title 11 of the United States Code, as now constituted or hereafter amended, or any other applicable Federal or state bankruptcy law or other similar law, or appointing a receiver, liquidator, assignee, trustee, custodian, sequestrator or similar official of the Borrower or any Material Subsidiary Group, or of any substantial part of their respective properties, or ordering the winding-up or liquidation of the affairs of the Borrower or any Material Subsidiary Group; or an involuntary petition shall be filed against the Borrower or any Material Subsidiary Group, and (i) such petition shall not be diligently contested, or (ii) any such petition shall continue undismissed or unstayed for a period of ninety (90) consecutive days; </w:t>
      </w:r>
    </w:p>
    <w:p>
      <w:pPr>
        <w:pStyle w:val="TextBody"/>
        <w:bidi w:val="0"/>
        <w:spacing w:before="240" w:after="0"/>
        <w:jc w:val="both"/>
        <w:rPr>
          <w:rFonts w:ascii="Times New Roman" w:hAnsi="Times New Roman"/>
          <w:sz w:val="24"/>
        </w:rPr>
      </w:pPr>
      <w:r>
        <w:rPr>
          <w:rFonts w:ascii="Times New Roman" w:hAnsi="Times New Roman"/>
          <w:sz w:val="24"/>
        </w:rPr>
        <w:t xml:space="preserve">(g) the Borrower or any Material Subsidiary Group shall file a petition, answer or consent seeking relief under Title 11 of the United States Code, as now constituted or hereafter amended, or any other applicable Federal or state bankruptcy law or other similar law, or the Borrower or any Material Subsidiary Group shall consent to the institution of proceedings thereunder or to the filing of any such petition or to the appointment or taking of possession of a receiver, liquidator, assignee, trustee, custodian, sequestrator or other similar official of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Borrower or any Material Subsidiary Group or of any substantial part of their respective properties, or the Borrower or any Material Subsidiary Group shall fail generally to pay their respective debts as they become due or shall be adjudicated insolvent; or the Borrower or any Material Subsidiary Group shall take any action in furtherance of any such action; </w:t>
      </w:r>
    </w:p>
    <w:p>
      <w:pPr>
        <w:pStyle w:val="TextBody"/>
        <w:bidi w:val="0"/>
        <w:spacing w:before="240" w:after="0"/>
        <w:jc w:val="both"/>
        <w:rPr>
          <w:rFonts w:ascii="Times New Roman" w:hAnsi="Times New Roman"/>
          <w:sz w:val="24"/>
        </w:rPr>
      </w:pPr>
      <w:r>
        <w:rPr>
          <w:rFonts w:ascii="Times New Roman" w:hAnsi="Times New Roman"/>
          <w:sz w:val="24"/>
        </w:rPr>
        <w:t xml:space="preserve">(h) a judgment not covered by insurance or indemnification, where the indemnifying party has agreed to indemnify and is financially able to do so, shall be entered by any court against the Borrower or any Material Subsidiary Group for the payment of money which exceeds singly, or in the aggregate with other such judgments, $600,000,000, or a warrant of attachment or execution or similar process shall be issued or levied against property of the Borrower or any Material Subsidiary Group which, together with all other such property of the Borrower or any Material Subsidiary Group subject to other such process, exceeds in value $600,000,000 in the aggregate, and if, within thirty (30) days after the entry, issue or levy thereof, such judgment, warrant or process shall not have been paid or discharged or stayed pending appeal or removed to bond, or if, after the expiration of any such stay, such judgment, warrant or process, shall not have been paid or discharged or removed to bond; </w:t>
      </w:r>
    </w:p>
    <w:p>
      <w:pPr>
        <w:pStyle w:val="TextBody"/>
        <w:bidi w:val="0"/>
        <w:spacing w:before="240" w:after="0"/>
        <w:jc w:val="both"/>
        <w:rPr>
          <w:rFonts w:ascii="Times New Roman" w:hAnsi="Times New Roman"/>
          <w:sz w:val="24"/>
        </w:rPr>
      </w:pPr>
      <w:r>
        <w:rPr>
          <w:rFonts w:ascii="Times New Roman" w:hAnsi="Times New Roman"/>
          <w:sz w:val="24"/>
        </w:rPr>
        <w:t xml:space="preserve">(i) except to the extent that would not reasonably be expected to have a Materially Adverse Effect collectively or individually, (i) there shall be at any time any “accumulated funding deficiency,” as defined in ERISA or in Section 412 of the Code, with respect to any Plan maintained by the Borrower, any of its Subsidiaries or any ERISA Affiliate, or to which the Borrower, any of its Subsidiaries or any ERISA Affiliate has any liabilities, or any trust created thereunder; (ii) a trustee shall be appointed by a United States District Court to administer any such Plan; (iii) PBGC shall institute proceedings to terminate any such Plan; (iv) the Borrower, any of its Subsidiaries or any ERISA Affiliate shall incur any liability to PBGC in connection with the termination of any such Plan; or (v) any Plan or trust created under any Plan of the Borrower, any of its Subsidiaries or any ERISA Affiliate shall engage in a “prohibited transaction” (as such term is defined in Section 406 of ERISA or Section 4975 of the Code) which would subject any such Plan, any trust created thereunder, any trustee or administrator thereof, or any party dealing with any such Plan or trust to material tax or penalty on “prohibited transactions” imposed by Section 502 of ERISA or Section 4975 of the Code; </w:t>
      </w:r>
    </w:p>
    <w:p>
      <w:pPr>
        <w:pStyle w:val="TextBody"/>
        <w:bidi w:val="0"/>
        <w:spacing w:before="240" w:after="0"/>
        <w:jc w:val="both"/>
        <w:rPr>
          <w:rFonts w:ascii="Times New Roman" w:hAnsi="Times New Roman"/>
          <w:sz w:val="24"/>
        </w:rPr>
      </w:pPr>
      <w:r>
        <w:rPr>
          <w:rFonts w:ascii="Times New Roman" w:hAnsi="Times New Roman"/>
          <w:sz w:val="24"/>
        </w:rPr>
        <w:t xml:space="preserve">(j) there shall occur (i) any acceleration of the maturity of any Indebtedness (other than Indebtedness owed (x) to the Borrower or (y) to any of its Subsidiaries or Affiliates the accounts of which are consolidated with those of the Borrower in its consolidated financial statements referenced in Sections 6.1 and 6.2) of the Borrower or any Material Subsidiary in an aggregate principal amount exceeding $600,000,000, or, as a result of a failure to comply with the terms thereof, such Indebtedness shall otherwise have become due and payable prior to its scheduled maturity; or (ii) any failure to make any payment when due (after any applicable grace period) with respect to any Indebtedness (other than Indebtedness owed (x) to the Borrower or (y) to any of its Subsidiaries or Affiliates the accounts of which are consolidated with those of the Borrower in its consolidated financial statements referenced in Sections 6.1 and 6.2) of the Borrower or any Material Subsidiary (other than the Obligations) in an aggregate principal amount exceeding $600,000,000; </w:t>
      </w:r>
    </w:p>
    <w:p>
      <w:pPr>
        <w:pStyle w:val="TextBody"/>
        <w:bidi w:val="0"/>
        <w:spacing w:before="240" w:after="0"/>
        <w:jc w:val="both"/>
        <w:rPr>
          <w:rFonts w:ascii="Times New Roman" w:hAnsi="Times New Roman"/>
          <w:sz w:val="24"/>
        </w:rPr>
      </w:pPr>
      <w:r>
        <w:rPr>
          <w:rFonts w:ascii="Times New Roman" w:hAnsi="Times New Roman"/>
          <w:sz w:val="24"/>
        </w:rPr>
        <w:t xml:space="preserve">(k) any material Loan Document or any material provision thereof, shall at any time and for any reason be declared by a court of competent jurisdiction to be null and void, or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proceeding shall be commenced by the Borrower seeking to establish the invalidity or unenforceability thereof (exclusive of questions of interpretation of any provision thereof), or the Borrower shall deny that it has any liability or obligation for the payment of principal or interest purported to be created under any Loan Document (other than in accordance with its terms); or </w:t>
      </w:r>
    </w:p>
    <w:p>
      <w:pPr>
        <w:pStyle w:val="TextBody"/>
        <w:bidi w:val="0"/>
        <w:spacing w:before="240" w:after="0"/>
        <w:jc w:val="both"/>
        <w:rPr>
          <w:rFonts w:ascii="Times New Roman" w:hAnsi="Times New Roman"/>
          <w:sz w:val="24"/>
        </w:rPr>
      </w:pPr>
      <w:r>
        <w:rPr>
          <w:rFonts w:ascii="Times New Roman" w:hAnsi="Times New Roman"/>
          <w:sz w:val="24"/>
        </w:rPr>
        <w:t xml:space="preserve">(l) there shall occur any Change of Control. </w:t>
      </w:r>
    </w:p>
    <w:p>
      <w:pPr>
        <w:pStyle w:val="TextBody"/>
        <w:bidi w:val="0"/>
        <w:spacing w:before="240" w:after="0"/>
        <w:jc w:val="both"/>
        <w:rPr>
          <w:rFonts w:ascii="Times New Roman" w:hAnsi="Times New Roman"/>
          <w:sz w:val="24"/>
        </w:rPr>
      </w:pPr>
      <w:r>
        <w:rPr>
          <w:rFonts w:ascii="Times New Roman" w:hAnsi="Times New Roman"/>
          <w:sz w:val="24"/>
        </w:rPr>
        <w:t>Section 8.2 </w:t>
      </w:r>
      <w:r>
        <w:rPr>
          <w:rFonts w:ascii="Times New Roman" w:hAnsi="Times New Roman"/>
          <w:sz w:val="24"/>
          <w:u w:val="single"/>
        </w:rPr>
        <w:t>Remedies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(a) If an Event of Default specified in Section 8.1 (other than an Event of Default under Section 8.1(f) or (g) hereof) shall have occurred and shall be continuing, the Administrative Agent, at the request of the Majority Lenders but subject to Section 9.3 hereof, shall declare the principal of and interest on the Loans and the Notes, if any, and all other amounts owed to the Lenders and the Administrative Agent under this Agreement, the Notes and any other Loan Documents to be forthwith due and payable without presentment, demand, protest or other notice of any kind, all of which are hereby expressly waived, anything in this Agreement, the Notes or any other Loan Document to the contrary notwithstanding. </w:t>
      </w:r>
    </w:p>
    <w:p>
      <w:pPr>
        <w:pStyle w:val="TextBody"/>
        <w:bidi w:val="0"/>
        <w:spacing w:before="240" w:after="0"/>
        <w:jc w:val="both"/>
        <w:rPr>
          <w:rFonts w:ascii="Times New Roman" w:hAnsi="Times New Roman"/>
          <w:sz w:val="24"/>
        </w:rPr>
      </w:pPr>
      <w:r>
        <w:rPr>
          <w:rFonts w:ascii="Times New Roman" w:hAnsi="Times New Roman"/>
          <w:sz w:val="24"/>
        </w:rPr>
        <w:t xml:space="preserve">(b) Upon the occurrence and continuance of an Event of Default specified in Section 8.1(f) or (g) hereof, (i) all principal, interest and other amounts due hereunder and under the Notes, and all other Obligations, shall thereupon and concurrently therewith become due and payable and the principal amount of the Loans outstanding hereunder shall bear interest at the Default Rate, all without any action by the Administrative Agent, the Lenders, the Majority Lenders or any of them, and/or (ii) the Administrative Agent, at the request of the Majority Lenders but subject to Section 9.3 hereof, shall declare that the 2021 Term Loan Commitments are terminated, whereupon the 2021 Term Loan Commitments and the obligation of each Lender to make any Loan thereunder shall immediately terminate, in each case of clauses (i) and (ii), without presentment, demand, protest or other notice of any kind, all of which are expressly waived, anything in this Agreement or in the other Loan Documents to the contrary notwithstanding. </w:t>
      </w:r>
    </w:p>
    <w:p>
      <w:pPr>
        <w:pStyle w:val="TextBody"/>
        <w:bidi w:val="0"/>
        <w:spacing w:before="240" w:after="0"/>
        <w:jc w:val="both"/>
        <w:rPr>
          <w:rFonts w:ascii="Times New Roman" w:hAnsi="Times New Roman"/>
          <w:sz w:val="24"/>
        </w:rPr>
      </w:pPr>
      <w:r>
        <w:rPr>
          <w:rFonts w:ascii="Times New Roman" w:hAnsi="Times New Roman"/>
          <w:sz w:val="24"/>
        </w:rPr>
        <w:t xml:space="preserve">(c) Upon acceleration of the Loans, as provided in Section 8.2(a) or (b) hereof, the Administrative Agent and the Lenders shall have all of the post-default rights granted to them, or any of them, as applicable under the Loan Documents and under Applicable Law. </w:t>
      </w:r>
    </w:p>
    <w:p>
      <w:pPr>
        <w:pStyle w:val="TextBody"/>
        <w:bidi w:val="0"/>
        <w:spacing w:before="240" w:after="0"/>
        <w:jc w:val="both"/>
        <w:rPr>
          <w:rFonts w:ascii="Times New Roman" w:hAnsi="Times New Roman"/>
          <w:sz w:val="24"/>
        </w:rPr>
      </w:pPr>
      <w:r>
        <w:rPr>
          <w:rFonts w:ascii="Times New Roman" w:hAnsi="Times New Roman"/>
          <w:sz w:val="24"/>
        </w:rPr>
        <w:t xml:space="preserve">(d) The rights and remedies of the Administrative Agent and the Lenders hereunder shall be cumulative, and not exclusive. </w:t>
      </w:r>
    </w:p>
    <w:p>
      <w:pPr>
        <w:pStyle w:val="TextBody"/>
        <w:bidi w:val="0"/>
        <w:spacing w:before="240" w:after="0"/>
        <w:jc w:val="both"/>
        <w:rPr>
          <w:rFonts w:ascii="Times New Roman" w:hAnsi="Times New Roman"/>
          <w:sz w:val="24"/>
        </w:rPr>
      </w:pPr>
      <w:r>
        <w:rPr>
          <w:rFonts w:ascii="Times New Roman" w:hAnsi="Times New Roman"/>
          <w:sz w:val="24"/>
        </w:rPr>
        <w:t>Section 8.3 </w:t>
      </w:r>
      <w:r>
        <w:rPr>
          <w:rFonts w:ascii="Times New Roman" w:hAnsi="Times New Roman"/>
          <w:sz w:val="24"/>
          <w:u w:val="single"/>
        </w:rPr>
        <w:t>Payments Subsequent to Declaration of Event of Default</w:t>
      </w:r>
      <w:r>
        <w:rPr>
          <w:rFonts w:ascii="Times New Roman" w:hAnsi="Times New Roman"/>
          <w:sz w:val="24"/>
        </w:rPr>
        <w:t xml:space="preserve">. Subsequent to the acceleration of the Loans under Section 8.2 hereof, payments and prepayments under this Agreement made to the Administrative Agent and the Lenders or otherwise received by any of such Persons shall be paid over to the Administrative Agent (if necessary) and distributed by the Administrative Agent as follows: </w:t>
      </w:r>
      <w:r>
        <w:rPr>
          <w:rFonts w:ascii="Times New Roman" w:hAnsi="Times New Roman"/>
          <w:sz w:val="24"/>
          <w:u w:val="single"/>
        </w:rPr>
        <w:t>first</w:t>
      </w:r>
      <w:r>
        <w:rPr>
          <w:rFonts w:ascii="Times New Roman" w:hAnsi="Times New Roman"/>
          <w:sz w:val="24"/>
        </w:rPr>
        <w:t xml:space="preserve">, to the Administrative Agent’s and the Lenders’ reasonable costs and expenses, if any, incurred in connection with the collection of such payment or prepayment, including, without limitation, all amounts under Section 11.2(b) hereof; </w:t>
      </w:r>
      <w:r>
        <w:rPr>
          <w:rFonts w:ascii="Times New Roman" w:hAnsi="Times New Roman"/>
          <w:sz w:val="24"/>
          <w:u w:val="single"/>
        </w:rPr>
        <w:t>second</w:t>
      </w:r>
      <w:r>
        <w:rPr>
          <w:rFonts w:ascii="Times New Roman" w:hAnsi="Times New Roman"/>
          <w:sz w:val="24"/>
        </w:rPr>
        <w:t xml:space="preserve">, to the Administrative Agent for any fees hereunder or under any of the other Loan Documents then due and payable; </w:t>
      </w:r>
      <w:r>
        <w:rPr>
          <w:rFonts w:ascii="Times New Roman" w:hAnsi="Times New Roman"/>
          <w:sz w:val="24"/>
          <w:u w:val="single"/>
        </w:rPr>
        <w:t>third</w:t>
      </w:r>
      <w:r>
        <w:rPr>
          <w:rFonts w:ascii="Times New Roman" w:hAnsi="Times New Roman"/>
          <w:sz w:val="24"/>
        </w:rPr>
        <w:t xml:space="preserve">, to the Lenders pro rata on the basis of their respective unpaid principal amounts (except as provided in Section 2.2(e) hereof), for the payment of any unpaid interest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which may have accrued on the Obligations and any fees hereunder or under any of the other Loan Documents then due and payable; </w:t>
      </w:r>
      <w:r>
        <w:rPr>
          <w:rFonts w:ascii="Times New Roman" w:hAnsi="Times New Roman"/>
          <w:sz w:val="24"/>
          <w:u w:val="single"/>
        </w:rPr>
        <w:t>fourth</w:t>
      </w:r>
      <w:r>
        <w:rPr>
          <w:rFonts w:ascii="Times New Roman" w:hAnsi="Times New Roman"/>
          <w:sz w:val="24"/>
        </w:rPr>
        <w:t xml:space="preserve">, to the Lenders pro rata until all Loans have been paid in full, for the payment of the Loans; </w:t>
      </w:r>
      <w:r>
        <w:rPr>
          <w:rFonts w:ascii="Times New Roman" w:hAnsi="Times New Roman"/>
          <w:sz w:val="24"/>
          <w:u w:val="single"/>
        </w:rPr>
        <w:t>fifth</w:t>
      </w:r>
      <w:r>
        <w:rPr>
          <w:rFonts w:ascii="Times New Roman" w:hAnsi="Times New Roman"/>
          <w:sz w:val="24"/>
        </w:rPr>
        <w:t xml:space="preserve">, to the Lenders pro rata on the basis of their respective unpaid amounts, for the payment of any other unpaid Obligations; and </w:t>
      </w:r>
      <w:r>
        <w:rPr>
          <w:rFonts w:ascii="Times New Roman" w:hAnsi="Times New Roman"/>
          <w:sz w:val="24"/>
          <w:u w:val="single"/>
        </w:rPr>
        <w:t>sixth</w:t>
      </w:r>
      <w:r>
        <w:rPr>
          <w:rFonts w:ascii="Times New Roman" w:hAnsi="Times New Roman"/>
          <w:sz w:val="24"/>
        </w:rPr>
        <w:t xml:space="preserve">, to the Borrower or as otherwise required by Applicable Law. </w:t>
      </w:r>
    </w:p>
    <w:p>
      <w:pPr>
        <w:pStyle w:val="TextBody"/>
        <w:bidi w:val="0"/>
        <w:spacing w:before="240" w:after="0"/>
        <w:jc w:val="center"/>
        <w:rPr>
          <w:rFonts w:ascii="Times New Roman" w:hAnsi="Times New Roman"/>
          <w:sz w:val="24"/>
        </w:rPr>
      </w:pPr>
      <w:r>
        <w:rPr>
          <w:rFonts w:ascii="Times New Roman" w:hAnsi="Times New Roman"/>
          <w:sz w:val="24"/>
        </w:rPr>
        <w:t xml:space="preserve">ARTICLE 9 - THE ADMINISTRATIVE AGENT </w:t>
      </w:r>
    </w:p>
    <w:p>
      <w:pPr>
        <w:pStyle w:val="TextBody"/>
        <w:bidi w:val="0"/>
        <w:spacing w:before="240" w:after="0"/>
        <w:jc w:val="both"/>
        <w:rPr>
          <w:rFonts w:ascii="Times New Roman" w:hAnsi="Times New Roman"/>
          <w:sz w:val="24"/>
        </w:rPr>
      </w:pPr>
      <w:r>
        <w:rPr>
          <w:rFonts w:ascii="Times New Roman" w:hAnsi="Times New Roman"/>
          <w:sz w:val="24"/>
        </w:rPr>
        <w:t>Section 9.1 </w:t>
      </w:r>
      <w:r>
        <w:rPr>
          <w:rFonts w:ascii="Times New Roman" w:hAnsi="Times New Roman"/>
          <w:sz w:val="24"/>
          <w:u w:val="single"/>
        </w:rPr>
        <w:t>Appointment and Authorization</w:t>
      </w:r>
      <w:r>
        <w:rPr>
          <w:rFonts w:ascii="Times New Roman" w:hAnsi="Times New Roman"/>
          <w:sz w:val="24"/>
        </w:rPr>
        <w:t xml:space="preserve">. Each of the Lenders hereby irrevocably appoints Mizuho Bank, Ltd.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 party beneficiary of any of such provisions. </w:t>
      </w:r>
    </w:p>
    <w:p>
      <w:pPr>
        <w:pStyle w:val="TextBody"/>
        <w:bidi w:val="0"/>
        <w:spacing w:before="240" w:after="0"/>
        <w:jc w:val="both"/>
        <w:rPr>
          <w:rFonts w:ascii="Times New Roman" w:hAnsi="Times New Roman"/>
          <w:sz w:val="24"/>
        </w:rPr>
      </w:pPr>
      <w:r>
        <w:rPr>
          <w:rFonts w:ascii="Times New Roman" w:hAnsi="Times New Roman"/>
          <w:sz w:val="24"/>
        </w:rPr>
        <w:t>Section 9.2 </w:t>
      </w:r>
      <w:r>
        <w:rPr>
          <w:rFonts w:ascii="Times New Roman" w:hAnsi="Times New Roman"/>
          <w:sz w:val="24"/>
          <w:u w:val="single"/>
        </w:rPr>
        <w:t>Rights as a Lender</w:t>
      </w:r>
      <w:r>
        <w:rPr>
          <w:rFonts w:ascii="Times New Roman" w:hAnsi="Times New Roman"/>
          <w:sz w:val="24"/>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bidi w:val="0"/>
        <w:spacing w:before="240" w:after="0"/>
        <w:jc w:val="both"/>
        <w:rPr>
          <w:rFonts w:ascii="Times New Roman" w:hAnsi="Times New Roman"/>
          <w:sz w:val="24"/>
        </w:rPr>
      </w:pPr>
      <w:r>
        <w:rPr>
          <w:rFonts w:ascii="Times New Roman" w:hAnsi="Times New Roman"/>
          <w:sz w:val="24"/>
        </w:rPr>
        <w:t>Section 9.3 </w:t>
      </w:r>
      <w:r>
        <w:rPr>
          <w:rFonts w:ascii="Times New Roman" w:hAnsi="Times New Roman"/>
          <w:sz w:val="24"/>
          <w:u w:val="single"/>
        </w:rPr>
        <w:t>Exculpatory Provisions</w:t>
      </w:r>
      <w:r>
        <w:rPr>
          <w:rFonts w:ascii="Times New Roman" w:hAnsi="Times New Roman"/>
          <w:sz w:val="24"/>
        </w:rPr>
        <w:t xml:space="preserve">. The Administrative Agent shall not have any duties or obligations except those expressly set forth herein and in the other Loan Documents. Without limiting the generality of the foregoing,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(a) shall not be subject to any fiduciary or other implied duties, regardless of whether a Default has occurred and is continuing; </w:t>
      </w:r>
    </w:p>
    <w:p>
      <w:pPr>
        <w:pStyle w:val="TextBody"/>
        <w:bidi w:val="0"/>
        <w:spacing w:before="240" w:after="0"/>
        <w:jc w:val="both"/>
        <w:rPr>
          <w:rFonts w:ascii="Times New Roman" w:hAnsi="Times New Roman"/>
          <w:sz w:val="24"/>
        </w:rPr>
      </w:pPr>
      <w:r>
        <w:rPr>
          <w:rFonts w:ascii="Times New Roman" w:hAnsi="Times New Roman"/>
          <w:sz w:val="24"/>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shall be expressly provided for herein or in the other Loan Documents), </w:t>
      </w:r>
      <w:r>
        <w:rPr>
          <w:rFonts w:ascii="Times New Roman" w:hAnsi="Times New Roman"/>
          <w:sz w:val="24"/>
          <w:u w:val="single"/>
        </w:rPr>
        <w:t>provided</w:t>
      </w:r>
      <w:r>
        <w:rPr>
          <w:rFonts w:ascii="Times New Roman" w:hAnsi="Times New Roman"/>
          <w:sz w:val="24"/>
        </w:rPr>
        <w:t xml:space="preserve"> that the Administrative Agent shall not be required to take any action that, in its opinion or the opinion of its counsel, may expose the Administrative Agent to liability or that is contrary to any Loan Document or Applicable Law; and </w:t>
      </w:r>
    </w:p>
    <w:p>
      <w:pPr>
        <w:pStyle w:val="TextBody"/>
        <w:bidi w:val="0"/>
        <w:spacing w:before="240" w:after="0"/>
        <w:jc w:val="both"/>
        <w:rPr>
          <w:rFonts w:ascii="Times New Roman" w:hAnsi="Times New Roman"/>
          <w:sz w:val="24"/>
        </w:rPr>
      </w:pPr>
      <w:r>
        <w:rPr>
          <w:rFonts w:ascii="Times New Roman" w:hAnsi="Times New Roman"/>
          <w:sz w:val="24"/>
        </w:rPr>
        <w:t xml:space="preserve">(c) shall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The Administrative Agent shall not be liable for any action taken or not taken by it (i) with the consent or at the request of the Majority Lenders (or such other number or percentage of the Lenders as shall be necessary, or as the Administrative Agent shall believe in good faith shall be necessary, under the circumstances as provided in </w:t>
      </w:r>
      <w:r>
        <w:rPr>
          <w:rFonts w:ascii="Times New Roman" w:hAnsi="Times New Roman"/>
          <w:sz w:val="24"/>
          <w:u w:val="single"/>
        </w:rPr>
        <w:t>Sections 11.11</w:t>
      </w:r>
      <w:r>
        <w:rPr>
          <w:rFonts w:ascii="Times New Roman" w:hAnsi="Times New Roman"/>
          <w:sz w:val="24"/>
        </w:rPr>
        <w:t xml:space="preserve"> and </w:t>
      </w:r>
      <w:r>
        <w:rPr>
          <w:rFonts w:ascii="Times New Roman" w:hAnsi="Times New Roman"/>
          <w:sz w:val="24"/>
          <w:u w:val="single"/>
        </w:rPr>
        <w:t>8.2</w:t>
      </w:r>
      <w:r>
        <w:rPr>
          <w:rFonts w:ascii="Times New Roman" w:hAnsi="Times New Roman"/>
          <w:sz w:val="24"/>
        </w:rPr>
        <w:t xml:space="preserve">) or (ii) in the absence of its own gross negligence or willful misconduct. The Administrative Agent shall be deemed not to have knowledge of any Default unless and until notice describing such Default is given to the Administrative Agent in writing by the Borrower or a Lender. </w:t>
      </w:r>
    </w:p>
    <w:p>
      <w:pPr>
        <w:pStyle w:val="TextBody"/>
        <w:bidi w:val="0"/>
        <w:spacing w:before="240" w:after="0"/>
        <w:jc w:val="both"/>
        <w:rPr>
          <w:rFonts w:ascii="Times New Roman" w:hAnsi="Times New Roman"/>
          <w:sz w:val="24"/>
        </w:rPr>
      </w:pPr>
      <w:r>
        <w:rPr>
          <w:rFonts w:ascii="Times New Roman" w:hAnsi="Times New Roman"/>
          <w:sz w:val="24"/>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hAnsi="Times New Roman"/>
          <w:sz w:val="24"/>
          <w:u w:val="single"/>
        </w:rPr>
        <w:t>Article 3</w:t>
      </w:r>
      <w:r>
        <w:rPr>
          <w:rFonts w:ascii="Times New Roman" w:hAnsi="Times New Roman"/>
          <w:sz w:val="24"/>
        </w:rPr>
        <w:t xml:space="preserve"> or elsewhere herein, other than to confirm receipt of items expressly required to be delivered to the Administrative Agent. </w:t>
      </w:r>
    </w:p>
    <w:p>
      <w:pPr>
        <w:pStyle w:val="TextBody"/>
        <w:bidi w:val="0"/>
        <w:spacing w:before="240" w:after="0"/>
        <w:jc w:val="both"/>
        <w:rPr>
          <w:rFonts w:ascii="Times New Roman" w:hAnsi="Times New Roman"/>
          <w:sz w:val="24"/>
        </w:rPr>
      </w:pPr>
      <w:r>
        <w:rPr>
          <w:rFonts w:ascii="Times New Roman" w:hAnsi="Times New Roman"/>
          <w:sz w:val="24"/>
        </w:rPr>
        <w:t>Section 9.4 </w:t>
      </w:r>
      <w:r>
        <w:rPr>
          <w:rFonts w:ascii="Times New Roman" w:hAnsi="Times New Roman"/>
          <w:sz w:val="24"/>
          <w:u w:val="single"/>
        </w:rPr>
        <w:t>Reliance by Administrative Agent</w:t>
      </w:r>
      <w:r>
        <w:rPr>
          <w:rFonts w:ascii="Times New Roman" w:hAnsi="Times New Roman"/>
          <w:sz w:val="24"/>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both"/>
        <w:rPr>
          <w:rFonts w:ascii="Times New Roman" w:hAnsi="Times New Roman"/>
          <w:sz w:val="24"/>
        </w:rPr>
      </w:pPr>
      <w:r>
        <w:rPr>
          <w:rFonts w:ascii="Times New Roman" w:hAnsi="Times New Roman"/>
          <w:sz w:val="24"/>
        </w:rPr>
        <w:t>Section 9.5 </w:t>
      </w:r>
      <w:r>
        <w:rPr>
          <w:rFonts w:ascii="Times New Roman" w:hAnsi="Times New Roman"/>
          <w:sz w:val="24"/>
          <w:u w:val="single"/>
        </w:rPr>
        <w:t>Resignation of Administrative Agent</w:t>
      </w:r>
      <w:r>
        <w:rPr>
          <w:rFonts w:ascii="Times New Roman" w:hAnsi="Times New Roman"/>
          <w:sz w:val="24"/>
        </w:rPr>
        <w:t>. (a) The Administrative Agent may at any time give notice of its resignation to the Lenders and the Borrower. Upon receipt of any such notice of resignation, the Majority Lenders shall have the right to appoint a successor, which shall (i) be a bank with (A) an office in the United States, or an Affiliate of a bank with an office in the United States, and (B) combined capital and reserves in excess of $250,000,000 (clauses (A) and (B) together, the “</w:t>
      </w:r>
      <w:r>
        <w:rPr>
          <w:rFonts w:ascii="Times New Roman" w:hAnsi="Times New Roman"/>
          <w:sz w:val="24"/>
          <w:u w:val="single"/>
        </w:rPr>
        <w:t>Agent Qualifications</w:t>
      </w:r>
      <w:r>
        <w:rPr>
          <w:rFonts w:ascii="Times New Roman" w:hAnsi="Times New Roman"/>
          <w:sz w:val="24"/>
        </w:rPr>
        <w:t>”) and (ii) so long as no Event of Default is continuing, be reasonably acceptable to Borrower. If no such successor shall have been so appointed by the Majority Lenders and shall have accepted such appointment within thirty (30) days after the retiring Administrative Agent gives notice of its resignation (the “</w:t>
      </w:r>
      <w:r>
        <w:rPr>
          <w:rFonts w:ascii="Times New Roman" w:hAnsi="Times New Roman"/>
          <w:sz w:val="24"/>
          <w:u w:val="single"/>
        </w:rPr>
        <w:t>Resignation</w:t>
      </w:r>
      <w:r>
        <w:rPr>
          <w:rFonts w:ascii="Times New Roman" w:hAnsi="Times New Roman"/>
          <w:sz w:val="24"/>
        </w:rPr>
        <w:t xml:space="preserve"> </w:t>
      </w:r>
      <w:r>
        <w:rPr>
          <w:rFonts w:ascii="Times New Roman" w:hAnsi="Times New Roman"/>
          <w:sz w:val="24"/>
          <w:u w:val="single"/>
        </w:rPr>
        <w:t>Effective Date</w:t>
      </w:r>
      <w:r>
        <w:rPr>
          <w:rFonts w:ascii="Times New Roman" w:hAnsi="Times New Roman"/>
          <w:sz w:val="24"/>
        </w:rPr>
        <w:t xml:space="preserve">”), then the retiring Administrative Agent may (but shall not be obligated to), on behalf of the Lenders and in consultation with the Borrower, appoint a successor Administrative Agent meeting the Agent Qualifications. Whether or not a successor has been appointed, such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resignation shall become effective in accordance with such notice on the Resignation Effective Date. </w:t>
      </w:r>
    </w:p>
    <w:p>
      <w:pPr>
        <w:pStyle w:val="TextBody"/>
        <w:bidi w:val="0"/>
        <w:spacing w:before="240" w:after="0"/>
        <w:jc w:val="both"/>
        <w:rPr>
          <w:rFonts w:ascii="Times New Roman" w:hAnsi="Times New Roman"/>
          <w:sz w:val="24"/>
        </w:rPr>
      </w:pPr>
      <w:r>
        <w:rPr>
          <w:rFonts w:ascii="Times New Roman" w:hAnsi="Times New Roman"/>
          <w:sz w:val="24"/>
        </w:rPr>
        <w:t>(b) If the Person serving as Administrative Agent has, (i) become the subject of a voluntary proceeding under any bankruptcy or other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voluntary or involuntary proceeding under any bankruptcy or other debtor relief law or any such appointment, the Majority Lenders may, to the extent permitted by Applicable Law, by notice in writing to the Borrower and such Person remove such Person as Administrative Agent and appoint a successor Administrative Agent meeting the Agent Qualifications and which, so long as no Event of Default is continuing, is reasonably acceptable to Borrower. If no such successor shall have been so appointed by the Majority Lenders and shall have accepted such appointment within thirty (30) days (or such earlier day as shall be agreed by the Majority Lenders) (the “</w:t>
      </w:r>
      <w:r>
        <w:rPr>
          <w:rFonts w:ascii="Times New Roman" w:hAnsi="Times New Roman"/>
          <w:sz w:val="24"/>
          <w:u w:val="single"/>
        </w:rPr>
        <w:t>Removal Effective Date</w:t>
      </w:r>
      <w:r>
        <w:rPr>
          <w:rFonts w:ascii="Times New Roman" w:hAnsi="Times New Roman"/>
          <w:sz w:val="24"/>
        </w:rPr>
        <w:t xml:space="preserve">”), then such removal shall nonetheless become effective in accordance with such notice on the Removal Effective Date. </w:t>
      </w:r>
    </w:p>
    <w:p>
      <w:pPr>
        <w:pStyle w:val="TextBody"/>
        <w:bidi w:val="0"/>
        <w:spacing w:before="240" w:after="0"/>
        <w:jc w:val="both"/>
        <w:rPr>
          <w:rFonts w:ascii="Times New Roman" w:hAnsi="Times New Roman"/>
          <w:sz w:val="24"/>
        </w:rPr>
      </w:pPr>
      <w:r>
        <w:rPr>
          <w:rFonts w:ascii="Times New Roman" w:hAnsi="Times New Roman"/>
          <w:sz w:val="24"/>
        </w:rPr>
        <w:t xml:space="preserve">(c) With effect from, as applicable, the Resignation Effective Date or the Removal Effective Date (1)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Majority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Times New Roman" w:hAnsi="Times New Roman"/>
          <w:sz w:val="24"/>
          <w:u w:val="single"/>
        </w:rPr>
        <w:t>Sections 11.2</w:t>
      </w:r>
      <w:r>
        <w:rPr>
          <w:rFonts w:ascii="Times New Roman" w:hAnsi="Times New Roman"/>
          <w:sz w:val="24"/>
        </w:rPr>
        <w:t xml:space="preserve"> and </w:t>
      </w:r>
      <w:r>
        <w:rPr>
          <w:rFonts w:ascii="Times New Roman" w:hAnsi="Times New Roman"/>
          <w:sz w:val="24"/>
          <w:u w:val="single"/>
        </w:rPr>
        <w:t>11.5</w:t>
      </w:r>
      <w:r>
        <w:rPr>
          <w:rFonts w:ascii="Times New Roman" w:hAnsi="Times New Roman"/>
          <w:sz w:val="24"/>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 </w:t>
      </w:r>
    </w:p>
    <w:p>
      <w:pPr>
        <w:pStyle w:val="TextBody"/>
        <w:bidi w:val="0"/>
        <w:spacing w:before="240" w:after="0"/>
        <w:jc w:val="both"/>
        <w:rPr>
          <w:rFonts w:ascii="Times New Roman" w:hAnsi="Times New Roman"/>
          <w:sz w:val="24"/>
        </w:rPr>
      </w:pPr>
      <w:r>
        <w:rPr>
          <w:rFonts w:ascii="Times New Roman" w:hAnsi="Times New Roman"/>
          <w:sz w:val="24"/>
        </w:rPr>
        <w:t>Section 9.6 </w:t>
      </w:r>
      <w:r>
        <w:rPr>
          <w:rFonts w:ascii="Times New Roman" w:hAnsi="Times New Roman"/>
          <w:sz w:val="24"/>
          <w:u w:val="single"/>
        </w:rPr>
        <w:t>Non-Reliance on Administrative Agent and Other Lenders</w:t>
      </w:r>
      <w:r>
        <w:rPr>
          <w:rFonts w:ascii="Times New Roman" w:hAnsi="Times New Roman"/>
          <w:sz w:val="24"/>
        </w:rPr>
        <w:t xml:space="preserve">.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its own decisions in taking or not taking action under or based upon this Agreement, any other Loan Document or any related agreement or any document furnished hereunder or thereunder. </w:t>
      </w:r>
    </w:p>
    <w:p>
      <w:pPr>
        <w:pStyle w:val="TextBody"/>
        <w:bidi w:val="0"/>
        <w:spacing w:before="240" w:after="0"/>
        <w:jc w:val="both"/>
        <w:rPr>
          <w:rFonts w:ascii="Times New Roman" w:hAnsi="Times New Roman"/>
          <w:sz w:val="24"/>
        </w:rPr>
      </w:pPr>
      <w:r>
        <w:rPr>
          <w:rFonts w:ascii="Times New Roman" w:hAnsi="Times New Roman"/>
          <w:sz w:val="24"/>
        </w:rPr>
        <w:t>Section 9.7 </w:t>
      </w:r>
      <w:r>
        <w:rPr>
          <w:rFonts w:ascii="Times New Roman" w:hAnsi="Times New Roman"/>
          <w:sz w:val="24"/>
          <w:u w:val="single"/>
        </w:rPr>
        <w:t>Indemnification</w:t>
      </w:r>
      <w:r>
        <w:rPr>
          <w:rFonts w:ascii="Times New Roman" w:hAnsi="Times New Roman"/>
          <w:sz w:val="24"/>
        </w:rPr>
        <w:t xml:space="preserve">. The Lenders severally, and not jointly, agree to indemnify the Administrative Agent (to the extent not reimbursed by the Borrower but without affecting the Borrower’s obligations with respect thereto) pro rata, from and against any and all liabilities, obligations, losses (other than the loss of principal, interest and fees hereunder in the event of a bankruptcy or out-of-court ‘work-out’ of the Loans), damages, penalties, actions, judgments, suits, or reasonable out-of-pocket costs, expenses (including, without limitation, fees and disbursements of experts, agents, consultants and counsel), or disbursements of any kind or nature whatsoever which may be imposed on, incurred by or asserted against the Administrative Agent in any way relating to or arising out of this Agreement, any other Loan Document, or any other document contemplated by this Agreement or any other Loan Document or any action taken or omitted by the Administrative Agent under this Agreement, any other Loan Document, or any other document contemplated by this Agreement, except that no Lender shall be liable to the Administrative Agent for any portion of such liabilities, obligations, losses, damages, penalties, actions, judgments, suits, or reasonable out-of-pocket costs, expenses or disbursements resulting from the gross negligence or willful misconduct of the Administrative Agent as determined by a final, non-appealable judicial order of a court having jurisdiction over the subject matter. </w:t>
      </w:r>
    </w:p>
    <w:p>
      <w:pPr>
        <w:pStyle w:val="TextBody"/>
        <w:bidi w:val="0"/>
        <w:spacing w:before="240" w:after="0"/>
        <w:jc w:val="both"/>
        <w:rPr>
          <w:rFonts w:ascii="Times New Roman" w:hAnsi="Times New Roman"/>
          <w:sz w:val="24"/>
        </w:rPr>
      </w:pPr>
      <w:r>
        <w:rPr>
          <w:rFonts w:ascii="Times New Roman" w:hAnsi="Times New Roman"/>
          <w:sz w:val="24"/>
        </w:rPr>
        <w:t>Section 9.8 </w:t>
      </w:r>
      <w:r>
        <w:rPr>
          <w:rFonts w:ascii="Times New Roman" w:hAnsi="Times New Roman"/>
          <w:sz w:val="24"/>
          <w:u w:val="single"/>
        </w:rPr>
        <w:t>No Responsibilities of the Agents</w:t>
      </w:r>
      <w:r>
        <w:rPr>
          <w:rFonts w:ascii="Times New Roman" w:hAnsi="Times New Roman"/>
          <w:sz w:val="24"/>
        </w:rPr>
        <w:t xml:space="preserve">. Notwithstanding any provision to the contrary contained elsewhere herein or in any other Loan Document, the Syndication Agent, the Joint Lead Arrangers and the Joint Bookrunners (as set forth on the cover page hereof) shall not have any duties or responsibilities, nor shall the Syndication Agent or any of the Joint Lead Arrangers or Joint Bookrunners have or be deemed to have any fiduciary relationship with any Lender or participant, and no implied covenants, functions, responsibilities, duties, obligations or liabilities shall be read into this Agreement or any other Loan Document or otherwise exist against the Syndication Agent or any of the Joint Lead Arrangers or Joint Bookrunners. </w:t>
      </w:r>
    </w:p>
    <w:p>
      <w:pPr>
        <w:pStyle w:val="TextBody"/>
        <w:bidi w:val="0"/>
        <w:spacing w:before="240" w:after="0"/>
        <w:jc w:val="both"/>
        <w:rPr>
          <w:rFonts w:ascii="Times New Roman" w:hAnsi="Times New Roman"/>
          <w:sz w:val="24"/>
        </w:rPr>
      </w:pPr>
      <w:r>
        <w:rPr>
          <w:rFonts w:ascii="Times New Roman" w:hAnsi="Times New Roman"/>
          <w:sz w:val="24"/>
        </w:rPr>
        <w:t>Section 9.9 </w:t>
      </w:r>
      <w:r>
        <w:rPr>
          <w:rFonts w:ascii="Times New Roman" w:hAnsi="Times New Roman"/>
          <w:sz w:val="24"/>
          <w:u w:val="single"/>
        </w:rPr>
        <w:t>Lender ERISA Matters</w:t>
      </w:r>
      <w:r>
        <w:rPr>
          <w:rFonts w:ascii="Times New Roman" w:hAnsi="Times New Roman"/>
          <w:sz w:val="24"/>
        </w:rPr>
        <w:t xml:space="preserve">. Each Lender represents and warrants as of the date hereof to the Administrative Agent and each Joint Lead Arranger and their respective Affiliates, and not, for the avoidance of doubt, for the benefit of the Borrower, that such Lender is not and will not be (i) an employee benefit plan subject to Title I of ERISA, (ii) a plan or account subject to Section 4975 of the Internal Revenue Code; (iii) an entity deemed to hold “plan assets” of any such plans or accounts for purposes of ERISA or the Internal Revenue Code that is using “plan assets” of any such plans or accounts to fund or hold Loans or perform its obligations under this Agreement; or (iv) a “governmental plan” within the meaning of ERISA. </w:t>
      </w:r>
    </w:p>
    <w:p>
      <w:pPr>
        <w:pStyle w:val="TextBody"/>
        <w:bidi w:val="0"/>
        <w:spacing w:before="240" w:after="0"/>
        <w:jc w:val="both"/>
        <w:rPr>
          <w:rFonts w:ascii="Times New Roman" w:hAnsi="Times New Roman"/>
          <w:sz w:val="24"/>
        </w:rPr>
      </w:pPr>
      <w:r>
        <w:rPr>
          <w:rFonts w:ascii="Times New Roman" w:hAnsi="Times New Roman"/>
          <w:sz w:val="24"/>
        </w:rPr>
        <w:t>Section 9.10 </w:t>
      </w:r>
      <w:r>
        <w:rPr>
          <w:rFonts w:ascii="Times New Roman" w:hAnsi="Times New Roman"/>
          <w:sz w:val="24"/>
          <w:u w:val="single"/>
        </w:rPr>
        <w:t>Erroneous Payments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4"/>
          <w:u w:val="single"/>
        </w:rPr>
        <w:t>Payment</w:t>
      </w:r>
      <w:r>
        <w:rPr>
          <w:rFonts w:ascii="Times New Roman" w:hAnsi="Times New Roman"/>
          <w:sz w:val="24"/>
        </w:rPr>
        <w:t xml:space="preserve">”) were erroneously transmitted to such Lender (whether or not known to such Lender), and demands the return of such Payment (or a portion thereof), such Lender shall promptly, but in no event later than two Business Days thereafter, return to the Administrative Agent the amount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9.10 shall be conclusive, absent manifest error. </w:t>
      </w:r>
    </w:p>
    <w:p>
      <w:pPr>
        <w:pStyle w:val="TextBody"/>
        <w:bidi w:val="0"/>
        <w:spacing w:before="240" w:after="0"/>
        <w:jc w:val="both"/>
        <w:rPr>
          <w:rFonts w:ascii="Times New Roman" w:hAnsi="Times New Roman"/>
          <w:sz w:val="24"/>
        </w:rPr>
      </w:pPr>
      <w:r>
        <w:rPr>
          <w:rFonts w:ascii="Times New Roman" w:hAnsi="Times New Roman"/>
          <w:sz w:val="24"/>
        </w:rPr>
        <w:t>(b) Each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4"/>
          <w:u w:val="single"/>
        </w:rPr>
        <w:t>Payment Notice</w:t>
      </w:r>
      <w:r>
        <w:rPr>
          <w:rFonts w:ascii="Times New Roman" w:hAnsi="Times New Roman"/>
          <w:sz w:val="24"/>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TextBody"/>
        <w:bidi w:val="0"/>
        <w:spacing w:before="240" w:after="0"/>
        <w:jc w:val="both"/>
        <w:rPr>
          <w:rFonts w:ascii="Times New Roman" w:hAnsi="Times New Roman"/>
          <w:sz w:val="24"/>
        </w:rPr>
      </w:pPr>
      <w:r>
        <w:rPr>
          <w:rFonts w:ascii="Times New Roman" w:hAnsi="Times New Roman"/>
          <w:sz w:val="24"/>
        </w:rPr>
        <w:t xml:space="preserve">(c) The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w:t>
      </w:r>
    </w:p>
    <w:p>
      <w:pPr>
        <w:pStyle w:val="TextBody"/>
        <w:bidi w:val="0"/>
        <w:spacing w:before="240" w:after="0"/>
        <w:jc w:val="both"/>
        <w:rPr>
          <w:rFonts w:ascii="Times New Roman" w:hAnsi="Times New Roman"/>
          <w:sz w:val="24"/>
        </w:rPr>
      </w:pPr>
      <w:r>
        <w:rPr>
          <w:rFonts w:ascii="Times New Roman" w:hAnsi="Times New Roman"/>
          <w:sz w:val="24"/>
        </w:rPr>
        <w:t xml:space="preserve">(d) Each party’s obligations under this Section 9.10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240" w:after="0"/>
        <w:jc w:val="center"/>
        <w:rPr>
          <w:rFonts w:ascii="Times New Roman" w:hAnsi="Times New Roman"/>
          <w:sz w:val="24"/>
        </w:rPr>
      </w:pPr>
      <w:r>
        <w:rPr>
          <w:rFonts w:ascii="Times New Roman" w:hAnsi="Times New Roman"/>
          <w:sz w:val="24"/>
        </w:rPr>
        <w:t xml:space="preserve">ARTICLE 10 - CHANGES IN CIRCUMSTANCES </w:t>
      </w:r>
    </w:p>
    <w:p>
      <w:pPr>
        <w:pStyle w:val="TextBody"/>
        <w:bidi w:val="0"/>
        <w:spacing w:before="0" w:after="0"/>
        <w:jc w:val="center"/>
        <w:rPr>
          <w:rFonts w:ascii="Times New Roman" w:hAnsi="Times New Roman"/>
          <w:sz w:val="24"/>
        </w:rPr>
      </w:pPr>
      <w:r>
        <w:rPr>
          <w:rFonts w:ascii="Times New Roman" w:hAnsi="Times New Roman"/>
          <w:sz w:val="24"/>
        </w:rPr>
        <w:t xml:space="preserve">AFFECTING SOFR ADVANCES AND INCREASED COSTS </w:t>
      </w:r>
    </w:p>
    <w:p>
      <w:pPr>
        <w:pStyle w:val="TextBody"/>
        <w:bidi w:val="0"/>
        <w:spacing w:before="240" w:after="0"/>
        <w:jc w:val="both"/>
        <w:rPr>
          <w:rFonts w:ascii="Times New Roman" w:hAnsi="Times New Roman"/>
          <w:sz w:val="24"/>
        </w:rPr>
      </w:pPr>
      <w:r>
        <w:rPr>
          <w:rFonts w:ascii="Times New Roman" w:hAnsi="Times New Roman"/>
          <w:sz w:val="24"/>
        </w:rPr>
        <w:t>Section 10.1 </w:t>
      </w:r>
      <w:r>
        <w:rPr>
          <w:rFonts w:ascii="Times New Roman" w:hAnsi="Times New Roman"/>
          <w:sz w:val="24"/>
          <w:u w:val="single"/>
        </w:rPr>
        <w:t>Alternate Rate of 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Inability to Determine Rates</w:t>
      </w:r>
      <w:r>
        <w:rPr>
          <w:rFonts w:ascii="Times New Roman" w:hAnsi="Times New Roman"/>
          <w:sz w:val="24"/>
        </w:rPr>
        <w:t xml:space="preserve">. Subject to clauses (b), (c), (d), (e) and (f) of this Section 10.1, if, on or prior to the first day of any Interest Period for any SOFR Loan: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(i) the Administrative Agent determines (which determination shall be conclusive and binding absent manifest error) that “</w:t>
      </w:r>
      <w:r>
        <w:rPr>
          <w:rFonts w:ascii="Times New Roman" w:hAnsi="Times New Roman"/>
          <w:strike/>
          <w:color w:val="FF0000"/>
          <w:sz w:val="24"/>
        </w:rPr>
        <w:t xml:space="preserve">Adjusted </w:t>
      </w:r>
      <w:r>
        <w:rPr>
          <w:rFonts w:ascii="Times New Roman" w:hAnsi="Times New Roman"/>
          <w:sz w:val="24"/>
        </w:rPr>
        <w:t xml:space="preserve">Term SOFR” cannot be determined pursuant to the definition thereof, or </w:t>
      </w:r>
    </w:p>
    <w:p>
      <w:pPr>
        <w:pStyle w:val="TextBody"/>
        <w:bidi w:val="0"/>
        <w:spacing w:before="240" w:after="0"/>
        <w:jc w:val="both"/>
        <w:rPr>
          <w:rFonts w:ascii="Times New Roman" w:hAnsi="Times New Roman"/>
          <w:sz w:val="24"/>
        </w:rPr>
      </w:pPr>
      <w:r>
        <w:rPr>
          <w:rFonts w:ascii="Times New Roman" w:hAnsi="Times New Roman"/>
          <w:sz w:val="24"/>
        </w:rPr>
        <w:t xml:space="preserve">(ii) the Majority Lenders determine that for any reason in connection with any request for a SOFR Loan or a conversion thereto or a continuation thereof that </w:t>
      </w:r>
      <w:r>
        <w:rPr>
          <w:rFonts w:ascii="Times New Roman" w:hAnsi="Times New Roman"/>
          <w:strike/>
          <w:color w:val="FF0000"/>
          <w:sz w:val="24"/>
        </w:rPr>
        <w:t xml:space="preserve">Adjusted </w:t>
      </w:r>
      <w:r>
        <w:rPr>
          <w:rFonts w:ascii="Times New Roman" w:hAnsi="Times New Roman"/>
          <w:sz w:val="24"/>
        </w:rPr>
        <w:t xml:space="preserve">Term SOFR for any requested Interest Period with respect to a proposed SOFR Loan does not adequately and fairly reflect the cost to such Lenders of making and maintaining such Loan, and the Majority Lenders have provided notice of such determination to the Administrative Agent, </w:t>
      </w:r>
    </w:p>
    <w:p>
      <w:pPr>
        <w:pStyle w:val="TextBody"/>
        <w:bidi w:val="0"/>
        <w:spacing w:before="240" w:after="0"/>
        <w:jc w:val="both"/>
        <w:rPr>
          <w:rFonts w:ascii="Times New Roman" w:hAnsi="Times New Roman"/>
          <w:sz w:val="24"/>
        </w:rPr>
      </w:pPr>
      <w:r>
        <w:rPr>
          <w:rFonts w:ascii="Times New Roman" w:hAnsi="Times New Roman"/>
          <w:sz w:val="24"/>
        </w:rPr>
        <w:t xml:space="preserve">the Administrative Agent will promptly so notify the Borrower and each Lender. </w:t>
      </w:r>
    </w:p>
    <w:p>
      <w:pPr>
        <w:pStyle w:val="TextBody"/>
        <w:bidi w:val="0"/>
        <w:spacing w:before="240" w:after="0"/>
        <w:jc w:val="both"/>
        <w:rPr>
          <w:rFonts w:ascii="Times New Roman" w:hAnsi="Times New Roman"/>
          <w:sz w:val="24"/>
        </w:rPr>
      </w:pPr>
      <w:r>
        <w:rPr>
          <w:rFonts w:ascii="Times New Roman" w:hAnsi="Times New Roman"/>
          <w:sz w:val="24"/>
        </w:rPr>
        <w:t>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(with respect to clause (a)(ii), at the instruction of the Majority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Section 2.9. Subject to Section 10.1, if the Administrative Agent determines (which determination shall be conclusive and binding absent manifest error) that “</w:t>
      </w:r>
      <w:r>
        <w:rPr>
          <w:rFonts w:ascii="Times New Roman" w:hAnsi="Times New Roman"/>
          <w:strike/>
          <w:color w:val="FF0000"/>
          <w:sz w:val="24"/>
        </w:rPr>
        <w:t xml:space="preserve">Adjusted </w:t>
      </w:r>
      <w:r>
        <w:rPr>
          <w:rFonts w:ascii="Times New Roman" w:hAnsi="Times New Roman"/>
          <w:sz w:val="24"/>
        </w:rPr>
        <w:t xml:space="preserve">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Benchmark Replacement</w:t>
      </w:r>
      <w:r>
        <w:rPr>
          <w:rFonts w:ascii="Times New Roman" w:hAnsi="Times New Roman"/>
          <w:sz w:val="24"/>
        </w:rPr>
        <w:t xml:space="preserve">. Notwithstanding anything to the contrary herein or in any other Loan Document, if a Benchmark Transition Event and its related Benchmark Replacement Date have occurred prior any setting of the then -current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w:t>
      </w:r>
      <w:r>
        <w:rPr>
          <w:rFonts w:ascii="Times New Roman" w:hAnsi="Times New Roman"/>
          <w:strike/>
          <w:color w:val="FF0000"/>
          <w:sz w:val="24"/>
        </w:rPr>
        <w:t>the definition of “Adjusted Term SOFR” shall be deemed modified to delete the addition of the Term SOFR Adjustment to Term SOFR for any calculation and</w:t>
      </w:r>
      <w:r>
        <w:rPr>
          <w:rFonts w:ascii="Times New Roman" w:hAnsi="Times New Roman"/>
          <w:sz w:val="24"/>
        </w:rPr>
        <w:t xml:space="preserve">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Document so long as the Administrative Agent has not received, by such time, written notice of objection to such Benchmark Replacement from Lenders comprising the Majority Lenders. If the Benchmark Replacement is Daily Simple SOFR, all interest payments will be payable on a quarterly basis.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Benchmark Replacement Conforming Changes</w:t>
      </w:r>
      <w:r>
        <w:rPr>
          <w:rFonts w:ascii="Times New Roman" w:hAnsi="Times New Roman"/>
          <w:sz w:val="24"/>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Notices; Standards for Decisions and Determinations</w:t>
      </w:r>
      <w:r>
        <w:rPr>
          <w:rFonts w:ascii="Times New Roman" w:hAnsi="Times New Roman"/>
          <w:sz w:val="24"/>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10.1(e) and (y) the commencement of any Benchmark Unavailability Period. Any determination, decision or election that may be made by the Administrative Agent or, if applicable, any Lender (or group of Lenders) pursuant to this Section 10.1,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10.1.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Unavailability of Tenor of Benchmark</w:t>
      </w:r>
      <w:r>
        <w:rPr>
          <w:rFonts w:ascii="Times New Roman" w:hAnsi="Times New Roman"/>
          <w:sz w:val="24"/>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sz w:val="24"/>
          <w:u w:val="single"/>
        </w:rPr>
        <w:t>Benchmark Unavailability Period</w:t>
      </w:r>
      <w:r>
        <w:rPr>
          <w:rFonts w:ascii="Times New Roman" w:hAnsi="Times New Roman"/>
          <w:sz w:val="24"/>
        </w:rPr>
        <w:t xml:space="preserve">. Upon the Borrower’s receipt of notice of the commencement of a Benchmark Unavailability Period, the Borrower may revoke any pending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request for a SOFR Advance of, conversion to or continuation of SOFR Loans to be made, converted or continued during any Benchmark Unavailability Period and, failing that, the Borrower will be deemed to have converted any such request into a request for an Advance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 </w:t>
      </w:r>
    </w:p>
    <w:p>
      <w:pPr>
        <w:pStyle w:val="TextBody"/>
        <w:bidi w:val="0"/>
        <w:spacing w:before="240" w:after="0"/>
        <w:jc w:val="both"/>
        <w:rPr>
          <w:rFonts w:ascii="Times New Roman" w:hAnsi="Times New Roman"/>
          <w:sz w:val="24"/>
        </w:rPr>
      </w:pPr>
      <w:r>
        <w:rPr>
          <w:rFonts w:ascii="Times New Roman" w:hAnsi="Times New Roman"/>
          <w:sz w:val="24"/>
        </w:rPr>
        <w:t>Section 10.2 </w:t>
      </w:r>
      <w:r>
        <w:rPr>
          <w:rFonts w:ascii="Times New Roman" w:hAnsi="Times New Roman"/>
          <w:sz w:val="24"/>
          <w:u w:val="single"/>
        </w:rPr>
        <w:t>Illegality</w:t>
      </w:r>
      <w:r>
        <w:rPr>
          <w:rFonts w:ascii="Times New Roman" w:hAnsi="Times New Roman"/>
          <w:sz w:val="24"/>
        </w:rPr>
        <w:t xml:space="preserve">. If any Lender determines that any Applicable Law has made it unlawful, or that any Governmental Authority has asserted that it is unlawful, for any Lender or its applicable lending office to make, maintain or fund Loans whose interest is determined by reference to SOFR, the Term SOFR Reference Rate, </w:t>
      </w:r>
      <w:r>
        <w:rPr>
          <w:rFonts w:ascii="Times New Roman" w:hAnsi="Times New Roman"/>
          <w:strike/>
          <w:color w:val="FF0000"/>
          <w:sz w:val="24"/>
        </w:rPr>
        <w:t>Adjusted Term SOFR</w:t>
      </w:r>
      <w:r>
        <w:rPr>
          <w:rFonts w:ascii="Times New Roman" w:hAnsi="Times New Roman"/>
          <w:sz w:val="24"/>
        </w:rPr>
        <w:t xml:space="preserve"> or Term SOFR, or to determine or charge interest based upon SOFR, the Term SOFR Reference Rate, </w:t>
      </w:r>
      <w:r>
        <w:rPr>
          <w:rFonts w:ascii="Times New Roman" w:hAnsi="Times New Roman"/>
          <w:strike/>
          <w:color w:val="FF0000"/>
          <w:sz w:val="24"/>
        </w:rPr>
        <w:t xml:space="preserve">Adjusted </w:t>
      </w:r>
      <w:r>
        <w:rPr>
          <w:rFonts w:ascii="Times New Roman" w:hAnsi="Times New Roman"/>
          <w:sz w:val="24"/>
        </w:rPr>
        <w:t>Term SOFR or Term SOFR, then, upon notice thereof by such Lender to the Borrower (through the Administrative Agent) (an “</w:t>
      </w:r>
      <w:r>
        <w:rPr>
          <w:rFonts w:ascii="Times New Roman" w:hAnsi="Times New Roman"/>
          <w:sz w:val="24"/>
          <w:u w:val="single"/>
        </w:rPr>
        <w:t>Illegality Notice</w:t>
      </w:r>
      <w:r>
        <w:rPr>
          <w:rFonts w:ascii="Times New Roman" w:hAnsi="Times New Roman"/>
          <w:sz w:val="24"/>
        </w:rPr>
        <w:t xml:space="preserve">”), (a) any obligation of the Lenders to make SOFR Advances, and any right of the Borrower to continue SOFR Advances or to convert Base Rate Loans to SOFR Advances, shall be suspended, and (b) the interest rate on which Base Rate Loans shall, if necessary to avoid such illegality,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Advances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Advances to such day, or immediately, if any Lender may not lawfully continue to maintain such SOFR Advances to such day, in each case until the Administrative Agent is advised in writing by each affected Lender that it is no longer illegal for such Lender to determine or charge interest rates based upon SOFR, the Term SOFR Reference Rate, </w:t>
      </w:r>
      <w:r>
        <w:rPr>
          <w:rFonts w:ascii="Times New Roman" w:hAnsi="Times New Roman"/>
          <w:strike/>
          <w:color w:val="FF0000"/>
          <w:sz w:val="24"/>
        </w:rPr>
        <w:t xml:space="preserve">Adjusted Term SOFR </w:t>
      </w:r>
      <w:r>
        <w:rPr>
          <w:rFonts w:ascii="Times New Roman" w:hAnsi="Times New Roman"/>
          <w:sz w:val="24"/>
        </w:rPr>
        <w:t xml:space="preserve">or Term SOFR. Upon any such prepayment or conversion, the Borrower shall also pay accrued interest on the amount so prepaid or converted, together with any additional amounts required pursuant to Section 2.9. </w:t>
      </w:r>
    </w:p>
    <w:p>
      <w:pPr>
        <w:pStyle w:val="TextBody"/>
        <w:bidi w:val="0"/>
        <w:spacing w:before="240" w:after="0"/>
        <w:jc w:val="both"/>
        <w:rPr>
          <w:rFonts w:ascii="Times New Roman" w:hAnsi="Times New Roman"/>
          <w:sz w:val="24"/>
        </w:rPr>
      </w:pPr>
      <w:r>
        <w:rPr>
          <w:rFonts w:ascii="Times New Roman" w:hAnsi="Times New Roman"/>
          <w:sz w:val="24"/>
        </w:rPr>
        <w:t>Section 10.3 </w:t>
      </w:r>
      <w:r>
        <w:rPr>
          <w:rFonts w:ascii="Times New Roman" w:hAnsi="Times New Roman"/>
          <w:sz w:val="24"/>
          <w:u w:val="single"/>
        </w:rPr>
        <w:t>Increased Costs and Additional Amounts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(a) If after the date hereof, the adoption of any Applicable Law, or any change in any Applicable Law (whether adopted before or after the Second Restatement Date), or any interpretation or change in interpretation or administration thereof by any governmental authority, central bank or comparable agency charged with the interpretation or administration thereof or compliance by any Lender with any directive issued after the Second Restatement Date (whether or not having the force of law) of any such authority, central bank or comparable agency: </w:t>
      </w:r>
    </w:p>
    <w:p>
      <w:pPr>
        <w:pStyle w:val="TextBody"/>
        <w:bidi w:val="0"/>
        <w:spacing w:before="240" w:after="0"/>
        <w:jc w:val="both"/>
        <w:rPr>
          <w:rFonts w:ascii="Times New Roman" w:hAnsi="Times New Roman"/>
          <w:sz w:val="24"/>
        </w:rPr>
      </w:pPr>
      <w:r>
        <w:rPr>
          <w:rFonts w:ascii="Times New Roman" w:hAnsi="Times New Roman"/>
          <w:sz w:val="24"/>
        </w:rPr>
        <w:t xml:space="preserve">(i) shall subject any Lender to any Tax with respect to its obligation to make its portion of SOFR Advances, or its portion of other Advances, or shall change the basis of taxation of payments to any Lender of the principal of or interest on its portion of SOFR Advances or in respect of any other amounts due under this Agreement, or its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obligation to make its portion of Advances (except for changes with respect to Taxes imposed on the revenues or net income of such Lender, and except for any Taxes referred to in Section 10.3(b) hereof); or </w:t>
      </w:r>
    </w:p>
    <w:p>
      <w:pPr>
        <w:pStyle w:val="TextBody"/>
        <w:bidi w:val="0"/>
        <w:spacing w:before="240" w:after="0"/>
        <w:jc w:val="both"/>
        <w:rPr>
          <w:rFonts w:ascii="Times New Roman" w:hAnsi="Times New Roman"/>
          <w:sz w:val="24"/>
        </w:rPr>
      </w:pPr>
      <w:r>
        <w:rPr>
          <w:rFonts w:ascii="Times New Roman" w:hAnsi="Times New Roman"/>
          <w:sz w:val="24"/>
        </w:rPr>
        <w:t xml:space="preserve">(ii) shall impose, modify or deem applicable any reserve (including, without limitation, any imposed by the Board of Governors of the Federal Reserve System), special deposit, capital adequacy or liquidity, assessment or other requirement or condition against assets of, deposits with or for the account of, or commitments or credit extended by, any Lender or shall impose on any Lender or the London interbank borrowing market any other condition affecting its obligation to make its portion of such SOFR Advances or its portion of existing Advances; </w:t>
      </w:r>
    </w:p>
    <w:p>
      <w:pPr>
        <w:pStyle w:val="TextBody"/>
        <w:bidi w:val="0"/>
        <w:spacing w:before="240" w:after="0"/>
        <w:jc w:val="both"/>
        <w:rPr>
          <w:rFonts w:ascii="Times New Roman" w:hAnsi="Times New Roman"/>
          <w:sz w:val="24"/>
        </w:rPr>
      </w:pPr>
      <w:r>
        <w:rPr>
          <w:rFonts w:ascii="Times New Roman" w:hAnsi="Times New Roman"/>
          <w:sz w:val="24"/>
        </w:rPr>
        <w:t xml:space="preserve">and the result of any of the foregoing is to increase the cost to such Lender of making or maintaining any of its portion of such SOFR Advances, or to reduce the amount of any sum received or receivable by such Lender under this Agreement or under its Note, if any, with respect thereto, then, within ten (10) days after demand by such Lender, the Borrower agrees to pay to such Lender such additional amount or amounts as will compensate such Lender on an after-tax basis for such increased costs;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enacted, adopted or issued after the date hereof, regardless of the date enacted, adopted or issued. </w:t>
      </w:r>
    </w:p>
    <w:p>
      <w:pPr>
        <w:pStyle w:val="TextBody"/>
        <w:bidi w:val="0"/>
        <w:spacing w:before="240" w:after="0"/>
        <w:jc w:val="both"/>
        <w:rPr>
          <w:rFonts w:ascii="Times New Roman" w:hAnsi="Times New Roman"/>
          <w:sz w:val="24"/>
        </w:rPr>
      </w:pPr>
      <w:r>
        <w:rPr>
          <w:rFonts w:ascii="Times New Roman" w:hAnsi="Times New Roman"/>
          <w:sz w:val="24"/>
        </w:rPr>
        <w:t>(b) Except as required by Applicable Law, all payments made by the Borrower under this Agreement shall be made free and clear of, and without deduction or withholding for or on account of, any present or future income or other similar taxes, levies, imposts, duties, charges, fees, deductions or withholdings (“</w:t>
      </w:r>
      <w:r>
        <w:rPr>
          <w:rFonts w:ascii="Times New Roman" w:hAnsi="Times New Roman"/>
          <w:b/>
          <w:sz w:val="24"/>
        </w:rPr>
        <w:t>Taxes</w:t>
      </w:r>
      <w:r>
        <w:rPr>
          <w:rFonts w:ascii="Times New Roman" w:hAnsi="Times New Roman"/>
          <w:sz w:val="24"/>
        </w:rPr>
        <w:t>”), now or hereafter imposed, levied, collected, withheld or assessed by any governmental authority, excluding any Taxes imposed on a Lender by reason of any connection between the Lender and the taxing jurisdiction other than a connection that is solely attributable to executing, delivering, performing or enforcing this Agreement and receiving payments hereunder. If any such non-excluded Taxes (collectively, the “</w:t>
      </w:r>
      <w:r>
        <w:rPr>
          <w:rFonts w:ascii="Times New Roman" w:hAnsi="Times New Roman"/>
          <w:sz w:val="24"/>
          <w:u w:val="single"/>
        </w:rPr>
        <w:t>Non-Excluded Taxes</w:t>
      </w:r>
      <w:r>
        <w:rPr>
          <w:rFonts w:ascii="Times New Roman" w:hAnsi="Times New Roman"/>
          <w:sz w:val="24"/>
        </w:rPr>
        <w:t xml:space="preserve">”) are required to be withheld or deducted from any such payment, the Borrower shall pay such additional amounts as may be necessary to ensure that the net amount actually received by a Lender after such withholding or deduction is equal to the amount that the Lender would have received had no such withholding or deduction been required;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Borrower shall not be required to increase any such amounts payable to any Lender if such Lender fails to comply with the requirements of </w:t>
      </w:r>
      <w:r>
        <w:rPr>
          <w:rFonts w:ascii="Times New Roman" w:hAnsi="Times New Roman"/>
          <w:sz w:val="24"/>
          <w:u w:val="single"/>
        </w:rPr>
        <w:t>Section 2.12</w:t>
      </w:r>
      <w:r>
        <w:rPr>
          <w:rFonts w:ascii="Times New Roman" w:hAnsi="Times New Roman"/>
          <w:sz w:val="24"/>
        </w:rPr>
        <w:t xml:space="preserve"> hereof,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Borrower shall not be required to pay any additional amounts in respect of Taxes imposed under FATCA,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Borrower shall not be required to pay any U.S. withholding Taxes imposed on amounts payable to or for the account of any Lender with respect to an applicable interest in a Loan or Commitment pursuant to a law in effect on the date on which (i) such Lender acquires such interest in the Loan or Commitment or (ii) such Lender changes its lending office, except, in each case, to the extent that, pursuant to this </w:t>
      </w:r>
      <w:r>
        <w:rPr>
          <w:rFonts w:ascii="Times New Roman" w:hAnsi="Times New Roman"/>
          <w:sz w:val="24"/>
          <w:u w:val="single"/>
        </w:rPr>
        <w:t>Section 10.3</w:t>
      </w:r>
      <w:r>
        <w:rPr>
          <w:rFonts w:ascii="Times New Roman" w:hAnsi="Times New Roman"/>
          <w:sz w:val="24"/>
        </w:rPr>
        <w:t xml:space="preserve">, amounts with respect to such Taxes were payable either to such Lender’s assignor immediately before such Lender became a party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hereto or to such Lender immediately before it changed its lending office. Whenever any Non-Excluded Taxes are payable by the Borrower, as promptly as possible thereafter the Borrower shall send to the Administrative Agent for its own account or for the account of such Lender, as the case may be, a certified copy of an original official receipt received by the Borrower showing payment thereof. If the Borrower fails to pay any Non-Excluded Taxes when due to the appropriate taxing authority or fail to remit to the Administrative Agent the required receipts or other documentary evidence, the Borrower shall indemnify the Administrative Agent and the Lenders for any incremental taxes, interest or penalties that may become payable by the Administrative Agent or any Lender as result of any such failure. The Borrower shall make any payments required pursuant to the immediately preceding sentence within thirty (30) days after receipt of written demand therefor from the Administrative Agent or any Lender, as the case may be. The agreements set forth in this Section 10.3 shall survive the termination of this Agreement and the payment of the Obligations. Each Lender will promptly notify the Borrower and the Administrative Agent of any event of which it has knowledge, occurring after the date hereof, which will entitle such Lender to compensation pursuant to this Section 10.3 and will designate a different lending office if such designation will avoid the need for, or reduce the amount of, such compensation and will not, in the reasonable judgment of such Lender made in good faith, be otherwise disadvantageous to such Lender. </w:t>
      </w:r>
    </w:p>
    <w:p>
      <w:pPr>
        <w:pStyle w:val="TextBody"/>
        <w:bidi w:val="0"/>
        <w:spacing w:before="240" w:after="0"/>
        <w:jc w:val="both"/>
        <w:rPr>
          <w:rFonts w:ascii="Times New Roman" w:hAnsi="Times New Roman"/>
          <w:sz w:val="24"/>
        </w:rPr>
      </w:pPr>
      <w:r>
        <w:rPr>
          <w:rFonts w:ascii="Times New Roman" w:hAnsi="Times New Roman"/>
          <w:sz w:val="24"/>
        </w:rPr>
        <w:t xml:space="preserve">(c) Any Lender claiming compensation under this Section 10.3 shall provide the Borrower with a written certificate setting forth the additional amount or amounts to be paid to it hereunder and calculations therefor in reasonable detail. Such certificate shall be presumptively correct absent manifest error. In determining such amount, such Lender may use any reasonable averaging and attribution methods. Failure or delay on the part of any Lender to demand compensation pursuant to the foregoing provisions of this Section 10.3 shall not constitute a waiver of such Lender’s right to demand such compensation, </w:t>
      </w:r>
      <w:r>
        <w:rPr>
          <w:rFonts w:ascii="Times New Roman" w:hAnsi="Times New Roman"/>
          <w:sz w:val="24"/>
          <w:u w:val="single"/>
        </w:rPr>
        <w:t>provided</w:t>
      </w:r>
      <w:r>
        <w:rPr>
          <w:rFonts w:ascii="Times New Roman" w:hAnsi="Times New Roman"/>
          <w:sz w:val="24"/>
        </w:rPr>
        <w:t xml:space="preserve"> that, other than in respect of Taxes, the Borrower shall not be required to compensate a Lender pursuant to the foregoing provisions of this Section if the circumstances giving rise to such compensation occurred more than six (6) months prior to the date that such Lender notifies the Borrower of such circumstances and of such Lender’s intention to claim compensation therefor (except that, if such circumstances are retroactive, then the six (6) month period referred to above shall be extended to include the period of retroactive effect thereof). If any Lender demands compensation under this Section 10.3, the Borrower may at any time, upon at least five (5) Business Days’ prior notice to such Lender, Convert into a Base Rate Advance such Lender’s portion of the then outstanding SOFR Advances, and pay to such Lender the accrued interest and fees thereon to the date of Conversion, along with any reimbursement required under Section 2.9 hereof and this Section 10.3. </w:t>
      </w:r>
    </w:p>
    <w:p>
      <w:pPr>
        <w:pStyle w:val="TextBody"/>
        <w:bidi w:val="0"/>
        <w:spacing w:before="240" w:after="0"/>
        <w:jc w:val="both"/>
        <w:rPr>
          <w:rFonts w:ascii="Times New Roman" w:hAnsi="Times New Roman"/>
          <w:sz w:val="24"/>
        </w:rPr>
      </w:pPr>
      <w:r>
        <w:rPr>
          <w:rFonts w:ascii="Times New Roman" w:hAnsi="Times New Roman"/>
          <w:sz w:val="24"/>
        </w:rPr>
        <w:t xml:space="preserve">(d) The Borrower shall pay any present or future stamp, transfer or documentary Taxes or any other excise or property Taxes that may be imposed in connection with the execution, delivery or registration of this Agreement or any other Loan Documents. </w:t>
      </w:r>
    </w:p>
    <w:p>
      <w:pPr>
        <w:pStyle w:val="TextBody"/>
        <w:bidi w:val="0"/>
        <w:spacing w:before="240" w:after="0"/>
        <w:jc w:val="both"/>
        <w:rPr>
          <w:rFonts w:ascii="Times New Roman" w:hAnsi="Times New Roman"/>
          <w:sz w:val="24"/>
        </w:rPr>
      </w:pPr>
      <w:r>
        <w:rPr>
          <w:rFonts w:ascii="Times New Roman" w:hAnsi="Times New Roman"/>
          <w:sz w:val="24"/>
        </w:rPr>
        <w:t xml:space="preserve">(e) If any party receives a refund of any Taxes for which it has been indemnified pursuant to this Section 10.3,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both"/>
        <w:rPr>
          <w:rFonts w:ascii="Times New Roman" w:hAnsi="Times New Roman"/>
          <w:sz w:val="24"/>
        </w:rPr>
      </w:pPr>
      <w:r>
        <w:rPr>
          <w:rFonts w:ascii="Times New Roman" w:hAnsi="Times New Roman"/>
          <w:sz w:val="24"/>
        </w:rPr>
        <w:t>Section 10.4 </w:t>
      </w:r>
      <w:r>
        <w:rPr>
          <w:rFonts w:ascii="Times New Roman" w:hAnsi="Times New Roman"/>
          <w:sz w:val="24"/>
          <w:u w:val="single"/>
        </w:rPr>
        <w:t>Effect On Other Advances</w:t>
      </w:r>
      <w:r>
        <w:rPr>
          <w:rFonts w:ascii="Times New Roman" w:hAnsi="Times New Roman"/>
          <w:sz w:val="24"/>
        </w:rPr>
        <w:t xml:space="preserve">. If notice has been given pursuant to Section 10.1, 10.2 or 10.3 hereof suspending the obligation of any Lender to make its portion of any SOFR Advance, or requiring such Lender’s portion of SOFR Advances to be Converted, then, unless and until such Lender notifies the Borrower that the circumstances giving rise to such Conversion no longer apply, all amounts which would otherwise be made by such Lender as its portion of SOFR Advances shall be made instead as Base Rate Advances, unless otherwise notified by the Borrower. </w:t>
      </w:r>
    </w:p>
    <w:p>
      <w:pPr>
        <w:pStyle w:val="TextBody"/>
        <w:bidi w:val="0"/>
        <w:spacing w:before="240" w:after="0"/>
        <w:jc w:val="both"/>
        <w:rPr>
          <w:rFonts w:ascii="Times New Roman" w:hAnsi="Times New Roman"/>
          <w:sz w:val="24"/>
        </w:rPr>
      </w:pPr>
      <w:r>
        <w:rPr>
          <w:rFonts w:ascii="Times New Roman" w:hAnsi="Times New Roman"/>
          <w:sz w:val="24"/>
        </w:rPr>
        <w:t>Section 10.5 </w:t>
      </w:r>
      <w:r>
        <w:rPr>
          <w:rFonts w:ascii="Times New Roman" w:hAnsi="Times New Roman"/>
          <w:sz w:val="24"/>
          <w:u w:val="single"/>
        </w:rPr>
        <w:t>Claims for Increased Costs and Taxes; Replacement Lenders</w:t>
      </w:r>
      <w:r>
        <w:rPr>
          <w:rFonts w:ascii="Times New Roman" w:hAnsi="Times New Roman"/>
          <w:sz w:val="24"/>
        </w:rPr>
        <w:t>. In the event that any Lender shall (y) decline to make SOFR Advances pursuant to Sections 10.1 and 10.2 hereof, or (z) have notified the Borrower that it is entitled to claim compensation pursuant to Section 10.3, 2.8, 2.9 or 2.11 hereof or is unable to complete the form required or is subject to withholding on account of any Tax (each such lender being an “</w:t>
      </w:r>
      <w:r>
        <w:rPr>
          <w:rFonts w:ascii="Times New Roman" w:hAnsi="Times New Roman"/>
          <w:sz w:val="24"/>
          <w:u w:val="single"/>
        </w:rPr>
        <w:t>Affected Lender</w:t>
      </w:r>
      <w:r>
        <w:rPr>
          <w:rFonts w:ascii="Times New Roman" w:hAnsi="Times New Roman"/>
          <w:sz w:val="24"/>
        </w:rPr>
        <w:t>”), the Borrower at its own cost and expense may designate a replacement lender (a “</w:t>
      </w:r>
      <w:r>
        <w:rPr>
          <w:rFonts w:ascii="Times New Roman" w:hAnsi="Times New Roman"/>
          <w:sz w:val="24"/>
          <w:u w:val="single"/>
        </w:rPr>
        <w:t>Replacement Lender</w:t>
      </w:r>
      <w:r>
        <w:rPr>
          <w:rFonts w:ascii="Times New Roman" w:hAnsi="Times New Roman"/>
          <w:sz w:val="24"/>
        </w:rPr>
        <w:t xml:space="preserve">”) to purchase the outstanding Loans of such Affected Lender and such Affected Lender’s rights hereunder and with respect thereto, and within ten (10) Business Days of such designation the Affected Lender shall (a) sell to such Replacement Lender, without recourse upon, warranty by or expense to such Affected Lender, by way of an Assignment and Assumption substantially in the form of </w:t>
      </w:r>
      <w:r>
        <w:rPr>
          <w:rFonts w:ascii="Times New Roman" w:hAnsi="Times New Roman"/>
          <w:sz w:val="24"/>
          <w:u w:val="single"/>
        </w:rPr>
        <w:t>Exhibit F</w:t>
      </w:r>
      <w:r>
        <w:rPr>
          <w:rFonts w:ascii="Times New Roman" w:hAnsi="Times New Roman"/>
          <w:sz w:val="24"/>
        </w:rPr>
        <w:t xml:space="preserve"> attached hereto, for a purchase price equal to (unless such Lender agrees to a lesser amount) the outstanding principal amount of the Loans of such Affected Lender, plus all interest accrued and unpaid thereon and all other amounts owing to such Affected Lender hereunder, including without limitation, payment by the Borrower of any amount which would be payable to such Affected Lender pursuant to Section 2.9 hereof (provided that the administrative fee set forth in Section 11.4(b)(iv) shall not apply to an assignment described in this clause (a)), and (b) upon such assumption and purchase by the Replacement Lender, such Replacement Lender shall be deemed to be a “</w:t>
      </w:r>
      <w:r>
        <w:rPr>
          <w:rFonts w:ascii="Times New Roman" w:hAnsi="Times New Roman"/>
          <w:sz w:val="24"/>
          <w:u w:val="single"/>
        </w:rPr>
        <w:t>Lender</w:t>
      </w:r>
      <w:r>
        <w:rPr>
          <w:rFonts w:ascii="Times New Roman" w:hAnsi="Times New Roman"/>
          <w:sz w:val="24"/>
        </w:rPr>
        <w:t>” for purposes of this Agreement and such Affected Lender shall cease to be a “</w:t>
      </w:r>
      <w:r>
        <w:rPr>
          <w:rFonts w:ascii="Times New Roman" w:hAnsi="Times New Roman"/>
          <w:sz w:val="24"/>
          <w:u w:val="single"/>
        </w:rPr>
        <w:t>Lender</w:t>
      </w:r>
      <w:r>
        <w:rPr>
          <w:rFonts w:ascii="Times New Roman" w:hAnsi="Times New Roman"/>
          <w:sz w:val="24"/>
        </w:rPr>
        <w:t xml:space="preserve">” for purposes of this Agreement and shall no longer have any obligations or rights hereunder (other than any obligations or rights which according to this Agreement shall survive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11 - MISCELLANEOUS </w:t>
      </w:r>
    </w:p>
    <w:p>
      <w:pPr>
        <w:pStyle w:val="TextBody"/>
        <w:bidi w:val="0"/>
        <w:spacing w:before="240" w:after="0"/>
        <w:jc w:val="both"/>
        <w:rPr>
          <w:rFonts w:ascii="Times New Roman" w:hAnsi="Times New Roman"/>
          <w:sz w:val="24"/>
        </w:rPr>
      </w:pPr>
      <w:r>
        <w:rPr>
          <w:rFonts w:ascii="Times New Roman" w:hAnsi="Times New Roman"/>
          <w:sz w:val="24"/>
        </w:rPr>
        <w:t>Section 11.1 </w:t>
      </w:r>
      <w:r>
        <w:rPr>
          <w:rFonts w:ascii="Times New Roman" w:hAnsi="Times New Roman"/>
          <w:sz w:val="24"/>
          <w:u w:val="single"/>
        </w:rPr>
        <w:t>Notices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Notices Generally</w:t>
      </w:r>
      <w:r>
        <w:rPr>
          <w:rFonts w:ascii="Times New Roman" w:hAnsi="Times New Roman"/>
          <w:sz w:val="24"/>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 </w:t>
      </w:r>
    </w:p>
    <w:p>
      <w:pPr>
        <w:pStyle w:val="TextBody"/>
        <w:bidi w:val="0"/>
        <w:spacing w:before="240" w:after="0"/>
        <w:jc w:val="both"/>
        <w:rPr>
          <w:rFonts w:ascii="Times New Roman" w:hAnsi="Times New Roman"/>
          <w:sz w:val="24"/>
        </w:rPr>
      </w:pPr>
      <w:r>
        <w:rPr>
          <w:rFonts w:ascii="Times New Roman" w:hAnsi="Times New Roman"/>
          <w:sz w:val="24"/>
        </w:rPr>
        <w:t xml:space="preserve">(i) if to the Borrower or the Administrative Agent, to the address, telecopier number, electronic mail address or telephone number specified for such Person on </w:t>
      </w:r>
      <w:r>
        <w:rPr>
          <w:rFonts w:ascii="Times New Roman" w:hAnsi="Times New Roman"/>
          <w:sz w:val="24"/>
          <w:u w:val="single"/>
        </w:rPr>
        <w:t>Schedule 4</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 xml:space="preserve">(ii) if to any other Lender, to the address, telecopier number, electronic mail address or telephone number specified to the Administrative Agent (including, as appropriate, notices delivered solely to the Person designated by a Lender for the delivery of notices that may contain material non-public information relating to the Borrower). </w:t>
      </w:r>
    </w:p>
    <w:p>
      <w:pPr>
        <w:pStyle w:val="TextBody"/>
        <w:bidi w:val="0"/>
        <w:spacing w:before="240" w:after="0"/>
        <w:jc w:val="both"/>
        <w:rPr>
          <w:rFonts w:ascii="Times New Roman" w:hAnsi="Times New Roman"/>
          <w:sz w:val="24"/>
        </w:rPr>
      </w:pPr>
      <w:r>
        <w:rPr>
          <w:rFonts w:ascii="Times New Roman" w:hAnsi="Times New Roman"/>
          <w:sz w:val="24"/>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Electronic Communications</w:t>
      </w:r>
      <w:r>
        <w:rPr>
          <w:rFonts w:ascii="Times New Roman" w:hAnsi="Times New Roman"/>
          <w:sz w:val="24"/>
        </w:rPr>
        <w:t xml:space="preserve">. Notices and other communications to the Lenders hereunder may be delivered or furnished by electronic communication (including e-mail and Internet or intranet websites) pursuant to procedures approved by the Administrative Agent and the Borrower, </w:t>
      </w:r>
      <w:r>
        <w:rPr>
          <w:rFonts w:ascii="Times New Roman" w:hAnsi="Times New Roman"/>
          <w:sz w:val="24"/>
          <w:u w:val="single"/>
        </w:rPr>
        <w:t>provided</w:t>
      </w:r>
      <w:r>
        <w:rPr>
          <w:rFonts w:ascii="Times New Roman" w:hAnsi="Times New Roman"/>
          <w:sz w:val="24"/>
        </w:rPr>
        <w:t xml:space="preserve"> that the foregoing shall not apply to notices to any Lender pursuant to </w:t>
      </w:r>
      <w:r>
        <w:rPr>
          <w:rFonts w:ascii="Times New Roman" w:hAnsi="Times New Roman"/>
          <w:sz w:val="24"/>
          <w:u w:val="single"/>
        </w:rPr>
        <w:t>Article 2</w:t>
      </w:r>
      <w:r>
        <w:rPr>
          <w:rFonts w:ascii="Times New Roman" w:hAnsi="Times New Roman"/>
          <w:sz w:val="24"/>
        </w:rPr>
        <w:t xml:space="preserve"> if such Lender has notified the Administrative Agent and the Borrower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sz w:val="24"/>
          <w:u w:val="single"/>
        </w:rPr>
        <w:t>provided</w:t>
      </w:r>
      <w:r>
        <w:rPr>
          <w:rFonts w:ascii="Times New Roman" w:hAnsi="Times New Roman"/>
          <w:sz w:val="24"/>
        </w:rPr>
        <w:t xml:space="preserve"> that approval of such procedures may be limited to particular notices or communications. </w:t>
      </w:r>
    </w:p>
    <w:p>
      <w:pPr>
        <w:pStyle w:val="TextBody"/>
        <w:bidi w:val="0"/>
        <w:spacing w:before="240" w:after="0"/>
        <w:jc w:val="both"/>
        <w:rPr>
          <w:rFonts w:ascii="Times New Roman" w:hAnsi="Times New Roman"/>
          <w:sz w:val="24"/>
        </w:rPr>
      </w:pPr>
      <w:r>
        <w:rPr>
          <w:rFonts w:ascii="Times New Roman" w:hAnsi="Times New Roman"/>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4"/>
          <w:u w:val="single"/>
        </w:rPr>
        <w:t>provided</w:t>
      </w:r>
      <w:r>
        <w:rPr>
          <w:rFonts w:ascii="Times New Roman" w:hAnsi="Times New Roman"/>
          <w:sz w:val="24"/>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address as described in the foregoing clause (i) of notification that such notice or communication is available and identifying the website address therefor.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The Platform</w:t>
      </w:r>
      <w:r>
        <w:rPr>
          <w:rFonts w:ascii="Times New Roman" w:hAnsi="Times New Roman"/>
          <w:sz w:val="24"/>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4"/>
          <w:u w:val="single"/>
        </w:rPr>
        <w:t>Agent Parties</w:t>
      </w:r>
      <w:r>
        <w:rPr>
          <w:rFonts w:ascii="Times New Roman" w:hAnsi="Times New Roman"/>
          <w:sz w:val="24"/>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no event shall any Agent Party have any liability to the Borrower, any Lender or any other Person for indirect, special, incidental, consequential or punitive damages (as opposed to direct or actual damages).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Change of Address, Etc</w:t>
      </w:r>
      <w:r>
        <w:rPr>
          <w:rFonts w:ascii="Times New Roman" w:hAnsi="Times New Roman"/>
          <w:sz w:val="24"/>
        </w:rPr>
        <w:t xml:space="preserve">. Each of the Borrower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Reliance by Administrative Agent and Lenders</w:t>
      </w:r>
      <w:r>
        <w:rPr>
          <w:rFonts w:ascii="Times New Roman" w:hAnsi="Times New Roman"/>
          <w:sz w:val="24"/>
        </w:rPr>
        <w:t xml:space="preserve">. The Administrative Agent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on each notice purportedly given by or on behalf of the Borrower. All telephonic notices to and other telephonic communications with the Administrative Agent may be recorded by the Administrative Agent, and each of the parties hereto hereby consents to such recording. </w:t>
      </w:r>
    </w:p>
    <w:p>
      <w:pPr>
        <w:pStyle w:val="TextBody"/>
        <w:bidi w:val="0"/>
        <w:spacing w:before="240" w:after="0"/>
        <w:jc w:val="both"/>
        <w:rPr>
          <w:rFonts w:ascii="Times New Roman" w:hAnsi="Times New Roman"/>
          <w:sz w:val="24"/>
        </w:rPr>
      </w:pPr>
      <w:r>
        <w:rPr>
          <w:rFonts w:ascii="Times New Roman" w:hAnsi="Times New Roman"/>
          <w:sz w:val="24"/>
        </w:rPr>
        <w:t>Section 11.2 </w:t>
      </w:r>
      <w:r>
        <w:rPr>
          <w:rFonts w:ascii="Times New Roman" w:hAnsi="Times New Roman"/>
          <w:sz w:val="24"/>
          <w:u w:val="single"/>
        </w:rPr>
        <w:t>Expenses</w:t>
      </w:r>
      <w:r>
        <w:rPr>
          <w:rFonts w:ascii="Times New Roman" w:hAnsi="Times New Roman"/>
          <w:sz w:val="24"/>
        </w:rPr>
        <w:t xml:space="preserve">. The Borrower will promptly pay, or reimburse: </w:t>
      </w:r>
    </w:p>
    <w:p>
      <w:pPr>
        <w:pStyle w:val="TextBody"/>
        <w:bidi w:val="0"/>
        <w:spacing w:before="240" w:after="0"/>
        <w:jc w:val="both"/>
        <w:rPr>
          <w:rFonts w:ascii="Times New Roman" w:hAnsi="Times New Roman"/>
          <w:sz w:val="24"/>
        </w:rPr>
      </w:pPr>
      <w:r>
        <w:rPr>
          <w:rFonts w:ascii="Times New Roman" w:hAnsi="Times New Roman"/>
          <w:sz w:val="24"/>
        </w:rPr>
        <w:t xml:space="preserve">(a) all reasonable and documented out-of-pocket expenses of the Administrative Agent in connection with the preparation, negotiation, execution and delivery of this Agreement and the other Loan Documents, and the transactions contemplated hereunder and thereunder any amendments, waivers and consents associated therewith, including, without limitation, the reasonable and documented fees and disbursements of counsel for the Administrative Agent; and </w:t>
      </w:r>
    </w:p>
    <w:p>
      <w:pPr>
        <w:pStyle w:val="TextBody"/>
        <w:bidi w:val="0"/>
        <w:spacing w:before="240" w:after="0"/>
        <w:jc w:val="both"/>
        <w:rPr>
          <w:rFonts w:ascii="Times New Roman" w:hAnsi="Times New Roman"/>
          <w:sz w:val="24"/>
        </w:rPr>
      </w:pPr>
      <w:r>
        <w:rPr>
          <w:rFonts w:ascii="Times New Roman" w:hAnsi="Times New Roman"/>
          <w:sz w:val="24"/>
        </w:rPr>
        <w:t xml:space="preserve">(b) all documented out-of-pocket costs and expenses of the Administrative Agent and the Lenders of enforcement under this Agreement or the other Loan Documents and all documented out-of-pocket costs and expenses of collection if an Event of Default occurs in the payment of the Notes, which in each case shall include, without limitation, reasonable fees and out-of-pocket expenses of one counsel for the Administrative Agent and one counsel for all Lenders. </w:t>
      </w:r>
    </w:p>
    <w:p>
      <w:pPr>
        <w:pStyle w:val="TextBody"/>
        <w:bidi w:val="0"/>
        <w:spacing w:before="240" w:after="0"/>
        <w:jc w:val="both"/>
        <w:rPr>
          <w:rFonts w:ascii="Times New Roman" w:hAnsi="Times New Roman"/>
          <w:sz w:val="24"/>
        </w:rPr>
      </w:pPr>
      <w:r>
        <w:rPr>
          <w:rFonts w:ascii="Times New Roman" w:hAnsi="Times New Roman"/>
          <w:sz w:val="24"/>
        </w:rPr>
        <w:t>Section 11.3 </w:t>
      </w:r>
      <w:r>
        <w:rPr>
          <w:rFonts w:ascii="Times New Roman" w:hAnsi="Times New Roman"/>
          <w:sz w:val="24"/>
          <w:u w:val="single"/>
        </w:rPr>
        <w:t>Waivers</w:t>
      </w:r>
      <w:r>
        <w:rPr>
          <w:rFonts w:ascii="Times New Roman" w:hAnsi="Times New Roman"/>
          <w:sz w:val="24"/>
        </w:rPr>
        <w:t xml:space="preserve">. The rights and remedies of the Administrative Agent and the Lenders under this Agreement and the other Loan Documents shall be cumulative and not exclusive of any rights or remedies which they would otherwise have. No failure or delay by the Administrative Agent, the Majority Lenders and the Lenders, or any of them, in exercising any right, shall operate as a waiver of such right. No waiver of any provision of this Agreement or consent to any departure by the Borrower or any of its Subsidiaries therefrom shall in any event be effective unless the same shall be permitted by Section 11.11,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 </w:t>
      </w:r>
    </w:p>
    <w:p>
      <w:pPr>
        <w:pStyle w:val="TextBody"/>
        <w:bidi w:val="0"/>
        <w:spacing w:before="240" w:after="0"/>
        <w:jc w:val="both"/>
        <w:rPr>
          <w:rFonts w:ascii="Times New Roman" w:hAnsi="Times New Roman"/>
          <w:sz w:val="24"/>
        </w:rPr>
      </w:pPr>
      <w:r>
        <w:rPr>
          <w:rFonts w:ascii="Times New Roman" w:hAnsi="Times New Roman"/>
          <w:sz w:val="24"/>
        </w:rPr>
        <w:t>Section 11.4 </w:t>
      </w:r>
      <w:r>
        <w:rPr>
          <w:rFonts w:ascii="Times New Roman" w:hAnsi="Times New Roman"/>
          <w:sz w:val="24"/>
          <w:u w:val="single"/>
        </w:rPr>
        <w:t>Assignment and Participation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Successors and Assigns Generally</w:t>
      </w:r>
      <w:r>
        <w:rPr>
          <w:rFonts w:ascii="Times New Roman" w:hAnsi="Times New Roman"/>
          <w:sz w:val="24"/>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(iii) by way of pledge or assignment of a security interest subject to the restrictions of subsection (e) of this Section, or (iv) to an SPC in accordance with the provisions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contemplated hereby, the Related Parties of each of the Administrative Agent and the Lenders) any legal or equitable right, remedy or claim under or by reason of this Agreement.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Assignments by Lenders</w:t>
      </w:r>
      <w:r>
        <w:rPr>
          <w:rFonts w:ascii="Times New Roman" w:hAnsi="Times New Roman"/>
          <w:sz w:val="24"/>
        </w:rPr>
        <w:t xml:space="preserve">. Any Lender may at any time assign to one or more assignees all or a portion of its rights and obligations under this Agreement (including all or a portion of the Loans at the time owing to it); </w:t>
      </w:r>
      <w:r>
        <w:rPr>
          <w:rFonts w:ascii="Times New Roman" w:hAnsi="Times New Roman"/>
          <w:sz w:val="24"/>
          <w:u w:val="single"/>
        </w:rPr>
        <w:t>provided</w:t>
      </w:r>
      <w:r>
        <w:rPr>
          <w:rFonts w:ascii="Times New Roman" w:hAnsi="Times New Roman"/>
          <w:sz w:val="24"/>
        </w:rPr>
        <w:t xml:space="preserve"> that any such assignment shall be subject to the following conditions: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sz w:val="24"/>
          <w:u w:val="single"/>
        </w:rPr>
        <w:t>Minimum Amounts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(A) in the case of an assignment of the entire remaining amount of the Loans at the time owing to the assigning Lender or in the case of an assignment to a Lender, an Affiliate or an Approved Fund of a Lender, no minimum amount need be assigned; and </w:t>
      </w:r>
    </w:p>
    <w:p>
      <w:pPr>
        <w:pStyle w:val="TextBody"/>
        <w:bidi w:val="0"/>
        <w:spacing w:before="240" w:after="0"/>
        <w:jc w:val="both"/>
        <w:rPr>
          <w:rFonts w:ascii="Times New Roman" w:hAnsi="Times New Roman"/>
          <w:sz w:val="24"/>
        </w:rPr>
      </w:pPr>
      <w:r>
        <w:rPr>
          <w:rFonts w:ascii="Times New Roman" w:hAnsi="Times New Roman"/>
          <w:sz w:val="24"/>
        </w:rPr>
        <w:t xml:space="preserve">(B) in any case not described in subsection (b)(i)(A) of this Section, the aggregate amount of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 </w:t>
      </w:r>
    </w:p>
    <w:p>
      <w:pPr>
        <w:pStyle w:val="TextBody"/>
        <w:bidi w:val="0"/>
        <w:spacing w:before="240" w:after="0"/>
        <w:jc w:val="both"/>
        <w:rPr>
          <w:rFonts w:ascii="Times New Roman" w:hAnsi="Times New Roman"/>
          <w:sz w:val="24"/>
        </w:rPr>
      </w:pPr>
      <w:r>
        <w:rPr>
          <w:rFonts w:ascii="Times New Roman" w:hAnsi="Times New Roman"/>
          <w:sz w:val="24"/>
        </w:rPr>
        <w:t>(ii) </w:t>
      </w:r>
      <w:r>
        <w:rPr>
          <w:rFonts w:ascii="Times New Roman" w:hAnsi="Times New Roman"/>
          <w:sz w:val="24"/>
          <w:u w:val="single"/>
        </w:rPr>
        <w:t>Proportionate Amounts</w:t>
      </w:r>
      <w:r>
        <w:rPr>
          <w:rFonts w:ascii="Times New Roman" w:hAnsi="Times New Roman"/>
          <w:sz w:val="24"/>
        </w:rPr>
        <w:t xml:space="preserve">. Each partial assignment shall be made as an assignment of a proportionate part of all the assigning Lender’s rights and obligations under this Agreement with respect to the Loans assigned; </w:t>
      </w:r>
    </w:p>
    <w:p>
      <w:pPr>
        <w:pStyle w:val="TextBody"/>
        <w:bidi w:val="0"/>
        <w:spacing w:before="240" w:after="0"/>
        <w:jc w:val="both"/>
        <w:rPr>
          <w:rFonts w:ascii="Times New Roman" w:hAnsi="Times New Roman"/>
          <w:sz w:val="24"/>
        </w:rPr>
      </w:pPr>
      <w:r>
        <w:rPr>
          <w:rFonts w:ascii="Times New Roman" w:hAnsi="Times New Roman"/>
          <w:sz w:val="24"/>
        </w:rPr>
        <w:t>(iii) </w:t>
      </w:r>
      <w:r>
        <w:rPr>
          <w:rFonts w:ascii="Times New Roman" w:hAnsi="Times New Roman"/>
          <w:sz w:val="24"/>
          <w:u w:val="single"/>
        </w:rPr>
        <w:t>Required Consents</w:t>
      </w:r>
      <w:r>
        <w:rPr>
          <w:rFonts w:ascii="Times New Roman" w:hAnsi="Times New Roman"/>
          <w:sz w:val="24"/>
        </w:rPr>
        <w:t xml:space="preserve">. No consent shall be required for any assignment except to the extent required by </w:t>
      </w:r>
      <w:r>
        <w:rPr>
          <w:rFonts w:ascii="Times New Roman" w:hAnsi="Times New Roman"/>
          <w:sz w:val="24"/>
          <w:u w:val="single"/>
        </w:rPr>
        <w:t>subsection (b)(i)(B)</w:t>
      </w:r>
      <w:r>
        <w:rPr>
          <w:rFonts w:ascii="Times New Roman" w:hAnsi="Times New Roman"/>
          <w:sz w:val="24"/>
        </w:rPr>
        <w:t xml:space="preserve"> of this Section and, in addition: </w:t>
      </w:r>
    </w:p>
    <w:p>
      <w:pPr>
        <w:pStyle w:val="TextBody"/>
        <w:bidi w:val="0"/>
        <w:spacing w:before="240" w:after="0"/>
        <w:jc w:val="both"/>
        <w:rPr>
          <w:rFonts w:ascii="Times New Roman" w:hAnsi="Times New Roman"/>
          <w:sz w:val="24"/>
        </w:rPr>
      </w:pPr>
      <w:r>
        <w:rPr>
          <w:rFonts w:ascii="Times New Roman" w:hAnsi="Times New Roman"/>
          <w:sz w:val="24"/>
        </w:rPr>
        <w:t xml:space="preserve">(A) the consent of the Borrower (such consent not to be unreasonably withheld or delayed) shall be required unless (1) an Event of Default has occurred and is continuing at the time of such assignment or (2) such assignment is to a Lender or an Affiliate of a Lender or an Approved Fund; provided that with respect to any assignment of Loans hereunder, the Borrower shall be deemed to have consented to any such assignment unless it shall object thereto by written notice to the Administrative Agent within ten (10) Business Days after having received notice thereof; and </w:t>
      </w:r>
    </w:p>
    <w:p>
      <w:pPr>
        <w:pStyle w:val="TextBody"/>
        <w:bidi w:val="0"/>
        <w:spacing w:before="240" w:after="0"/>
        <w:jc w:val="both"/>
        <w:rPr>
          <w:rFonts w:ascii="Times New Roman" w:hAnsi="Times New Roman"/>
          <w:sz w:val="24"/>
        </w:rPr>
      </w:pPr>
      <w:r>
        <w:rPr>
          <w:rFonts w:ascii="Times New Roman" w:hAnsi="Times New Roman"/>
          <w:sz w:val="24"/>
        </w:rPr>
        <w:t xml:space="preserve">(B) the consent of the Administrative Agent (such consent not to be unreasonably withheld or delayed) shall be required if such assignment is to a Person that is not a Lender or an Affiliate of such Lender or an Approved Fund with respect to such Lender; </w:t>
      </w:r>
    </w:p>
    <w:p>
      <w:pPr>
        <w:pStyle w:val="TextBody"/>
        <w:bidi w:val="0"/>
        <w:spacing w:before="240" w:after="0"/>
        <w:jc w:val="both"/>
        <w:rPr>
          <w:rFonts w:ascii="Times New Roman" w:hAnsi="Times New Roman"/>
          <w:sz w:val="24"/>
        </w:rPr>
      </w:pPr>
      <w:r>
        <w:rPr>
          <w:rFonts w:ascii="Times New Roman" w:hAnsi="Times New Roman"/>
          <w:sz w:val="24"/>
        </w:rPr>
        <w:t>(iv) </w:t>
      </w:r>
      <w:r>
        <w:rPr>
          <w:rFonts w:ascii="Times New Roman" w:hAnsi="Times New Roman"/>
          <w:sz w:val="24"/>
          <w:u w:val="single"/>
        </w:rPr>
        <w:t>Assignment and Assumption</w:t>
      </w:r>
      <w:r>
        <w:rPr>
          <w:rFonts w:ascii="Times New Roman" w:hAnsi="Times New Roman"/>
          <w:sz w:val="24"/>
        </w:rPr>
        <w:t xml:space="preserve">. The parties to each assignment shall execute and deliver to the Administrative Agent an Assignment and Assumption, together with a processing and recordation fee in the amount of $3,500;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Administrative Agent may, in its sole discretion, elect to waive such processing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recordation fee in the case of any assignment. The assignee, if it is not a Lender, shall deliver to the Administrative Agent an administrative questionnaire in form and substance reasonably satisfactory to the Administrative Agent. </w:t>
      </w:r>
    </w:p>
    <w:p>
      <w:pPr>
        <w:pStyle w:val="TextBody"/>
        <w:bidi w:val="0"/>
        <w:spacing w:before="240" w:after="0"/>
        <w:jc w:val="both"/>
        <w:rPr>
          <w:rFonts w:ascii="Times New Roman" w:hAnsi="Times New Roman"/>
          <w:sz w:val="24"/>
        </w:rPr>
      </w:pPr>
      <w:r>
        <w:rPr>
          <w:rFonts w:ascii="Times New Roman" w:hAnsi="Times New Roman"/>
          <w:sz w:val="24"/>
        </w:rPr>
        <w:t>(v) </w:t>
      </w:r>
      <w:r>
        <w:rPr>
          <w:rFonts w:ascii="Times New Roman" w:hAnsi="Times New Roman"/>
          <w:sz w:val="24"/>
          <w:u w:val="single"/>
        </w:rPr>
        <w:t>No Assignment to Certain Persons</w:t>
      </w:r>
      <w:r>
        <w:rPr>
          <w:rFonts w:ascii="Times New Roman" w:hAnsi="Times New Roman"/>
          <w:sz w:val="24"/>
        </w:rPr>
        <w:t xml:space="preserve">. No such assignment shall be made (A) to the Borrower or any of the Borrower’s Affiliates or (B) to a natural person. </w:t>
      </w:r>
    </w:p>
    <w:p>
      <w:pPr>
        <w:pStyle w:val="TextBody"/>
        <w:bidi w:val="0"/>
        <w:spacing w:before="240" w:after="0"/>
        <w:jc w:val="both"/>
        <w:rPr>
          <w:rFonts w:ascii="Times New Roman" w:hAnsi="Times New Roman"/>
          <w:sz w:val="24"/>
        </w:rPr>
      </w:pPr>
      <w:r>
        <w:rPr>
          <w:rFonts w:ascii="Times New Roman" w:hAnsi="Times New Roman"/>
          <w:sz w:val="24"/>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4"/>
          <w:u w:val="single"/>
        </w:rPr>
        <w:t>Sections 10.2,</w:t>
      </w:r>
      <w:r>
        <w:rPr>
          <w:rFonts w:ascii="Times New Roman" w:hAnsi="Times New Roman"/>
          <w:sz w:val="24"/>
        </w:rPr>
        <w:t xml:space="preserve"> </w:t>
      </w:r>
      <w:r>
        <w:rPr>
          <w:rFonts w:ascii="Times New Roman" w:hAnsi="Times New Roman"/>
          <w:sz w:val="24"/>
          <w:u w:val="single"/>
        </w:rPr>
        <w:t>10.3</w:t>
      </w:r>
      <w:r>
        <w:rPr>
          <w:rFonts w:ascii="Times New Roman" w:hAnsi="Times New Roman"/>
          <w:sz w:val="24"/>
        </w:rPr>
        <w:t xml:space="preserve"> and </w:t>
      </w:r>
      <w:r>
        <w:rPr>
          <w:rFonts w:ascii="Times New Roman" w:hAnsi="Times New Roman"/>
          <w:sz w:val="24"/>
          <w:u w:val="single"/>
        </w:rPr>
        <w:t>10.5</w:t>
      </w:r>
      <w:r>
        <w:rPr>
          <w:rFonts w:ascii="Times New Roman" w:hAnsi="Times New Roman"/>
          <w:sz w:val="24"/>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Register</w:t>
      </w:r>
      <w:r>
        <w:rPr>
          <w:rFonts w:ascii="Times New Roman" w:hAnsi="Times New Roman"/>
          <w:sz w:val="24"/>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principal amounts of the Loans owing to each Lender pursuant to the terms hereof from time to time (the “</w:t>
      </w:r>
      <w:r>
        <w:rPr>
          <w:rFonts w:ascii="Times New Roman" w:hAnsi="Times New Roman"/>
          <w:sz w:val="24"/>
          <w:u w:val="single"/>
        </w:rPr>
        <w:t>Register</w:t>
      </w:r>
      <w:r>
        <w:rPr>
          <w:rFonts w:ascii="Times New Roman" w:hAnsi="Times New Roman"/>
          <w:sz w:val="24"/>
        </w:rPr>
        <w:t xml:space="preserve">”).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This Section 11.4(c) shall be construed so that the Obligations are at all times maintained in “registered form” within the meaning of Sections 163(f), 871(h)(2) and 881(c)(2) of the Code and any related regulations (and any other relevant or successor provisions of the Code or Treasury Regulations promulgated thereunder). The Register shall be available for inspection by the Borrower and any Lender, as to its Commitments only, at any reasonable time and from time to time upon reasonable prior notice.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Participations</w:t>
      </w:r>
      <w:r>
        <w:rPr>
          <w:rFonts w:ascii="Times New Roman" w:hAnsi="Times New Roman"/>
          <w:sz w:val="24"/>
        </w:rPr>
        <w:t>. Any Lender may at any time, without the consent of, or notice to, the Borrower or the Administrative Agent, sell participations to any Person (other than a natural person or the Borrower or any of the Borrower’s Affiliates) (each, a “</w:t>
      </w:r>
      <w:r>
        <w:rPr>
          <w:rFonts w:ascii="Times New Roman" w:hAnsi="Times New Roman"/>
          <w:sz w:val="24"/>
          <w:u w:val="single"/>
        </w:rPr>
        <w:t>Participant</w:t>
      </w:r>
      <w:r>
        <w:rPr>
          <w:rFonts w:ascii="Times New Roman" w:hAnsi="Times New Roman"/>
          <w:sz w:val="24"/>
        </w:rPr>
        <w:t xml:space="preserve">”) in all or a portion of such Lender’s rights and/or obligations under this Agreement (including all or a portion of the Loans owing to it); </w:t>
      </w:r>
      <w:r>
        <w:rPr>
          <w:rFonts w:ascii="Times New Roman" w:hAnsi="Times New Roman"/>
          <w:sz w:val="24"/>
          <w:u w:val="single"/>
        </w:rPr>
        <w:t>provided</w:t>
      </w:r>
      <w:r>
        <w:rPr>
          <w:rFonts w:ascii="Times New Roman" w:hAnsi="Times New Roman"/>
          <w:sz w:val="24"/>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4"/>
          <w:u w:val="single"/>
        </w:rPr>
        <w:t>provided</w:t>
      </w:r>
      <w:r>
        <w:rPr>
          <w:rFonts w:ascii="Times New Roman" w:hAnsi="Times New Roman"/>
          <w:sz w:val="24"/>
        </w:rPr>
        <w:t xml:space="preserve"> that such agreement or instrument may provide that such Lender will not, without the consent of the Participant, agree to any amendment, waiver or other modification described in clauses (ii)(A), (B) or (C) of </w:t>
      </w:r>
      <w:r>
        <w:rPr>
          <w:rFonts w:ascii="Times New Roman" w:hAnsi="Times New Roman"/>
          <w:sz w:val="24"/>
          <w:u w:val="single"/>
        </w:rPr>
        <w:t>Section 11.11(a)</w:t>
      </w:r>
      <w:r>
        <w:rPr>
          <w:rFonts w:ascii="Times New Roman" w:hAnsi="Times New Roman"/>
          <w:sz w:val="24"/>
        </w:rPr>
        <w:t xml:space="preserve"> that affects such Participant. Subject to the following paragraph, the Borrower agrees that each Participant shall be entitled to the benefits of </w:t>
      </w:r>
      <w:r>
        <w:rPr>
          <w:rFonts w:ascii="Times New Roman" w:hAnsi="Times New Roman"/>
          <w:sz w:val="24"/>
          <w:u w:val="single"/>
        </w:rPr>
        <w:t>Section 10.3</w:t>
      </w:r>
      <w:r>
        <w:rPr>
          <w:rFonts w:ascii="Times New Roman" w:hAnsi="Times New Roman"/>
          <w:sz w:val="24"/>
        </w:rPr>
        <w:t xml:space="preserve"> to the same extent as if it were a Lender and had acquired its interest by assignment pursuant to subsection (b) of this Section. </w:t>
      </w:r>
    </w:p>
    <w:p>
      <w:pPr>
        <w:pStyle w:val="TextBody"/>
        <w:bidi w:val="0"/>
        <w:spacing w:before="240" w:after="0"/>
        <w:jc w:val="both"/>
        <w:rPr>
          <w:rFonts w:ascii="Times New Roman" w:hAnsi="Times New Roman"/>
          <w:sz w:val="24"/>
        </w:rPr>
      </w:pPr>
      <w:r>
        <w:rPr>
          <w:rFonts w:ascii="Times New Roman" w:hAnsi="Times New Roman"/>
          <w:sz w:val="24"/>
        </w:rPr>
        <w:t>A Participant shall not be entitled to receive any greater payment under Section 10.3 than the applicable Lender would have been entitled to receive with respect to the participation sold to such Participant. A Participant that would be a foreign Lender if it were a Lender shall not be entitled to the benefits of Section 2.12 unless the Borrower is notified of the participation sold to such Participant and such Participant agrees, for the benefit of the Borrower, to comply with Section 2.12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sz w:val="24"/>
          <w:u w:val="single"/>
        </w:rPr>
        <w:t>Participant</w:t>
      </w:r>
      <w:r>
        <w:rPr>
          <w:rFonts w:ascii="Times New Roman" w:hAnsi="Times New Roman"/>
          <w:sz w:val="24"/>
        </w:rPr>
        <w:t xml:space="preserve"> </w:t>
      </w:r>
      <w:r>
        <w:rPr>
          <w:rFonts w:ascii="Times New Roman" w:hAnsi="Times New Roman"/>
          <w:sz w:val="24"/>
          <w:u w:val="single"/>
        </w:rPr>
        <w:t>Register</w:t>
      </w:r>
      <w:r>
        <w:rPr>
          <w:rFonts w:ascii="Times New Roman" w:hAnsi="Times New Roman"/>
          <w:sz w:val="24"/>
        </w:rPr>
        <w:t xml:space="preserve">”); provided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each Lender that sells a participation shall make a copy of the Participant Register available for the Borrower and the Administrative Agent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the Borrower, the Lenders and the Administrative Agent shall treat each Person whose name is recorded in the Participant Register as the owner of such participation for all purposes of this Agreement, notwithstanding any notice to the contrary.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sz w:val="24"/>
          <w:u w:val="single"/>
        </w:rPr>
        <w:t>Certain Pledges</w:t>
      </w:r>
      <w:r>
        <w:rPr>
          <w:rFonts w:ascii="Times New Roman" w:hAnsi="Times New Roman"/>
          <w:sz w:val="24"/>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banking authority; </w:t>
      </w:r>
      <w:r>
        <w:rPr>
          <w:rFonts w:ascii="Times New Roman" w:hAnsi="Times New Roman"/>
          <w:sz w:val="24"/>
          <w:u w:val="single"/>
        </w:rPr>
        <w:t>provided</w:t>
      </w:r>
      <w:r>
        <w:rPr>
          <w:rFonts w:ascii="Times New Roman" w:hAnsi="Times New Roman"/>
          <w:sz w:val="24"/>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both"/>
        <w:rPr>
          <w:rFonts w:ascii="Times New Roman" w:hAnsi="Times New Roman"/>
          <w:sz w:val="24"/>
        </w:rPr>
      </w:pPr>
      <w:r>
        <w:rPr>
          <w:rFonts w:ascii="Times New Roman" w:hAnsi="Times New Roman"/>
          <w:sz w:val="24"/>
        </w:rPr>
        <w:t>(f) Notwithstanding anything to the contrary contained herein, any Lender (a “</w:t>
      </w:r>
      <w:r>
        <w:rPr>
          <w:rFonts w:ascii="Times New Roman" w:hAnsi="Times New Roman"/>
          <w:sz w:val="24"/>
          <w:u w:val="single"/>
        </w:rPr>
        <w:t>Granting Lender</w:t>
      </w:r>
      <w:r>
        <w:rPr>
          <w:rFonts w:ascii="Times New Roman" w:hAnsi="Times New Roman"/>
          <w:sz w:val="24"/>
        </w:rPr>
        <w:t>”) may grant to a special purpose funding vehicle (an “</w:t>
      </w:r>
      <w:r>
        <w:rPr>
          <w:rFonts w:ascii="Times New Roman" w:hAnsi="Times New Roman"/>
          <w:sz w:val="24"/>
          <w:u w:val="single"/>
        </w:rPr>
        <w:t>SPC</w:t>
      </w:r>
      <w:r>
        <w:rPr>
          <w:rFonts w:ascii="Times New Roman" w:hAnsi="Times New Roman"/>
          <w:sz w:val="24"/>
        </w:rPr>
        <w:t xml:space="preserve">”) sponsored by such Granting Lender, identified as such in writing from time to time by the Granting Lender to the Administrative Agent and the Borrower, the option to provide to the Borrower all or any part of any Advance that such Granting Lender would otherwise be obligated to make to the Borrower pursuant to this Agreement; </w:t>
      </w:r>
      <w:r>
        <w:rPr>
          <w:rFonts w:ascii="Times New Roman" w:hAnsi="Times New Roman"/>
          <w:sz w:val="24"/>
          <w:u w:val="single"/>
        </w:rPr>
        <w:t>provided</w:t>
      </w:r>
      <w:r>
        <w:rPr>
          <w:rFonts w:ascii="Times New Roman" w:hAnsi="Times New Roman"/>
          <w:sz w:val="24"/>
        </w:rPr>
        <w:t xml:space="preserve"> that (i) nothing herein shall constitute a commitment by any SPC to make any Advance and (ii) if an SPC elects not to exercise such option or otherwise fails to provide all or any part of such Advance, the Granting Lender shall be obligated to make such Advance pursuant to the terms hereof. The Loans by an SPC hereunder shall be Loans of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Granting Lender to the same extent, and as if, such Loans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solely in its capacity as a party hereto and to any other Loan Document,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11.4, any SPC may (i) with notice to, but without the prior written consent of, the Borrower and the Administrative Agent and without paying any processing fee therefor, assign all or a portion of its interests in any Advance to the Granting Lender or to any financial institutions (consented to by the Borrower and the Administrative Agent) providing liquidity and/or credit support to or for the account of such SPC to support the funding or maintenance of Advance and (ii) disclose on a confidential basis any non-public information relating to its Loans to any rating agency, commercial paper dealer or provider of any surety, guarantee or credit or liquidity enhancement to such SPC. This Section 11.4(f) may not be amended without the written consent of any SPC which has been designated in writing as provided in the first sentence hereof and holds any outstanding Loans. The designation by a Granting Lender of an SPC to fund Advances shall be deemed to be a representation, warranty, covenant and agreement by such Granting Lender to the Borrower and all other parties hereunder that (A) the funding and maintaining of such Advances by such SPC shall not constitute a “prohibited transaction” (as such term is defined in Section 406 of ERISA or Section 4975 of the Code), and (B) such designation, funding and maintenance would not result in any interest requiring registration under the Securities Act of 1933, as amended, or qualification under any state securities law. The SPC shall from time to time provide to the Borrower the tax and other forms required pursuant to Section 2.12 hereof with respect to such SPC as though such SPC were a Lender hereunder. In no event shall the Borrower or any Lender other than the Granting Lender be obligated hereunder to pay any additional amounts under any provision of this Agreement (pursuant to Article 10 hereof or otherwise) by reason of a Granting Lender’s designation of an SPC or the funding or maintenance of Advances by such SPC, in excess of amounts which the Borrower would have been obligated to pay if such Granting Lender had not made such designation and such Granting Lender were itself funding and maintaining such Advances. The Administrative Agent shall register the interest of any SPC in an Advance from time to time on the Register maintained pursuant to Section 11.4(c) hereof. </w:t>
      </w:r>
    </w:p>
    <w:p>
      <w:pPr>
        <w:pStyle w:val="TextBody"/>
        <w:bidi w:val="0"/>
        <w:spacing w:before="240" w:after="0"/>
        <w:jc w:val="both"/>
        <w:rPr>
          <w:rFonts w:ascii="Times New Roman" w:hAnsi="Times New Roman"/>
          <w:sz w:val="24"/>
        </w:rPr>
      </w:pPr>
      <w:r>
        <w:rPr>
          <w:rFonts w:ascii="Times New Roman" w:hAnsi="Times New Roman"/>
          <w:sz w:val="24"/>
        </w:rPr>
        <w:t>Section 11.5 </w:t>
      </w:r>
      <w:r>
        <w:rPr>
          <w:rFonts w:ascii="Times New Roman" w:hAnsi="Times New Roman"/>
          <w:sz w:val="24"/>
          <w:u w:val="single"/>
        </w:rPr>
        <w:t>Indemnity</w:t>
      </w:r>
      <w:r>
        <w:rPr>
          <w:rFonts w:ascii="Times New Roman" w:hAnsi="Times New Roman"/>
          <w:sz w:val="24"/>
        </w:rPr>
        <w:t>. The Borrower agrees to indemnify and hold harmless each Lender, the Administrative Agent and each of their respective Related Parties (any of the foregoing shall be an “</w:t>
      </w:r>
      <w:r>
        <w:rPr>
          <w:rFonts w:ascii="Times New Roman" w:hAnsi="Times New Roman"/>
          <w:sz w:val="24"/>
          <w:u w:val="single"/>
        </w:rPr>
        <w:t>Indemnitee</w:t>
      </w:r>
      <w:r>
        <w:rPr>
          <w:rFonts w:ascii="Times New Roman" w:hAnsi="Times New Roman"/>
          <w:sz w:val="24"/>
        </w:rPr>
        <w:t xml:space="preserve">”) from and against any and all claims, liabilities, obligations, losses, damages, actions, reasonable and documented external attorneys’ fees and expenses (as such fees and expenses are reasonably incurred), penalties, judgments, suits, reasonable and documented out-of-pocket costs and demands by any third party, including the costs of investigating and defending such claims, whether or not the Borrower or the Person seeking indemnification is the prevailing party (a) resulting from any breach or alleged breach by the Borrower of any representation or warranty made hereunder or under any Loan Document; or (b) otherwise arising out of (i) this Agreement, any Loan Document or any transaction contemplated hereby or thereby, including, without limitation, the use of the proceeds of Loans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hereunder in any fashion by the Borrower or the performance of its obligations under the Loan Documents, (ii) allegations of any participation by a Lender, the Administrative Agent or any of them, in the affairs of the Borrower or any of its Subsidiaries, or allegations that any of them has any joint liability with the Borrower for any reason and (iii) any claims against the Lenders, the Administrative Agent or any of them, by any shareholder or other investor in or lender to the Borrower, by any brokers or finders or investment advisers or investment bankers retained by the Borrower or by any other third party, arising out of or under this Agreement, except to the extent that (A) the </w:t>
      </w:r>
      <w:r>
        <w:rPr>
          <w:rFonts w:ascii="Times New Roman" w:hAnsi="Times New Roman"/>
          <w:strike/>
          <w:color w:val="FF0000"/>
          <w:sz w:val="24"/>
        </w:rPr>
        <w:t>Person</w:t>
      </w:r>
      <w:r>
        <w:rPr>
          <w:rFonts w:ascii="Times New Roman" w:hAnsi="Times New Roman"/>
          <w:color w:val="0000FF"/>
          <w:sz w:val="24"/>
          <w:u w:val="single"/>
          <w:bdr w:val="double" w:sz="2" w:space="1" w:color="000000"/>
        </w:rPr>
        <w:t>Indemnitee</w:t>
      </w:r>
      <w:r>
        <w:rPr>
          <w:rFonts w:ascii="Times New Roman" w:hAnsi="Times New Roman"/>
          <w:sz w:val="24"/>
        </w:rPr>
        <w:t xml:space="preserve"> seeking indemnification hereunder is determined in such case to have acted with gross negligence or willful misconduct, in any case, by a final, non -appealable judicial order of a court of competent jurisdiction or (B) such claims are for lost profits, foreseeable and unforeseeable, consequential, special, incidental or indirect damages or punitive damages. Upon receipt of notice in writing of any actual or prospective claim, litigation, investigation or proceeding for which indemnification is provided pursuant to the immediately preceding sentence (a “</w:t>
      </w:r>
      <w:r>
        <w:rPr>
          <w:rFonts w:ascii="Times New Roman" w:hAnsi="Times New Roman"/>
          <w:sz w:val="24"/>
          <w:u w:val="single"/>
        </w:rPr>
        <w:t>Relevant Proceeding</w:t>
      </w:r>
      <w:r>
        <w:rPr>
          <w:rFonts w:ascii="Times New Roman" w:hAnsi="Times New Roman"/>
          <w:sz w:val="24"/>
        </w:rPr>
        <w:t xml:space="preserve">”), the recipient shall promptly notify the Administrative Agent (which shall promptly notify the other parties hereto) thereof, and the Borrower and the Lenders agree to consult, to the extent appropriate, with a view to minimizing the cost to the Borrower of its obligations hereunder. The Borrower shall be entitled, to the extent feasible, to participate in any Relevant Proceeding and shall be entitled to assume the defense thereof with counsel of the Borrower’s choice;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such counsel shall be reasonably satisfactory to such of the Indemnitees as are parties thereto;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further</w:t>
      </w:r>
      <w:r>
        <w:rPr>
          <w:rFonts w:ascii="Times New Roman" w:hAnsi="Times New Roman"/>
          <w:sz w:val="24"/>
        </w:rPr>
        <w:t xml:space="preserve">, however, that, after the Borrower has assumed the defense of any Relevant Proceeding, it will not settle, compromise or consent to the entry of any order adjudicating or otherwise disposing of any claims against any Indemnitee (1) if such settlement, compromise or order involves the payment of money damages, except if the Borrower agrees, as between the Borrower and such Indemnitee, to pay such money damages, and, if not simultaneously paid, to furnish such Indemnitee with satisfactory evidence of its ability to pay the same, and (2) if such settlement, compromise or order involves any relief against such Indemnitee other than the payment of money damages, except with the prior written consent of such Indemnitee (which consent shall not be unreasonably withheld). Notwithstanding the Borrower’s election to assume the defense of such Relevant Proceeding, such of the Indemnitees as are parties thereto shall have the right to employ separate counsel and to participate in the defense of such action or proceeding at the expense of such Indemnitee. The obligations of the Borrower under this Section 11.5 are in addition to, and shall not otherwise limit, any liabilities which the Borrower might otherwise have in connection with any warranties or similar obligations of the Borrower in any other Loan Document. Notwithstanding the foregoing, this Section 11.5 shall not apply with respect to Taxes other than any Taxes that represent losses, claims, damages, etc. arising from any non -Tax claim. </w:t>
      </w:r>
    </w:p>
    <w:p>
      <w:pPr>
        <w:pStyle w:val="TextBody"/>
        <w:bidi w:val="0"/>
        <w:spacing w:before="240" w:after="0"/>
        <w:jc w:val="both"/>
        <w:rPr>
          <w:rFonts w:ascii="Times New Roman" w:hAnsi="Times New Roman"/>
          <w:sz w:val="24"/>
        </w:rPr>
      </w:pPr>
      <w:r>
        <w:rPr>
          <w:rFonts w:ascii="Times New Roman" w:hAnsi="Times New Roman"/>
          <w:sz w:val="24"/>
        </w:rPr>
        <w:t>Section 11.6 </w:t>
      </w:r>
      <w:r>
        <w:rPr>
          <w:rFonts w:ascii="Times New Roman" w:hAnsi="Times New Roman"/>
          <w:sz w:val="24"/>
          <w:u w:val="single"/>
        </w:rPr>
        <w:t>Counterparts</w:t>
      </w:r>
      <w:r>
        <w:rPr>
          <w:rFonts w:ascii="Times New Roman" w:hAnsi="Times New Roman"/>
          <w:sz w:val="24"/>
        </w:rPr>
        <w:t xml:space="preserve">. This Agreement may be executed in any number of counterparts, each of which shall be deemed to be an original, but all such separate counterparts shall together constitute one and the same instrument.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Request for Advance,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240" w:after="0"/>
        <w:jc w:val="both"/>
        <w:rPr>
          <w:rFonts w:ascii="Times New Roman" w:hAnsi="Times New Roman"/>
          <w:sz w:val="24"/>
        </w:rPr>
      </w:pPr>
      <w:r>
        <w:rPr>
          <w:rFonts w:ascii="Times New Roman" w:hAnsi="Times New Roman"/>
          <w:sz w:val="24"/>
        </w:rPr>
        <w:t>Section 11.7 </w:t>
      </w:r>
      <w:r>
        <w:rPr>
          <w:rFonts w:ascii="Times New Roman" w:hAnsi="Times New Roman"/>
          <w:sz w:val="24"/>
          <w:u w:val="single"/>
        </w:rPr>
        <w:t>Governing Law; Jurisdiction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sz w:val="24"/>
          <w:u w:val="single"/>
        </w:rPr>
        <w:t>Governing Law</w:t>
      </w:r>
      <w:r>
        <w:rPr>
          <w:rFonts w:ascii="Times New Roman" w:hAnsi="Times New Roman"/>
          <w:sz w:val="24"/>
        </w:rPr>
        <w:t xml:space="preserve">. This Agreement and the Notes shall be construed in accordance with and governed by the internal laws of the State of New York applicable to agreements made and to be performed the State of New York; provided that the determination of whether the Specified Merger has been consummated in accordance with the terms of the Specified Merger Agreement, the determination of whether the Specified Merger Agreement Representations are accurate and whether as a result of any inaccuracy thereof the Buyer has the right (taking into account any applicable cure provisions) to decline to consummate the Specified Merger(s) or to terminate its obligations (or otherwise do not have an obligation to close) under the relevant Specified Merger Agreement and the interpretation of the definition of “Target Material Adverse Effect” and whether or not a Target Material Adverse Effect has occurred shall, in each case be governed by, and construed in accordance with, the laws of the State of Maryland without giving effect to conflicts of laws principles (whether of the State of Maryland or any other jurisdiction that would cause the application of the laws of any jurisdiction other than the State of Maryland).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sz w:val="24"/>
          <w:u w:val="single"/>
        </w:rPr>
        <w:t>Jurisdiction</w:t>
      </w:r>
      <w:r>
        <w:rPr>
          <w:rFonts w:ascii="Times New Roman" w:hAnsi="Times New Roman"/>
          <w:sz w:val="24"/>
        </w:rPr>
        <w:t xml:space="preserve">.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sz w:val="24"/>
          <w:u w:val="single"/>
        </w:rPr>
        <w:t>Waiver of Venue.</w:t>
      </w:r>
      <w:r>
        <w:rPr>
          <w:rFonts w:ascii="Times New Roman" w:hAnsi="Times New Roman"/>
          <w:sz w:val="24"/>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hereto hereby irrevocably waives, to the fullest extent permitted by applicable law, the defense of an inconvenient forum to the maintenance of such action or proceeding in any such court.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sz w:val="24"/>
          <w:u w:val="single"/>
        </w:rPr>
        <w:t>Services of Process</w:t>
      </w:r>
      <w:r>
        <w:rPr>
          <w:rFonts w:ascii="Times New Roman" w:hAnsi="Times New Roman"/>
          <w:sz w:val="24"/>
        </w:rPr>
        <w:t xml:space="preserve">. Each party hereto irrevocably consents to service of process in the manner provided for notices in Section 11.1. Nothing in this Agreement will affect the right of any party hereto to serve process in any other manner permitted by applicable law. </w:t>
      </w:r>
    </w:p>
    <w:p>
      <w:pPr>
        <w:pStyle w:val="TextBody"/>
        <w:bidi w:val="0"/>
        <w:spacing w:before="240" w:after="0"/>
        <w:jc w:val="both"/>
        <w:rPr>
          <w:rFonts w:ascii="Times New Roman" w:hAnsi="Times New Roman"/>
          <w:sz w:val="24"/>
        </w:rPr>
      </w:pPr>
      <w:r>
        <w:rPr>
          <w:rFonts w:ascii="Times New Roman" w:hAnsi="Times New Roman"/>
          <w:sz w:val="24"/>
        </w:rPr>
        <w:t>Section 11.8 </w:t>
      </w:r>
      <w:r>
        <w:rPr>
          <w:rFonts w:ascii="Times New Roman" w:hAnsi="Times New Roman"/>
          <w:sz w:val="24"/>
          <w:u w:val="single"/>
        </w:rPr>
        <w:t>Severability</w:t>
      </w:r>
      <w:r>
        <w:rPr>
          <w:rFonts w:ascii="Times New Roman" w:hAnsi="Times New Roman"/>
          <w:sz w:val="24"/>
        </w:rPr>
        <w:t xml:space="preserve">. To the extent permitted by law, any provision of this Agreement which is prohibited or unenforceable in any jurisdiction shall be ineffective to the extent of such prohibition or unenforceability without invalidating the remaining provisions hereof in that jurisdiction or affecting the validity or enforceability of such provision in any other jurisdiction. </w:t>
      </w:r>
    </w:p>
    <w:p>
      <w:pPr>
        <w:pStyle w:val="TextBody"/>
        <w:bidi w:val="0"/>
        <w:spacing w:before="240" w:after="0"/>
        <w:jc w:val="both"/>
        <w:rPr>
          <w:rFonts w:ascii="Times New Roman" w:hAnsi="Times New Roman"/>
          <w:sz w:val="24"/>
        </w:rPr>
      </w:pPr>
      <w:r>
        <w:rPr>
          <w:rFonts w:ascii="Times New Roman" w:hAnsi="Times New Roman"/>
          <w:sz w:val="24"/>
        </w:rPr>
        <w:t>Section 11.9 </w:t>
      </w:r>
      <w:r>
        <w:rPr>
          <w:rFonts w:ascii="Times New Roman" w:hAnsi="Times New Roman"/>
          <w:sz w:val="24"/>
          <w:u w:val="single"/>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(a) In no event shall the amount of interest due or payable hereunder or under the Notes exceed the maximum rate of interest allowed by Applicable Law, and in the event any such payment is inadvertently made by the Borrower or inadvertently received by the Administrative Agent or any Lender, then such excess sum shall be credited as a payment of principal, unless, if no Event of Default shall have occurred and be continuing, the Borrower shall notify the Administrative Agent or such Lender, in writing, that it elects to have such excess sum returned forthwith. It is the express intent hereof that the Borrower not pay and the Administrative Agent and the Lenders not receive, directly or indirectly in any manner whatsoever, interest in excess of that which may legally be paid by the Borrower under Applicable Law. </w:t>
      </w:r>
    </w:p>
    <w:p>
      <w:pPr>
        <w:pStyle w:val="TextBody"/>
        <w:bidi w:val="0"/>
        <w:spacing w:before="240" w:after="0"/>
        <w:jc w:val="both"/>
        <w:rPr>
          <w:rFonts w:ascii="Times New Roman" w:hAnsi="Times New Roman"/>
          <w:sz w:val="24"/>
        </w:rPr>
      </w:pPr>
      <w:r>
        <w:rPr>
          <w:rFonts w:ascii="Times New Roman" w:hAnsi="Times New Roman"/>
          <w:sz w:val="24"/>
        </w:rPr>
        <w:t xml:space="preserve">(b) Notwithstanding the use by the Lenders of the Base Rate and the Term SOFR Reference Rate as reference rates for the determination of interest on the Loans, the Lenders shall be under no obligation to obtain funds from any particular source in order to charge interest to the Borrower at interest rates related to such reference rates. </w:t>
      </w:r>
    </w:p>
    <w:p>
      <w:pPr>
        <w:pStyle w:val="TextBody"/>
        <w:bidi w:val="0"/>
        <w:spacing w:before="240" w:after="0"/>
        <w:jc w:val="both"/>
        <w:rPr>
          <w:rFonts w:ascii="Times New Roman" w:hAnsi="Times New Roman"/>
          <w:sz w:val="24"/>
        </w:rPr>
      </w:pPr>
      <w:r>
        <w:rPr>
          <w:rFonts w:ascii="Times New Roman" w:hAnsi="Times New Roman"/>
          <w:sz w:val="24"/>
        </w:rPr>
        <w:t>Section 11.10 </w:t>
      </w:r>
      <w:r>
        <w:rPr>
          <w:rFonts w:ascii="Times New Roman" w:hAnsi="Times New Roman"/>
          <w:sz w:val="24"/>
          <w:u w:val="single"/>
        </w:rPr>
        <w:t>Table of Contents and Headings</w:t>
      </w:r>
      <w:r>
        <w:rPr>
          <w:rFonts w:ascii="Times New Roman" w:hAnsi="Times New Roman"/>
          <w:sz w:val="24"/>
        </w:rPr>
        <w:t xml:space="preserve">. The Table of Contents and the headings of the various subdivisions used in this Agreement are for convenience only and shall not in any way modify or amend any of the terms or provisions hereof, nor be used in connection with the interpretation of any provision hereof. </w:t>
      </w:r>
    </w:p>
    <w:p>
      <w:pPr>
        <w:pStyle w:val="TextBody"/>
        <w:bidi w:val="0"/>
        <w:spacing w:before="240" w:after="0"/>
        <w:jc w:val="both"/>
        <w:rPr>
          <w:rFonts w:ascii="Times New Roman" w:hAnsi="Times New Roman"/>
          <w:sz w:val="24"/>
        </w:rPr>
      </w:pPr>
      <w:r>
        <w:rPr>
          <w:rFonts w:ascii="Times New Roman" w:hAnsi="Times New Roman"/>
          <w:sz w:val="24"/>
        </w:rPr>
        <w:t>Section 11.11 </w:t>
      </w:r>
      <w:r>
        <w:rPr>
          <w:rFonts w:ascii="Times New Roman" w:hAnsi="Times New Roman"/>
          <w:sz w:val="24"/>
          <w:u w:val="single"/>
        </w:rPr>
        <w:t>Amendment and Waiver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(a) Neither this Agreement nor any Loan Document nor any term hereof or thereof may be amended orally, nor may any provision hereof or thereof be waived orally but only by an instrument in writing signed by or at the written direction of: </w:t>
      </w:r>
    </w:p>
    <w:p>
      <w:pPr>
        <w:pStyle w:val="TextBody"/>
        <w:bidi w:val="0"/>
        <w:spacing w:before="240" w:after="0"/>
        <w:jc w:val="both"/>
        <w:rPr>
          <w:rFonts w:ascii="Times New Roman" w:hAnsi="Times New Roman"/>
          <w:sz w:val="24"/>
        </w:rPr>
      </w:pPr>
      <w:r>
        <w:rPr>
          <w:rFonts w:ascii="Times New Roman" w:hAnsi="Times New Roman"/>
          <w:sz w:val="24"/>
        </w:rPr>
        <w:t xml:space="preserve">(i) except as set forth in (ii) and (iii) below, the Majority Lenders and, in the case of any amendment, by the Borrower; </w:t>
      </w:r>
    </w:p>
    <w:p>
      <w:pPr>
        <w:pStyle w:val="TextBody"/>
        <w:bidi w:val="0"/>
        <w:spacing w:before="240" w:after="0"/>
        <w:jc w:val="both"/>
        <w:rPr>
          <w:rFonts w:ascii="Times New Roman" w:hAnsi="Times New Roman"/>
          <w:sz w:val="24"/>
        </w:rPr>
      </w:pPr>
      <w:r>
        <w:rPr>
          <w:rFonts w:ascii="Times New Roman" w:hAnsi="Times New Roman"/>
          <w:sz w:val="24"/>
        </w:rPr>
        <w:t xml:space="preserve">(ii) with respect to (A) any increase in the amount of any Lender’s portion of the Commitments or any extension of the Lender’s Commitments, (B) any reduction in the rate of, or postponement in the payment of any interest or fees due hereunder or the payment thereof to any Lender without a corresponding payment of such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interest or fee amount by the Borrower, (C) (1) any waiver of any Default due to the failure by the Borrower to pay any sum due to any of the Lenders hereunder or (2) any reduction in the principal amount of the Loans without a corresponding payment, (D) any release of the Borrower from this Agreement, except in connection with a merger, sale or other disposition otherwise permitted hereunder (in which case, such release shall require no further approval by the Lenders), (E) any amendment to the pro rata treatment of the Lenders or the order of payment set forth in Section 8.3 hereof, (F) any amendment of this Section 11.11, of the definition of Majority Lenders, or of any Section herein to the extent that such Section requires action by all Lenders, (G) any subordination of the Loans in full to any other Indebtedness, or (H) any extension of the Term Loan Maturity Date, the affected Lenders and in the case of an amendment, the Borrower, (it being understood that, for purposes of this Section 11.11(a)(ii), changes to provisions of the Loan Documents that relate only to one or more of the Loans shall be deemed to “affect” only the Lenders holding such Loans); and </w:t>
      </w:r>
    </w:p>
    <w:p>
      <w:pPr>
        <w:pStyle w:val="TextBody"/>
        <w:bidi w:val="0"/>
        <w:spacing w:before="240" w:after="0"/>
        <w:jc w:val="both"/>
        <w:rPr>
          <w:rFonts w:ascii="Times New Roman" w:hAnsi="Times New Roman"/>
          <w:sz w:val="24"/>
        </w:rPr>
      </w:pPr>
      <w:r>
        <w:rPr>
          <w:rFonts w:ascii="Times New Roman" w:hAnsi="Times New Roman"/>
          <w:sz w:val="24"/>
        </w:rPr>
        <w:t xml:space="preserve">(iii) no amendment, waiver or consent shall, unless in writing and signed by the Administrative Agent in addition to the Lenders required above to take such action, affect the rights or duties of the Administrative Agent under this Agreement or any other Loan Document. </w:t>
      </w:r>
    </w:p>
    <w:p>
      <w:pPr>
        <w:pStyle w:val="TextBody"/>
        <w:bidi w:val="0"/>
        <w:spacing w:before="240" w:after="0"/>
        <w:jc w:val="both"/>
        <w:rPr>
          <w:rFonts w:ascii="Times New Roman" w:hAnsi="Times New Roman"/>
          <w:sz w:val="24"/>
        </w:rPr>
      </w:pPr>
      <w:r>
        <w:rPr>
          <w:rFonts w:ascii="Times New Roman" w:hAnsi="Times New Roman"/>
          <w:sz w:val="24"/>
        </w:rPr>
        <w:t xml:space="preserve">(b) Notwithstanding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w:t>
      </w:r>
    </w:p>
    <w:p>
      <w:pPr>
        <w:pStyle w:val="TextBody"/>
        <w:bidi w:val="0"/>
        <w:spacing w:before="240" w:after="0"/>
        <w:jc w:val="both"/>
        <w:rPr>
          <w:rFonts w:ascii="Times New Roman" w:hAnsi="Times New Roman"/>
          <w:sz w:val="24"/>
        </w:rPr>
      </w:pPr>
      <w:r>
        <w:rPr>
          <w:rFonts w:ascii="Times New Roman" w:hAnsi="Times New Roman"/>
          <w:sz w:val="24"/>
        </w:rPr>
        <w:t>(c) In connection with any proposed amendment, modification, waiver or termination (a “</w:t>
      </w:r>
      <w:r>
        <w:rPr>
          <w:rFonts w:ascii="Times New Roman" w:hAnsi="Times New Roman"/>
          <w:sz w:val="24"/>
          <w:u w:val="single"/>
        </w:rPr>
        <w:t>Proposed Change</w:t>
      </w:r>
      <w:r>
        <w:rPr>
          <w:rFonts w:ascii="Times New Roman" w:hAnsi="Times New Roman"/>
          <w:sz w:val="24"/>
        </w:rPr>
        <w:t>”) requiring the consent of all Lenders, if the consent of Majority Lenders is obtained, but the consent of the other Lenders whose consent is required is not obtained (any such Lender whose consent is not obtained being referred to as a “</w:t>
      </w:r>
      <w:r>
        <w:rPr>
          <w:rFonts w:ascii="Times New Roman" w:hAnsi="Times New Roman"/>
          <w:sz w:val="24"/>
          <w:u w:val="single"/>
        </w:rPr>
        <w:t>Non-Consenting Lender</w:t>
      </w:r>
      <w:r>
        <w:rPr>
          <w:rFonts w:ascii="Times New Roman" w:hAnsi="Times New Roman"/>
          <w:sz w:val="24"/>
        </w:rPr>
        <w:t xml:space="preserve">”), then, at the Borrower’s request (and at the Borrower’s sole cost and expense), a Replacement Lender selected by the Borrower and reasonably acceptable to the Administrative Agent, shall have the right to purchase from such Non-Consenting Lenders, and such Non-Consenting Lenders agree that they shall, upon the Borrower’s request, sell and assign to such Person, all of the Loans of such Non-Consenting Lenders for an amount equal to the principal balance of all Loans held by the Non-Consenting Lenders and all accrued interest and fees and other amounts due (including without limitation amounts due to such Non-Consenting Lender pursuant to Section 2.9 hereof) or outstanding to such Non-Consenting Lender through the date of sale, such purchase and sale to be consummated pursuant to an executed Assignment and Assumption substantially in the form on </w:t>
      </w:r>
      <w:r>
        <w:rPr>
          <w:rFonts w:ascii="Times New Roman" w:hAnsi="Times New Roman"/>
          <w:sz w:val="24"/>
          <w:u w:val="single"/>
        </w:rPr>
        <w:t>Exhibit F</w:t>
      </w:r>
      <w:r>
        <w:rPr>
          <w:rFonts w:ascii="Times New Roman" w:hAnsi="Times New Roman"/>
          <w:sz w:val="24"/>
        </w:rPr>
        <w:t xml:space="preserve"> attached hereto. Upon execution of any Assignment and Assumption pursuant to this Section 11.11(b), (i) the Replacement Lender shall be entitled to vote on any pending waiver, amendment or consent in lieu of the Non-Consenting Lender replaced by such Replacement Lender, (ii) such Replacement Lender shall be deemed to be a “</w:t>
      </w:r>
      <w:r>
        <w:rPr>
          <w:rFonts w:ascii="Times New Roman" w:hAnsi="Times New Roman"/>
          <w:sz w:val="24"/>
          <w:u w:val="single"/>
        </w:rPr>
        <w:t>Lender</w:t>
      </w:r>
      <w:r>
        <w:rPr>
          <w:rFonts w:ascii="Times New Roman" w:hAnsi="Times New Roman"/>
          <w:sz w:val="24"/>
        </w:rPr>
        <w:t xml:space="preserve">” for purposes of this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Agreement and (iii) such Non-Consenting Lender shall cease to be a “</w:t>
      </w:r>
      <w:r>
        <w:rPr>
          <w:rFonts w:ascii="Times New Roman" w:hAnsi="Times New Roman"/>
          <w:sz w:val="24"/>
          <w:u w:val="single"/>
        </w:rPr>
        <w:t>Lender</w:t>
      </w:r>
      <w:r>
        <w:rPr>
          <w:rFonts w:ascii="Times New Roman" w:hAnsi="Times New Roman"/>
          <w:sz w:val="24"/>
        </w:rPr>
        <w:t xml:space="preserve">” for purposes of this Agreement and shall no longer have any obligations or rights hereunder (other than any obligations or rights which according to this Agreement shall survive the termination of the Loans). </w:t>
      </w:r>
    </w:p>
    <w:p>
      <w:pPr>
        <w:pStyle w:val="TextBody"/>
        <w:bidi w:val="0"/>
        <w:spacing w:before="240" w:after="0"/>
        <w:jc w:val="both"/>
        <w:rPr>
          <w:rFonts w:ascii="Times New Roman" w:hAnsi="Times New Roman"/>
          <w:sz w:val="24"/>
        </w:rPr>
      </w:pPr>
      <w:r>
        <w:rPr>
          <w:rFonts w:ascii="Times New Roman" w:hAnsi="Times New Roman"/>
          <w:sz w:val="24"/>
        </w:rPr>
        <w:t>Section 11.12 </w:t>
      </w:r>
      <w:r>
        <w:rPr>
          <w:rFonts w:ascii="Times New Roman" w:hAnsi="Times New Roman"/>
          <w:sz w:val="24"/>
          <w:u w:val="single"/>
        </w:rPr>
        <w:t>Entire Agreement</w:t>
      </w:r>
      <w:r>
        <w:rPr>
          <w:rFonts w:ascii="Times New Roman" w:hAnsi="Times New Roman"/>
          <w:sz w:val="24"/>
        </w:rPr>
        <w:t xml:space="preserve">. Except as otherwise expressly provided herein, this Agreement, the other Loan Documents and the other documents described or contemplated herein or therein will embody the entire agreement and understanding among the parties hereto and thereto and supersede all prior agreements and understandings relating to the subject matter hereof and thereof. </w:t>
      </w:r>
    </w:p>
    <w:p>
      <w:pPr>
        <w:pStyle w:val="TextBody"/>
        <w:bidi w:val="0"/>
        <w:spacing w:before="240" w:after="0"/>
        <w:jc w:val="both"/>
        <w:rPr>
          <w:rFonts w:ascii="Times New Roman" w:hAnsi="Times New Roman"/>
          <w:sz w:val="24"/>
        </w:rPr>
      </w:pPr>
      <w:r>
        <w:rPr>
          <w:rFonts w:ascii="Times New Roman" w:hAnsi="Times New Roman"/>
          <w:sz w:val="24"/>
        </w:rPr>
        <w:t>Section 11.13 </w:t>
      </w:r>
      <w:r>
        <w:rPr>
          <w:rFonts w:ascii="Times New Roman" w:hAnsi="Times New Roman"/>
          <w:sz w:val="24"/>
          <w:u w:val="single"/>
        </w:rPr>
        <w:t>Other Relationships; No Fiduciary Relationships</w:t>
      </w:r>
      <w:r>
        <w:rPr>
          <w:rFonts w:ascii="Times New Roman" w:hAnsi="Times New Roman"/>
          <w:sz w:val="24"/>
        </w:rPr>
        <w:t>. No relationship created hereunder or under any other Loan Document shall in any way affect the ability of the Administrative Agent and each Lender to enter into or maintain business relationships with the Borrower or any Affiliate thereof beyond the relationships specifically contemplated by this Agreement and the other Loan Documents</w:t>
      </w:r>
      <w:r>
        <w:rPr>
          <w:rFonts w:ascii="Times New Roman" w:hAnsi="Times New Roman"/>
          <w:color w:val="0000FF"/>
          <w:sz w:val="24"/>
          <w:u w:val="single"/>
          <w:bdr w:val="double" w:sz="2" w:space="1" w:color="000000"/>
        </w:rPr>
        <w:t>. The Administrative Agent, each Issuing Bank and each Lender and their respective Affiliates may be engaged in a broad range of transactions that involve economic interests that differ from those of the Company and its respective Affiliates, and none of the Administrative Agent, any Issuing Bank nor any Lender has any obligation to disclose any of such interests to the Company or any of its respective Affiliates.</w:t>
      </w:r>
      <w:r>
        <w:rPr>
          <w:rFonts w:ascii="Times New Roman" w:hAnsi="Times New Roman"/>
          <w:sz w:val="24"/>
        </w:rPr>
        <w:t xml:space="preserve"> The Borrower agrees that in connection with all aspects of the transactions contemplated hereby and any communications in connection therewith, the Borrower, its Subsidiaries and their respective Affiliates, on the one hand, and the Administrative Agent, the Lenders and their respective Affiliates, on the other hand, will have a business relationship that does not create, by implication or otherwise, any fiduciary duty on the part of the Administrative Agent, any Lender or any of their respective Affiliates, and no such duty will be deemed to have arisen in connection with any such transactions or communications. </w:t>
      </w:r>
    </w:p>
    <w:p>
      <w:pPr>
        <w:pStyle w:val="TextBody"/>
        <w:bidi w:val="0"/>
        <w:spacing w:before="240" w:after="0"/>
        <w:jc w:val="both"/>
        <w:rPr>
          <w:rFonts w:ascii="Times New Roman" w:hAnsi="Times New Roman"/>
          <w:sz w:val="24"/>
        </w:rPr>
      </w:pPr>
      <w:r>
        <w:rPr>
          <w:rFonts w:ascii="Times New Roman" w:hAnsi="Times New Roman"/>
          <w:sz w:val="24"/>
        </w:rPr>
        <w:t>Section 11.14 </w:t>
      </w:r>
      <w:r>
        <w:rPr>
          <w:rFonts w:ascii="Times New Roman" w:hAnsi="Times New Roman"/>
          <w:sz w:val="24"/>
          <w:u w:val="single"/>
        </w:rPr>
        <w:t>Directly or Indirectly</w:t>
      </w:r>
      <w:r>
        <w:rPr>
          <w:rFonts w:ascii="Times New Roman" w:hAnsi="Times New Roman"/>
          <w:sz w:val="24"/>
        </w:rPr>
        <w:t xml:space="preserve">. If any provision in this Agreement refers to any action taken or to be taken by any Person, or which such Person is prohibited from taking, such provision shall be applicable whether such action is taken directly or indirectly by such Person, whether or not expressly specified in such provision. </w:t>
      </w:r>
    </w:p>
    <w:p>
      <w:pPr>
        <w:pStyle w:val="TextBody"/>
        <w:bidi w:val="0"/>
        <w:spacing w:before="240" w:after="0"/>
        <w:jc w:val="both"/>
        <w:rPr>
          <w:rFonts w:ascii="Times New Roman" w:hAnsi="Times New Roman"/>
          <w:sz w:val="24"/>
        </w:rPr>
      </w:pPr>
      <w:r>
        <w:rPr>
          <w:rFonts w:ascii="Times New Roman" w:hAnsi="Times New Roman"/>
          <w:sz w:val="24"/>
        </w:rPr>
        <w:t>Section 11.15 </w:t>
      </w:r>
      <w:r>
        <w:rPr>
          <w:rFonts w:ascii="Times New Roman" w:hAnsi="Times New Roman"/>
          <w:sz w:val="24"/>
          <w:u w:val="single"/>
        </w:rPr>
        <w:t>Reliance on and Survival of Various Provisions</w:t>
      </w:r>
      <w:r>
        <w:rPr>
          <w:rFonts w:ascii="Times New Roman" w:hAnsi="Times New Roman"/>
          <w:sz w:val="24"/>
        </w:rPr>
        <w:t xml:space="preserve">. All covenants, agreements, statements, representations and warranties made by the Borrower herein or in any certificate delivered pursuant hereto shall (a) be deemed to have been relied upon by the Administrative Agent and each of the Lenders notwithstanding any investigation heretofore or hereafter made by them and (b) survive the execution and delivery of this Agreement and shall continue in full force and effect so long as any Loans are outstanding and unpaid. Any right to indemnification hereunder, including, without limitation, rights pursuant to Sections 2.9, 2.11, 10.3, 11.2 and 11.5 hereof, shall survive the termination of this Agreement and the payment and performance of all Obligations. The Borrower acknowledges that certain of the Lenders or their respective Affiliates are the administrative agent and/or a lender under the Existing Credit Agreement, and that the rights and obligations that the Borrower and its Affiliates have under any other agreement with any Lender and its Affiliates (including the loan documentation relating to the Existing Credit Agreements) that currently or hereinafter may exist are, and shall be, separate and distinct from the rights and obligations of the parties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Section 11.16 </w:t>
      </w:r>
      <w:r>
        <w:rPr>
          <w:rFonts w:ascii="Times New Roman" w:hAnsi="Times New Roman"/>
          <w:sz w:val="24"/>
          <w:u w:val="single"/>
        </w:rPr>
        <w:t>Senior Debt</w:t>
      </w:r>
      <w:r>
        <w:rPr>
          <w:rFonts w:ascii="Times New Roman" w:hAnsi="Times New Roman"/>
          <w:sz w:val="24"/>
        </w:rPr>
        <w:t xml:space="preserve">. The Obligations are intended by the parties hereto to be senior in right of payment to any Indebtedness of the Borrower that by its terms is subordinated to any other Indebtedness of the Borrower. </w:t>
      </w:r>
    </w:p>
    <w:p>
      <w:pPr>
        <w:pStyle w:val="TextBody"/>
        <w:bidi w:val="0"/>
        <w:spacing w:before="240" w:after="0"/>
        <w:jc w:val="both"/>
        <w:rPr>
          <w:rFonts w:ascii="Times New Roman" w:hAnsi="Times New Roman"/>
          <w:sz w:val="24"/>
        </w:rPr>
      </w:pPr>
      <w:r>
        <w:rPr>
          <w:rFonts w:ascii="Times New Roman" w:hAnsi="Times New Roman"/>
          <w:sz w:val="24"/>
        </w:rPr>
        <w:t>Section 11.17 </w:t>
      </w:r>
      <w:r>
        <w:rPr>
          <w:rFonts w:ascii="Times New Roman" w:hAnsi="Times New Roman"/>
          <w:sz w:val="24"/>
          <w:u w:val="single"/>
        </w:rPr>
        <w:t>Obligations</w:t>
      </w:r>
      <w:r>
        <w:rPr>
          <w:rFonts w:ascii="Times New Roman" w:hAnsi="Times New Roman"/>
          <w:sz w:val="24"/>
        </w:rPr>
        <w:t xml:space="preserve">. The obligations of the Administrative Agent and each of the Lenders hereunder are several, not joint. </w:t>
      </w:r>
    </w:p>
    <w:p>
      <w:pPr>
        <w:pStyle w:val="TextBody"/>
        <w:bidi w:val="0"/>
        <w:spacing w:before="240" w:after="0"/>
        <w:jc w:val="both"/>
        <w:rPr>
          <w:rFonts w:ascii="Times New Roman" w:hAnsi="Times New Roman"/>
          <w:sz w:val="24"/>
        </w:rPr>
      </w:pPr>
      <w:r>
        <w:rPr>
          <w:rFonts w:ascii="Times New Roman" w:hAnsi="Times New Roman"/>
          <w:sz w:val="24"/>
        </w:rPr>
        <w:t>Section 11.18 </w:t>
      </w:r>
      <w:r>
        <w:rPr>
          <w:rFonts w:ascii="Times New Roman" w:hAnsi="Times New Roman"/>
          <w:sz w:val="24"/>
          <w:u w:val="single"/>
        </w:rPr>
        <w:t>Confidentiality</w:t>
      </w:r>
      <w:r>
        <w:rPr>
          <w:rFonts w:ascii="Times New Roman" w:hAnsi="Times New Roman"/>
          <w:sz w:val="24"/>
        </w:rPr>
        <w:t xml:space="preserve">. The Administrative Agent and the Lenders shall hold confidentially all non-public and proprietary information and all other information designated by the Borrower as confidential, in each case, obtained from the Borrower or its Affiliates pursuant to the requirements of this Agreement in accordance with their customary procedures for handling confidential information of this nature and in accordance with safe and sound lending practices;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that the Administrative Agent and the Lenders may make disclosure of any such information (a) to their examiners, Affiliates, outside auditors, counsel, consultants, appraisers, agents, other professional advisors, any credit insurance provider relating to the Borrower and its obligations and any direct or indirect contractual counterparty in swap agreements or such counterparty’s professional advisor in connection with this Agreement or as reasonably required by any proposed syndicate member or any proposed transferee or participant in connection with the contemplated transfer of any Note or participation therein (including, without limitation, any pledgee referred to in Section 11.4(e) hereof), in each case, so long as any such Person (other than any examiners) receiving such information is advised of the provisions of this Section 11.18 and agrees to be bound thereby, (b) as required or requested by any governmental authority or self-regulatory body or representative thereof or in connection with the enforcement hereof or of any Loan Document or related document, or (c) pursuant to legal process or with respect to any litigation between or among the Borrower and any of the Administrative Agent or the Lenders. In no event shall the Administrative Agent or any Lender be obligated or required to return any materials furnished to it by the Borrower. The foregoing provisions shall not apply to the Administrative Agent or any Lender with respect to information that (i) is or becomes generally available to the public (other than through the Administrative Agent or such Lender), (ii) is already in the possession of the Administrative Agent or such Lender on a non-confidential basis, or (iii) comes into the possession of the Administrative Agent or such Lender from a source other than the Borrower or its Affiliates in a manner not known to the Administrative Agent or such Lender to involve a breach of a duty of confidentiality owing to the Borrower or its Affiliates. For the avoidance of doubt, nothing in this Section 11.18 shall prohibit any Person from voluntarily disclosing or providing any information within the scope of this Section 11.18 to any governmental, regulatory or self-regulatory organization (any such entity, a “</w:t>
      </w:r>
      <w:r>
        <w:rPr>
          <w:rFonts w:ascii="Times New Roman" w:hAnsi="Times New Roman"/>
          <w:sz w:val="24"/>
          <w:u w:val="single"/>
        </w:rPr>
        <w:t>Regulatory Authority</w:t>
      </w:r>
      <w:r>
        <w:rPr>
          <w:rFonts w:ascii="Times New Roman" w:hAnsi="Times New Roman"/>
          <w:sz w:val="24"/>
        </w:rPr>
        <w:t xml:space="preserve">”) to the extent that any such prohibition on disclosure set forth in this Section 11.18 shall be prohibited by the laws or regulations applicable to such Regulatory Authority. </w:t>
      </w:r>
    </w:p>
    <w:p>
      <w:pPr>
        <w:pStyle w:val="TextBody"/>
        <w:bidi w:val="0"/>
        <w:spacing w:before="240" w:after="0"/>
        <w:jc w:val="both"/>
        <w:rPr>
          <w:rFonts w:ascii="Times New Roman" w:hAnsi="Times New Roman"/>
          <w:sz w:val="24"/>
        </w:rPr>
      </w:pPr>
      <w:r>
        <w:rPr>
          <w:rFonts w:ascii="Times New Roman" w:hAnsi="Times New Roman"/>
          <w:sz w:val="24"/>
        </w:rPr>
        <w:t>Section 11.19 </w:t>
      </w:r>
      <w:r>
        <w:rPr>
          <w:rFonts w:ascii="Times New Roman" w:hAnsi="Times New Roman"/>
          <w:sz w:val="24"/>
          <w:u w:val="single"/>
        </w:rPr>
        <w:t>USA PATRIOT ACT and Beneficial Ownership Regulation Notice</w:t>
      </w:r>
      <w:r>
        <w:rPr>
          <w:rFonts w:ascii="Times New Roman" w:hAnsi="Times New Roman"/>
          <w:sz w:val="24"/>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hAnsi="Times New Roman"/>
          <w:sz w:val="24"/>
          <w:u w:val="single"/>
        </w:rPr>
        <w:t>Act</w:t>
      </w:r>
      <w:r>
        <w:rPr>
          <w:rFonts w:ascii="Times New Roman" w:hAnsi="Times New Roman"/>
          <w:sz w:val="24"/>
        </w:rPr>
        <w:t xml:space="preserve">”) and the Beneficial Ownership Regulation, it is required to obtain, verify and record information that identifies the Borrower, which information includes the name and address of the Borrower and other information that will allow such Lender or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as applicable, to identify the Borrower in accordance with the Act and the Beneficial Ownership Regulation. </w:t>
      </w:r>
    </w:p>
    <w:p>
      <w:pPr>
        <w:pStyle w:val="TextBody"/>
        <w:bidi w:val="0"/>
        <w:spacing w:before="240" w:after="0"/>
        <w:jc w:val="both"/>
        <w:rPr>
          <w:rFonts w:ascii="Times New Roman" w:hAnsi="Times New Roman"/>
          <w:sz w:val="24"/>
        </w:rPr>
      </w:pPr>
      <w:r>
        <w:rPr>
          <w:rFonts w:ascii="Times New Roman" w:hAnsi="Times New Roman"/>
          <w:sz w:val="24"/>
        </w:rPr>
        <w:t>Section 11.20 </w:t>
      </w:r>
      <w:r>
        <w:rPr>
          <w:rFonts w:ascii="Times New Roman" w:hAnsi="Times New Roman"/>
          <w:sz w:val="24"/>
          <w:u w:val="single"/>
        </w:rPr>
        <w:t>Acknowledgement and Consent to Bail-In of Affected Financial Institutions</w:t>
      </w:r>
      <w:r>
        <w:rPr>
          <w:rFonts w:ascii="Times New Roman" w:hAnsi="Times New Roman"/>
          <w:sz w:val="24"/>
        </w:rPr>
        <w:t xml:space="preserve">. Notwithstanding anything to the contrary in this Agreement,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both"/>
        <w:rPr>
          <w:rFonts w:ascii="Times New Roman" w:hAnsi="Times New Roman"/>
          <w:sz w:val="24"/>
        </w:rPr>
      </w:pPr>
      <w:r>
        <w:rPr>
          <w:rFonts w:ascii="Times New Roman" w:hAnsi="Times New Roman"/>
          <w:sz w:val="24"/>
        </w:rPr>
        <w:t xml:space="preserve">(a) the application of any Write-Down and Conversion Powers by the applicable Resolution Authority to any such liabilities arising hereunder which may be payable to it by any party hereto that is an EEA Financial Institution; and </w:t>
      </w:r>
    </w:p>
    <w:p>
      <w:pPr>
        <w:pStyle w:val="TextBody"/>
        <w:bidi w:val="0"/>
        <w:spacing w:before="240" w:after="0"/>
        <w:jc w:val="both"/>
        <w:rPr>
          <w:rFonts w:ascii="Times New Roman" w:hAnsi="Times New Roman"/>
          <w:sz w:val="24"/>
        </w:rPr>
      </w:pPr>
      <w:r>
        <w:rPr>
          <w:rFonts w:ascii="Times New Roman" w:hAnsi="Times New Roman"/>
          <w:sz w:val="24"/>
        </w:rPr>
        <w:t xml:space="preserve">(b) the effects of any Bail-In Action on any such liability, including, if applicable: </w:t>
      </w:r>
    </w:p>
    <w:p>
      <w:pPr>
        <w:pStyle w:val="TextBody"/>
        <w:bidi w:val="0"/>
        <w:spacing w:before="240" w:after="0"/>
        <w:jc w:val="both"/>
        <w:rPr>
          <w:rFonts w:ascii="Times New Roman" w:hAnsi="Times New Roman"/>
          <w:sz w:val="24"/>
        </w:rPr>
      </w:pPr>
      <w:r>
        <w:rPr>
          <w:rFonts w:ascii="Times New Roman" w:hAnsi="Times New Roman"/>
          <w:sz w:val="24"/>
        </w:rPr>
        <w:t xml:space="preserve">(i) a reduction in full or in part or cancellation of any such liability; </w:t>
      </w:r>
    </w:p>
    <w:p>
      <w:pPr>
        <w:pStyle w:val="TextBody"/>
        <w:bidi w:val="0"/>
        <w:spacing w:before="240" w:after="0"/>
        <w:jc w:val="both"/>
        <w:rPr>
          <w:rFonts w:ascii="Times New Roman" w:hAnsi="Times New Roman"/>
          <w:sz w:val="24"/>
        </w:rPr>
      </w:pPr>
      <w:r>
        <w:rPr>
          <w:rFonts w:ascii="Times New Roman" w:hAnsi="Times New Roman"/>
          <w:sz w:val="24"/>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w:t>
      </w:r>
    </w:p>
    <w:p>
      <w:pPr>
        <w:pStyle w:val="TextBody"/>
        <w:bidi w:val="0"/>
        <w:spacing w:before="240" w:after="0"/>
        <w:jc w:val="both"/>
        <w:rPr>
          <w:rFonts w:ascii="Times New Roman" w:hAnsi="Times New Roman"/>
          <w:sz w:val="24"/>
        </w:rPr>
      </w:pPr>
      <w:r>
        <w:rPr>
          <w:rFonts w:ascii="Times New Roman" w:hAnsi="Times New Roman"/>
          <w:sz w:val="24"/>
        </w:rPr>
        <w:t xml:space="preserve">(iii) the variation of the terms of such liability in connection with the exercise of the Write-Down and Conversion Powers of any applicable Resolution Authority. </w:t>
      </w:r>
    </w:p>
    <w:p>
      <w:pPr>
        <w:pStyle w:val="TextBody"/>
        <w:bidi w:val="0"/>
        <w:spacing w:before="240" w:after="0"/>
        <w:jc w:val="both"/>
        <w:rPr>
          <w:rFonts w:ascii="Times New Roman" w:hAnsi="Times New Roman"/>
          <w:sz w:val="24"/>
        </w:rPr>
      </w:pPr>
      <w:r>
        <w:rPr>
          <w:rFonts w:ascii="Times New Roman" w:hAnsi="Times New Roman"/>
          <w:sz w:val="24"/>
        </w:rPr>
        <w:t>Section 11.21 </w:t>
      </w:r>
      <w:r>
        <w:rPr>
          <w:rFonts w:ascii="Times New Roman" w:hAnsi="Times New Roman"/>
          <w:sz w:val="24"/>
          <w:u w:val="single"/>
        </w:rPr>
        <w:t>Right of Set-off</w:t>
      </w:r>
      <w:r>
        <w:rPr>
          <w:rFonts w:ascii="Times New Roman" w:hAnsi="Times New Roman"/>
          <w:sz w:val="24"/>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reasonable detail the Advances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 and the Administrative Agent promptly after any such setoff and application; provided that the failure to give such notice shall not affect the validity of such setoff and application. </w:t>
      </w:r>
    </w:p>
    <w:p>
      <w:pPr>
        <w:pStyle w:val="TextBody"/>
        <w:bidi w:val="0"/>
        <w:spacing w:before="240" w:after="0"/>
        <w:jc w:val="center"/>
        <w:rPr>
          <w:rFonts w:ascii="Times New Roman" w:hAnsi="Times New Roman"/>
          <w:sz w:val="24"/>
        </w:rPr>
      </w:pPr>
      <w:r>
        <w:rPr>
          <w:rFonts w:ascii="Times New Roman" w:hAnsi="Times New Roman"/>
          <w:sz w:val="24"/>
        </w:rPr>
        <w:t xml:space="preserve">ARTICLE 12 - WAIVER OF JURY TRIAL </w:t>
      </w:r>
    </w:p>
    <w:p>
      <w:pPr>
        <w:pStyle w:val="TextBody"/>
        <w:bidi w:val="0"/>
        <w:spacing w:before="240" w:after="0"/>
        <w:jc w:val="both"/>
        <w:rPr>
          <w:rFonts w:ascii="Times New Roman" w:hAnsi="Times New Roman"/>
          <w:sz w:val="24"/>
        </w:rPr>
      </w:pPr>
      <w:r>
        <w:rPr>
          <w:rFonts w:ascii="Times New Roman" w:hAnsi="Times New Roman"/>
          <w:sz w:val="24"/>
        </w:rPr>
        <w:t>Section 12.1 </w:t>
      </w:r>
      <w:r>
        <w:rPr>
          <w:rFonts w:ascii="Times New Roman" w:hAnsi="Times New Roman"/>
          <w:sz w:val="24"/>
          <w:u w:val="single"/>
        </w:rPr>
        <w:t>Waiver of Jury Trial</w:t>
      </w:r>
      <w:r>
        <w:rPr>
          <w:rFonts w:ascii="Times New Roman" w:hAnsi="Times New Roman"/>
          <w:sz w:val="24"/>
        </w:rPr>
        <w:t xml:space="preserve">. EACH OF THE BORROWER AND THE ADMINISTRATIVE AGENT AND THE LENDERS, HEREBY AGREE, TO THE EXTENT PERMITTED BY LAW, TO WAIVE AND HEREBY WAIVE THE RIGHT TO A TRIAL BY JURY IN ANY COURT AND IN ANY ACTION OR PROCEEDING OF ANY TYPE IN WHICH THE BORROWER, ANY OF THE LENDERS, THE ADMINISTRATIVE AGENT, OR ANY OF THEIR RESPECTIVE SUCCESSORS OR ASSIGNS IS A PARTY, AS TO ALL MATTERS AND THINGS ARISING DIRECTLY OR INDIRECTLY OUT OF THIS AGREEMENT, ANY OF THE NOTES OR THE OTHER LOAN DOCUMENTS AND THE RELATIONS AMONG THE PARTIES LISTED IN THIS SECTION 12.1. EXCEPT AS PROHIBITED BY LAW, EACH PARTY TO THIS AGREEMENT WAIVES ANY RIGHTS IT MAY HAVE TO CLAIM OR RECOVER IN ANY LITIGATION REFERRED TO IN THIS SECTION, ANY SPECIAL, EXEMPLARY, PUNITIVE OR CONSEQUENTIAL DAMAGES OR ANY DAMAGES OTHER THAN, OR IN ADDITION TO, ACTUAL DAMAGES. EACH PARTY TO THIS AGREEMENT (A) CERTIFIES THAT NO REPRESENTATIVE, AGENT OR ATTORNEY OF THE ADMINISTRATIVE AGENT OR ANY LENDER HAS REPRESENTED, EXPRESSLY OR OTHERWISE, THAT THE ADMINISTRATIVE AGENT OR ANY LENDER WOULD NOT, IN THE EVENT OF LITIGATION, SEEK TO ENFORCE THE FOREGOING WAIVERS AND (B) ACKNOWLEDGES THAT IT HAS BEEN INDUCED TO ENTER INTO THIS AGREEMENT AND EACH OTHER LOAN DOCUMENT BY, AMONG OTHER THINGS, THE MUTUAL WAIVERS AND CERTIFICATIONS IN THIS SECTION. THE PROVISIONS OF THIS SECTION HAVE BEEN FULLY DISCLOSED BY AND TO THE PARTIES AND THE PROVISIONS SHALL BE SUBJECT TO NO EXCEPTIONS. NO PARTY HAS IN ANY WAY AGREED WITH OR REPRESENTED TO ANY OTHER PARTY THAT THE PROVISIONS OF THIS SECTION WILL NOT BE FULLY ENFORCED IN ALL INSTANCES. </w:t>
      </w:r>
    </w:p>
    <w:p>
      <w:pPr>
        <w:pStyle w:val="TextBody"/>
        <w:bidi w:val="0"/>
        <w:spacing w:before="240" w:after="0"/>
        <w:jc w:val="center"/>
        <w:rPr>
          <w:rFonts w:ascii="Times New Roman" w:hAnsi="Times New Roman"/>
          <w:sz w:val="24"/>
        </w:rPr>
      </w:pPr>
      <w:r>
        <w:rPr>
          <w:rFonts w:ascii="Times New Roman" w:hAnsi="Times New Roman"/>
          <w:sz w:val="24"/>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Steven O. Vondran,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American Tower Corporation;</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03"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134"/>
        <w:gridCol w:w="134"/>
        <w:gridCol w:w="136"/>
        <w:gridCol w:w="939"/>
        <w:gridCol w:w="939"/>
        <w:gridCol w:w="133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STEVEN O. VONDRAN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O. Vondran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Rodney M. Smith, certify that:</w:t>
      </w:r>
    </w:p>
    <w:p>
      <w:pPr>
        <w:pStyle w:val="TextBody"/>
        <w:bidi w:val="0"/>
        <w:spacing w:before="0" w:after="0"/>
        <w:jc w:val="left"/>
        <w:rPr/>
      </w:pPr>
      <w:r>
        <w:rPr/>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American Tower Corporation;</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37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134"/>
        <w:gridCol w:w="134"/>
        <w:gridCol w:w="136"/>
        <w:gridCol w:w="1543"/>
        <w:gridCol w:w="1543"/>
        <w:gridCol w:w="219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R</w:t>
            </w:r>
            <w:r>
              <w:rPr>
                <w:rFonts w:ascii="Times New Roman;serif" w:hAnsi="Times New Roman;serif"/>
                <w:b w:val="false"/>
                <w:color w:val="000000"/>
                <w:sz w:val="16"/>
              </w:rPr>
              <w:t>ODNEY</w:t>
            </w:r>
            <w:r>
              <w:rPr>
                <w:color w:val="000000"/>
              </w:rPr>
              <w:t xml:space="preserve"> </w:t>
            </w:r>
            <w:r>
              <w:rPr>
                <w:rFonts w:ascii="Times New Roman;serif" w:hAnsi="Times New Roman;serif"/>
                <w:b w:val="false"/>
                <w:color w:val="000000"/>
                <w:sz w:val="20"/>
              </w:rPr>
              <w:t>M.</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MITH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Rodney M. Smith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417" w:before="180" w:after="283"/>
        <w:jc w:val="center"/>
        <w:rPr>
          <w:rFonts w:ascii="Times New Roman;serif" w:hAnsi="Times New Roman;serif"/>
          <w:b/>
          <w:color w:val="000000"/>
          <w:sz w:val="20"/>
        </w:rPr>
      </w:pPr>
      <w:r>
        <w:rPr>
          <w:rFonts w:ascii="Times New Roman;serif" w:hAnsi="Times New Roman;serif"/>
          <w:b/>
          <w:color w:val="000000"/>
          <w:sz w:val="20"/>
        </w:rPr>
        <w:t>CERTIFICATIONS PURSUANT TO 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on Form 10-Q of American Tower Corporation (the “Company”) for the six months ended June 30, 2026, as filed with the Securities and Exchange Commission on the date hereof (the “Report”), each of the undersigned officers of the Company hereby certifies, pursuant to 18 U.S.C. Section 1350, that:</w:t>
      </w:r>
    </w:p>
    <w:p>
      <w:pPr>
        <w:pStyle w:val="TextBody"/>
        <w:bidi w:val="0"/>
        <w:spacing w:before="0" w:after="0"/>
        <w:ind w:left="0" w:right="0" w:firstLine="495"/>
        <w:jc w:val="left"/>
        <w:rPr/>
      </w:pPr>
      <w:r>
        <w:rPr/>
      </w:r>
    </w:p>
    <w:p>
      <w:pPr>
        <w:pStyle w:val="TextBody"/>
        <w:bidi w:val="0"/>
        <w:spacing w:lineRule="auto" w:line="288" w:before="0" w:after="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480"/>
        <w:jc w:val="left"/>
        <w:rPr/>
      </w:pPr>
      <w:r>
        <w:rPr/>
      </w:r>
    </w:p>
    <w:p>
      <w:pPr>
        <w:pStyle w:val="TextBody"/>
        <w:bidi w:val="0"/>
        <w:spacing w:lineRule="auto" w:line="288" w:before="0" w:after="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8701"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134"/>
        <w:gridCol w:w="134"/>
        <w:gridCol w:w="136"/>
        <w:gridCol w:w="109"/>
        <w:gridCol w:w="109"/>
        <w:gridCol w:w="109"/>
        <w:gridCol w:w="1546"/>
        <w:gridCol w:w="1546"/>
        <w:gridCol w:w="218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   STEVEN O. VONDRAN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O. Vondran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    RODNEY M. SMITH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Rodney M. Smith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3507/000119312512000101/d273408dex31.htm" TargetMode="External"/><Relationship Id="rId3" Type="http://schemas.openxmlformats.org/officeDocument/2006/relationships/hyperlink" Target="https://www.sec.gov/Archives/edgar/data/1053507/000119312512000101/d273408dex32.htm" TargetMode="External"/><Relationship Id="rId4" Type="http://schemas.openxmlformats.org/officeDocument/2006/relationships/hyperlink" Target="https://www.sec.gov/Archives/edgar/data/1053507/000105350725000002/exhibit31.htm" TargetMode="External"/><Relationship Id="rId5" Type="http://schemas.openxmlformats.org/officeDocument/2006/relationships/hyperlink" Target="https://www.sec.gov/Archives/edgar/data/1053507/000119312526240535/d913919dex41.htm" TargetMode="External"/><Relationship Id="rId6" Type="http://schemas.openxmlformats.org/officeDocument/2006/relationships/hyperlink" Target="https://www.sec.gov/Archives/edgar/data/0001053507/000105350726000116/exhibit101americantowercor.htm" TargetMode="External"/><Relationship Id="rId7" Type="http://schemas.openxmlformats.org/officeDocument/2006/relationships/hyperlink" Target="https://www.sec.gov/Archives/edgar/data/0001053507/000105350726000116/exhibit102formofnoticeofgr.htm" TargetMode="External"/><Relationship Id="rId8" Type="http://schemas.openxmlformats.org/officeDocument/2006/relationships/hyperlink" Target="https://www.sec.gov/Archives/edgar/data/0001053507/000105350726000116/exhibit103formofnoticeofgr.htm" TargetMode="External"/><Relationship Id="rId9" Type="http://schemas.openxmlformats.org/officeDocument/2006/relationships/hyperlink" Target="https://www.sec.gov/Archives/edgar/data/0001053507/000105350726000116/exhibit104formofnoticeofgr.htm" TargetMode="External"/><Relationship Id="rId10" Type="http://schemas.openxmlformats.org/officeDocument/2006/relationships/hyperlink" Target="https://www.sec.gov/Archives/edgar/data/0001053507/000105350726000116/exhibit105formofnoticeofgr.htm" TargetMode="External"/><Relationship Id="rId11" Type="http://schemas.openxmlformats.org/officeDocument/2006/relationships/hyperlink" Target="https://www.sec.gov/Archives/edgar/data/0001053507/000105350726000116/exhibit106formofnoticeofgr.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455</Pages>
  <Words>229938</Words>
  <Characters>1211281</Characters>
  <CharactersWithSpaces>1440559</CharactersWithSpaces>
  <Paragraphs>12324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HTML</dc:title>
</cp:coreProperties>
</file>