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867410</wp:posOffset>
            </wp:positionH>
            <wp:positionV relativeFrom="page">
              <wp:posOffset>749935</wp:posOffset>
            </wp:positionV>
            <wp:extent cx="5814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060" cy="8255"/>
                    </a:xfrm>
                    <a:prstGeom prst="rect">
                      <a:avLst/>
                    </a:prstGeom>
                    <a:noFill/>
                  </pic:spPr>
                </pic:pic>
              </a:graphicData>
            </a:graphic>
          </wp:anchor>
        </w:drawing>
        <w:drawing>
          <wp:anchor simplePos="0" relativeHeight="251657728" behindDoc="1" locked="0" layoutInCell="0" allowOverlap="1">
            <wp:simplePos x="0" y="0"/>
            <wp:positionH relativeFrom="page">
              <wp:posOffset>867410</wp:posOffset>
            </wp:positionH>
            <wp:positionV relativeFrom="page">
              <wp:posOffset>716280</wp:posOffset>
            </wp:positionV>
            <wp:extent cx="5814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060" cy="8255"/>
                    </a:xfrm>
                    <a:prstGeom prst="rect">
                      <a:avLst/>
                    </a:prstGeom>
                    <a:noFill/>
                  </pic:spPr>
                </pic:pic>
              </a:graphicData>
            </a:graphic>
          </wp:anchor>
        </w:drawing>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15875</wp:posOffset>
            </wp:positionV>
            <wp:extent cx="341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38735</wp:posOffset>
            </wp:positionV>
            <wp:extent cx="341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3" w:lineRule="exact"/>
        <w:rPr>
          <w:sz w:val="24"/>
          <w:szCs w:val="24"/>
          <w:color w:val="auto"/>
        </w:rPr>
      </w:pPr>
    </w:p>
    <w:p>
      <w:pPr>
        <w:ind w:left="640" w:right="220" w:hanging="635"/>
        <w:spacing w:after="0" w:line="263" w:lineRule="auto"/>
        <w:tabs>
          <w:tab w:leader="none" w:pos="25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ind w:left="240" w:hanging="235"/>
        <w:spacing w:after="0"/>
        <w:tabs>
          <w:tab w:leader="none" w:pos="2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001-14195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43180</wp:posOffset>
            </wp:positionV>
            <wp:extent cx="3413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AMERICAN TOWER CORPORATION</w:t>
      </w:r>
    </w:p>
    <w:p>
      <w:pPr>
        <w:spacing w:after="0" w:line="69" w:lineRule="exact"/>
        <w:rPr>
          <w:sz w:val="24"/>
          <w:szCs w:val="24"/>
          <w:color w:val="auto"/>
        </w:rPr>
      </w:pPr>
    </w:p>
    <w:tbl>
      <w:tblPr>
        <w:tblLayout w:type="fixed"/>
        <w:tblInd w:w="176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41"/>
        </w:trPr>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320" w:type="dxa"/>
            <w:vAlign w:val="bottom"/>
          </w:tcPr>
          <w:p>
            <w:pPr>
              <w:jc w:val="center"/>
              <w:ind w:left="4121"/>
              <w:spacing w:after="0"/>
              <w:rPr>
                <w:sz w:val="20"/>
                <w:szCs w:val="20"/>
                <w:color w:val="auto"/>
              </w:rPr>
            </w:pPr>
            <w:r>
              <w:rPr>
                <w:rFonts w:ascii="Times New Roman" w:cs="Times New Roman" w:eastAsia="Times New Roman" w:hAnsi="Times New Roman"/>
                <w:sz w:val="18"/>
                <w:szCs w:val="18"/>
                <w:b w:val="1"/>
                <w:bCs w:val="1"/>
                <w:color w:val="auto"/>
                <w:w w:val="96"/>
              </w:rPr>
              <w:t>65-0723837</w:t>
            </w:r>
          </w:p>
        </w:tc>
      </w:tr>
      <w:tr>
        <w:trPr>
          <w:trHeight w:val="146"/>
        </w:trPr>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320" w:type="dxa"/>
            <w:vAlign w:val="bottom"/>
          </w:tcPr>
          <w:p>
            <w:pPr>
              <w:jc w:val="center"/>
              <w:ind w:left="414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5320" w:type="dxa"/>
            <w:vAlign w:val="bottom"/>
          </w:tcPr>
          <w:p>
            <w:pPr>
              <w:jc w:val="center"/>
              <w:ind w:left="4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 Berkeley Street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(617) 375-7500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3" w:lineRule="exact"/>
        <w:rPr>
          <w:sz w:val="24"/>
          <w:szCs w:val="24"/>
          <w:color w:val="auto"/>
        </w:rPr>
      </w:pPr>
    </w:p>
    <w:tbl>
      <w:tblPr>
        <w:tblLayout w:type="fixed"/>
        <w:tblInd w:w="1440" w:type="dxa"/>
        <w:tblCellMar>
          <w:top w:w="0" w:type="dxa"/>
          <w:left w:w="0" w:type="dxa"/>
          <w:bottom w:w="0" w:type="dxa"/>
          <w:right w:w="0" w:type="dxa"/>
        </w:tblCellMar>
      </w:tblPr>
      <w:tr>
        <w:trPr>
          <w:trHeight w:val="185"/>
        </w:trPr>
        <w:tc>
          <w:tcPr>
            <w:tcW w:w="2760" w:type="dxa"/>
            <w:vAlign w:val="bottom"/>
          </w:tcPr>
          <w:p>
            <w:pPr>
              <w:jc w:val="center"/>
              <w:ind w:right="77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040" w:type="dxa"/>
            <w:vAlign w:val="bottom"/>
          </w:tcPr>
          <w:p>
            <w:pPr>
              <w:jc w:val="center"/>
              <w:ind w:left="67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11"/>
        </w:trPr>
        <w:tc>
          <w:tcPr>
            <w:tcW w:w="2760" w:type="dxa"/>
            <w:vAlign w:val="bottom"/>
          </w:tcPr>
          <w:p>
            <w:pPr>
              <w:jc w:val="center"/>
              <w:ind w:right="770"/>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AMT</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0.450% Senior Notes due 2027</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AMT 27C</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0.400% Senior Notes due 2027</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AMT 27D</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4.125% Senior Notes due 2027</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AMT 27F</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0.500% Senior Notes due 2028</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AMT 28A</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0.875% Senior Notes due 2029</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AMT 29B</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0.950% Senior Notes due 2030</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AMT 30C</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3.900% Senior Notes due 2030</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AMT 30D</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4.625% Senior Notes due 2031</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AMT 31B</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1.000% Senior Notes due 2032</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AMT 32</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3.625% Senior Notes due 2032</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AMT 32B</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1.250% Senior Notes due 2033</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AMT 33</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4.000% Senior Notes due 2033</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AMT 33D</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11"/>
        </w:trPr>
        <w:tc>
          <w:tcPr>
            <w:tcW w:w="2760" w:type="dxa"/>
            <w:vAlign w:val="bottom"/>
          </w:tcPr>
          <w:p>
            <w:pPr>
              <w:jc w:val="center"/>
              <w:ind w:right="790"/>
              <w:spacing w:after="0"/>
              <w:rPr>
                <w:sz w:val="20"/>
                <w:szCs w:val="20"/>
                <w:color w:val="auto"/>
              </w:rPr>
            </w:pPr>
            <w:r>
              <w:rPr>
                <w:rFonts w:ascii="Times New Roman" w:cs="Times New Roman" w:eastAsia="Times New Roman" w:hAnsi="Times New Roman"/>
                <w:sz w:val="14"/>
                <w:szCs w:val="14"/>
                <w:b w:val="1"/>
                <w:bCs w:val="1"/>
                <w:color w:val="auto"/>
              </w:rPr>
              <w:t>4.100% Senior Notes due 2034</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AMT 34A</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111" w:lineRule="exact"/>
        <w:rPr>
          <w:sz w:val="24"/>
          <w:szCs w:val="24"/>
          <w:color w:val="auto"/>
        </w:rPr>
      </w:pPr>
    </w:p>
    <w:p>
      <w:pPr>
        <w:ind w:right="120" w:firstLine="43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ind w:right="200" w:firstLine="435"/>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60" w:val="left"/>
          <w:tab w:leader="none" w:pos="124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96" w:lineRule="exact"/>
        <w:rPr>
          <w:sz w:val="24"/>
          <w:szCs w:val="24"/>
          <w:color w:val="auto"/>
        </w:rPr>
      </w:pPr>
    </w:p>
    <w:p>
      <w:pPr>
        <w:ind w:right="140" w:firstLine="435"/>
        <w:spacing w:after="0" w:line="25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8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60" w:lineRule="exact"/>
        <w:rPr>
          <w:sz w:val="24"/>
          <w:szCs w:val="24"/>
          <w:color w:val="auto"/>
        </w:rPr>
      </w:pPr>
    </w:p>
    <w:p>
      <w:pPr>
        <w:ind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 w:lineRule="exact"/>
        <w:rPr>
          <w:sz w:val="24"/>
          <w:szCs w:val="24"/>
          <w:color w:val="auto"/>
        </w:rPr>
      </w:pPr>
    </w:p>
    <w:p>
      <w:pPr>
        <w:ind w:left="440" w:right="1520"/>
        <w:spacing w:after="0" w:line="24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20, 2026, there were 463,763,555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222885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51435</wp:posOffset>
            </wp:positionV>
            <wp:extent cx="7001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15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17780</wp:posOffset>
            </wp:positionV>
            <wp:extent cx="7001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1510" cy="825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1" w:name="page2"/>
    <w:bookmarkEnd w:id="1"/>
    <w:p>
      <w:pPr>
        <w:ind w:left="4100"/>
        <w:spacing w:after="0"/>
        <w:rPr>
          <w:sz w:val="20"/>
          <w:szCs w:val="20"/>
          <w:color w:val="auto"/>
        </w:rPr>
      </w:pPr>
      <w:r>
        <w:rPr>
          <w:rFonts w:ascii="Times New Roman" w:cs="Times New Roman" w:eastAsia="Times New Roman" w:hAnsi="Times New Roman"/>
          <w:sz w:val="18"/>
          <w:szCs w:val="18"/>
          <w:b w:val="1"/>
          <w:bCs w:val="1"/>
          <w:color w:val="auto"/>
        </w:rPr>
        <w:t>AMERICAN TOWER CORPORATION</w:t>
      </w:r>
    </w:p>
    <w:p>
      <w:pPr>
        <w:spacing w:after="0" w:line="9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8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313"/>
        </w:trPr>
        <w:tc>
          <w:tcPr>
            <w:tcW w:w="9940" w:type="dxa"/>
            <w:vAlign w:val="bottom"/>
            <w:gridSpan w:val="18"/>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8"/>
        </w:trPr>
        <w:tc>
          <w:tcPr>
            <w:tcW w:w="10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Item 1.</w:t>
            </w:r>
          </w:p>
        </w:tc>
        <w:tc>
          <w:tcPr>
            <w:tcW w:w="8900" w:type="dxa"/>
            <w:vAlign w:val="bottom"/>
            <w:gridSpan w:val="15"/>
          </w:tcPr>
          <w:p>
            <w:pPr>
              <w:spacing w:after="0" w:line="198" w:lineRule="exact"/>
              <w:rPr>
                <w:sz w:val="20"/>
                <w:szCs w:val="20"/>
                <w:color w:val="auto"/>
              </w:rPr>
            </w:pPr>
            <w:r>
              <w:rPr>
                <w:rFonts w:ascii="Times New Roman" w:cs="Times New Roman" w:eastAsia="Times New Roman" w:hAnsi="Times New Roman"/>
                <w:sz w:val="18"/>
                <w:szCs w:val="18"/>
                <w:color w:val="0000FF"/>
              </w:rPr>
              <w:t>Unaudited Consolidated and Condensed Consolidated Financial Statements</w:t>
            </w:r>
          </w:p>
        </w:tc>
        <w:tc>
          <w:tcPr>
            <w:tcW w:w="1260" w:type="dxa"/>
            <w:vAlign w:val="bottom"/>
            <w:gridSpan w:val="4"/>
          </w:tcPr>
          <w:p>
            <w:pPr>
              <w:jc w:val="right"/>
              <w:ind w:right="20"/>
              <w:spacing w:after="0" w:line="198"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Consolidated Balance Sheets as of September 30, 2026 and December 31, 2025</w:t>
            </w:r>
          </w:p>
        </w:tc>
        <w:tc>
          <w:tcPr>
            <w:tcW w:w="3300" w:type="dxa"/>
            <w:vAlign w:val="bottom"/>
            <w:gridSpan w:val="6"/>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 for the three and nine months ended September 30, 2026 and 2025</w:t>
            </w:r>
          </w:p>
        </w:tc>
        <w:tc>
          <w:tcPr>
            <w:tcW w:w="1440" w:type="dxa"/>
            <w:vAlign w:val="bottom"/>
            <w:gridSpan w:val="2"/>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7"/>
              </w:rPr>
              <w:t>Consolidated Statements of Comprehensive Income for the three and nine months ended September 30, 2026 and 2025</w:t>
            </w:r>
          </w:p>
        </w:tc>
        <w:tc>
          <w:tcPr>
            <w:tcW w:w="54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 for the nine months ended September 30, 2026 and 2025</w:t>
            </w:r>
          </w:p>
        </w:tc>
        <w:tc>
          <w:tcPr>
            <w:tcW w:w="1540" w:type="dxa"/>
            <w:vAlign w:val="bottom"/>
            <w:gridSpan w:val="3"/>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Consolidated Statements of Equity for the three and nine months ended September 30, 2026 and 2025</w:t>
            </w:r>
          </w:p>
        </w:tc>
        <w:tc>
          <w:tcPr>
            <w:tcW w:w="1740" w:type="dxa"/>
            <w:vAlign w:val="bottom"/>
            <w:gridSpan w:val="3"/>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Consolidated and Condensed Consolidated Financial Statements</w:t>
            </w:r>
          </w:p>
        </w:tc>
        <w:tc>
          <w:tcPr>
            <w:tcW w:w="1740" w:type="dxa"/>
            <w:vAlign w:val="bottom"/>
            <w:gridSpan w:val="3"/>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600" w:type="dxa"/>
            <w:vAlign w:val="bottom"/>
            <w:gridSpan w:val="5"/>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00" w:type="dxa"/>
            <w:vAlign w:val="bottom"/>
            <w:gridSpan w:val="5"/>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700" w:type="dxa"/>
            <w:vAlign w:val="bottom"/>
            <w:gridSpan w:val="10"/>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9940" w:type="dxa"/>
            <w:vAlign w:val="bottom"/>
            <w:gridSpan w:val="18"/>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98"/>
        </w:trPr>
        <w:tc>
          <w:tcPr>
            <w:tcW w:w="10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Item 1.</w:t>
            </w:r>
          </w:p>
        </w:tc>
        <w:tc>
          <w:tcPr>
            <w:tcW w:w="1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0000FF"/>
                <w:w w:val="92"/>
              </w:rPr>
              <w:t>Legal Proceedings</w:t>
            </w:r>
          </w:p>
        </w:tc>
        <w:tc>
          <w:tcPr>
            <w:tcW w:w="7620" w:type="dxa"/>
            <w:vAlign w:val="bottom"/>
            <w:gridSpan w:val="12"/>
          </w:tcPr>
          <w:p>
            <w:pPr>
              <w:spacing w:after="0"/>
              <w:rPr>
                <w:sz w:val="17"/>
                <w:szCs w:val="17"/>
                <w:color w:val="auto"/>
              </w:rPr>
            </w:pPr>
          </w:p>
        </w:tc>
        <w:tc>
          <w:tcPr>
            <w:tcW w:w="1260" w:type="dxa"/>
            <w:vAlign w:val="bottom"/>
            <w:gridSpan w:val="4"/>
          </w:tcPr>
          <w:p>
            <w:pPr>
              <w:jc w:val="right"/>
              <w:ind w:right="20"/>
              <w:spacing w:after="0" w:line="198" w:lineRule="exact"/>
              <w:rPr>
                <w:sz w:val="20"/>
                <w:szCs w:val="20"/>
                <w:color w:val="auto"/>
              </w:rPr>
            </w:pPr>
            <w:r>
              <w:rPr>
                <w:rFonts w:ascii="Times New Roman" w:cs="Times New Roman" w:eastAsia="Times New Roman" w:hAnsi="Times New Roman"/>
                <w:sz w:val="18"/>
                <w:szCs w:val="18"/>
                <w:color w:val="0000FF"/>
              </w:rPr>
              <w:t>55</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3"/>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400" w:type="dxa"/>
            <w:vAlign w:val="bottom"/>
          </w:tcPr>
          <w:p>
            <w:pPr>
              <w:spacing w:after="0"/>
              <w:rPr>
                <w:sz w:val="18"/>
                <w:szCs w:val="18"/>
                <w:color w:val="auto"/>
              </w:rPr>
            </w:pPr>
          </w:p>
        </w:tc>
        <w:tc>
          <w:tcPr>
            <w:tcW w:w="7620" w:type="dxa"/>
            <w:vAlign w:val="bottom"/>
            <w:gridSpan w:val="12"/>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580" w:type="dxa"/>
            <w:vAlign w:val="bottom"/>
            <w:gridSpan w:val="9"/>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3"/>
            <w:shd w:val="clear" w:color="auto" w:fill="0000FF"/>
          </w:tcPr>
          <w:p>
            <w:pPr>
              <w:spacing w:after="0" w:line="20" w:lineRule="exact"/>
              <w:rPr>
                <w:sz w:val="1"/>
                <w:szCs w:val="1"/>
                <w:color w:val="auto"/>
              </w:rPr>
            </w:pPr>
          </w:p>
        </w:tc>
        <w:tc>
          <w:tcPr>
            <w:tcW w:w="458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4"/>
              </w:rPr>
              <w:t>Other Information</w:t>
            </w:r>
          </w:p>
        </w:tc>
        <w:tc>
          <w:tcPr>
            <w:tcW w:w="3040" w:type="dxa"/>
            <w:vAlign w:val="bottom"/>
            <w:gridSpan w:val="3"/>
          </w:tcPr>
          <w:p>
            <w:pPr>
              <w:spacing w:after="0"/>
              <w:rPr>
                <w:sz w:val="18"/>
                <w:szCs w:val="18"/>
                <w:color w:val="auto"/>
              </w:rPr>
            </w:pPr>
          </w:p>
        </w:tc>
        <w:tc>
          <w:tcPr>
            <w:tcW w:w="4580" w:type="dxa"/>
            <w:vAlign w:val="bottom"/>
            <w:gridSpan w:val="9"/>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620" w:type="dxa"/>
            <w:vAlign w:val="bottom"/>
            <w:gridSpan w:val="1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620" w:type="dxa"/>
            <w:vAlign w:val="bottom"/>
            <w:gridSpan w:val="12"/>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7"/>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58</w:t>
            </w:r>
          </w:p>
        </w:tc>
        <w:tc>
          <w:tcPr>
            <w:tcW w:w="40" w:type="dxa"/>
            <w:vAlign w:val="bottom"/>
          </w:tcPr>
          <w:p>
            <w:pPr>
              <w:spacing w:after="0"/>
              <w:rPr>
                <w:sz w:val="18"/>
                <w:szCs w:val="18"/>
                <w:color w:val="auto"/>
              </w:rPr>
            </w:pPr>
          </w:p>
        </w:tc>
      </w:tr>
      <w:tr>
        <w:trPr>
          <w:trHeight w:val="1185"/>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 w:name="page3"/>
    <w:bookmarkEnd w:id="2"/>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6"/>
          <w:szCs w:val="16"/>
          <w:b w:val="1"/>
          <w:bCs w:val="1"/>
          <w:color w:val="auto"/>
        </w:rPr>
        <w:t>FINANCIAL INFORMATION</w:t>
      </w:r>
    </w:p>
    <w:p>
      <w:pPr>
        <w:spacing w:after="0" w:line="149"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UNAUDITED CONSOLIDATED AND CONDENSED CONSOLIDATED FINANCIAL STATEMENTS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count and per share data)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0" w:type="dxa"/>
            <w:vAlign w:val="bottom"/>
          </w:tcPr>
          <w:p>
            <w:pPr>
              <w:spacing w:after="0"/>
              <w:rPr>
                <w:sz w:val="1"/>
                <w:szCs w:val="1"/>
                <w:color w:val="auto"/>
              </w:rPr>
            </w:pPr>
          </w:p>
        </w:tc>
      </w:tr>
      <w:tr>
        <w:trPr>
          <w:trHeight w:val="237"/>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31"/>
        </w:trPr>
        <w:tc>
          <w:tcPr>
            <w:tcW w:w="7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2,741.8</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20,356.3</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12,255.5</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14,530.7</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ASSET</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8,426.5</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NOTES RECEIVABLE AND OTHER NON-CURRENT ASSETS</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63,190.4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0" w:type="dxa"/>
            <w:vAlign w:val="bottom"/>
          </w:tcPr>
          <w:p>
            <w:pPr>
              <w:spacing w:after="0"/>
              <w:rPr>
                <w:sz w:val="1"/>
                <w:szCs w:val="1"/>
                <w:color w:val="auto"/>
              </w:rPr>
            </w:pPr>
          </w:p>
        </w:tc>
      </w:tr>
      <w:tr>
        <w:trPr>
          <w:trHeight w:val="237"/>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payable</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37"/>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obligations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31"/>
        </w:trPr>
        <w:tc>
          <w:tcPr>
            <w:tcW w:w="7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6,913.8</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OBLIGATIONS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33,832.5</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7,158.7</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0" w:type="dxa"/>
            <w:vAlign w:val="bottom"/>
          </w:tcPr>
          <w:p>
            <w:pPr>
              <w:spacing w:after="0"/>
              <w:rPr>
                <w:sz w:val="1"/>
                <w:szCs w:val="1"/>
                <w:color w:val="auto"/>
              </w:rPr>
            </w:pPr>
          </w:p>
        </w:tc>
      </w:tr>
      <w:tr>
        <w:trPr>
          <w:trHeight w:val="231"/>
        </w:trPr>
        <w:tc>
          <w:tcPr>
            <w:tcW w:w="7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53,214.7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52,835.1</w:t>
            </w:r>
          </w:p>
        </w:tc>
        <w:tc>
          <w:tcPr>
            <w:tcW w:w="0" w:type="dxa"/>
            <w:vAlign w:val="bottom"/>
          </w:tcPr>
          <w:p>
            <w:pPr>
              <w:spacing w:after="0"/>
              <w:rPr>
                <w:sz w:val="1"/>
                <w:szCs w:val="1"/>
                <w:color w:val="auto"/>
              </w:rPr>
            </w:pPr>
          </w:p>
        </w:tc>
      </w:tr>
      <w:tr>
        <w:trPr>
          <w:trHeight w:val="21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(shares in thousands):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56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Common stock: $0.01 par value; 1,000,000 shares authorized; 480,181 and 479,358 shares issued;</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464,172 and 466,318 shares outstanding, respectively</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15,215.3</w:t>
            </w:r>
          </w:p>
        </w:tc>
        <w:tc>
          <w:tcPr>
            <w:tcW w:w="0" w:type="dxa"/>
            <w:vAlign w:val="bottom"/>
          </w:tcPr>
          <w:p>
            <w:pPr>
              <w:spacing w:after="0"/>
              <w:rPr>
                <w:sz w:val="1"/>
                <w:szCs w:val="1"/>
                <w:color w:val="auto"/>
              </w:rPr>
            </w:pPr>
          </w:p>
        </w:tc>
      </w:tr>
      <w:tr>
        <w:trPr>
          <w:trHeight w:val="237"/>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in excess of earnings</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(5,086.0)</w:t>
            </w:r>
          </w:p>
        </w:tc>
        <w:tc>
          <w:tcPr>
            <w:tcW w:w="0" w:type="dxa"/>
            <w:vAlign w:val="bottom"/>
          </w:tcPr>
          <w:p>
            <w:pPr>
              <w:spacing w:after="0"/>
              <w:rPr>
                <w:sz w:val="1"/>
                <w:szCs w:val="1"/>
                <w:color w:val="auto"/>
              </w:rPr>
            </w:pPr>
          </w:p>
        </w:tc>
      </w:tr>
      <w:tr>
        <w:trPr>
          <w:trHeight w:val="237"/>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(4,815.8)</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Treasury stock (16,009 and 13,040 shares at cost, respectively)</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0" w:type="dxa"/>
            <w:vAlign w:val="bottom"/>
          </w:tcPr>
          <w:p>
            <w:pPr>
              <w:spacing w:after="0"/>
              <w:rPr>
                <w:sz w:val="1"/>
                <w:szCs w:val="1"/>
                <w:color w:val="auto"/>
              </w:rPr>
            </w:pPr>
          </w:p>
        </w:tc>
      </w:tr>
      <w:tr>
        <w:trPr>
          <w:trHeight w:val="231"/>
        </w:trPr>
        <w:tc>
          <w:tcPr>
            <w:tcW w:w="7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American Tower Corporation equity</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3,652.5</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6,702.8</w:t>
            </w:r>
          </w:p>
        </w:tc>
        <w:tc>
          <w:tcPr>
            <w:tcW w:w="0" w:type="dxa"/>
            <w:vAlign w:val="bottom"/>
          </w:tcPr>
          <w:p>
            <w:pPr>
              <w:spacing w:after="0"/>
              <w:rPr>
                <w:sz w:val="1"/>
                <w:szCs w:val="1"/>
                <w:color w:val="auto"/>
              </w:rPr>
            </w:pPr>
          </w:p>
        </w:tc>
      </w:tr>
      <w:tr>
        <w:trPr>
          <w:trHeight w:val="231"/>
        </w:trPr>
        <w:tc>
          <w:tcPr>
            <w:tcW w:w="7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10,355.3</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63,190.4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and condensed consolidated financial statements.</w:t>
      </w:r>
    </w:p>
    <w:p>
      <w:pPr>
        <w:sectPr>
          <w:pgSz w:w="11900" w:h="16838" w:orient="portrait"/>
          <w:cols w:equalWidth="0" w:num="1">
            <w:col w:w="11240"/>
          </w:cols>
          <w:pgMar w:left="320" w:top="8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48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8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8,091.7</w:t>
            </w:r>
          </w:p>
        </w:tc>
        <w:tc>
          <w:tcPr>
            <w:tcW w:w="8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7,631.9</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7,907.1</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Costs of operations (exclusive of items shown separately below):</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Property</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w:t>
            </w:r>
          </w:p>
        </w:tc>
        <w:tc>
          <w:tcPr>
            <w:tcW w:w="0" w:type="dxa"/>
            <w:vAlign w:val="bottom"/>
          </w:tcPr>
          <w:p>
            <w:pPr>
              <w:spacing w:after="0"/>
              <w:rPr>
                <w:sz w:val="1"/>
                <w:szCs w:val="1"/>
                <w:color w:val="auto"/>
              </w:rPr>
            </w:pPr>
          </w:p>
        </w:tc>
      </w:tr>
      <w:tr>
        <w:trPr>
          <w:trHeight w:val="237"/>
        </w:trPr>
        <w:tc>
          <w:tcPr>
            <w:tcW w:w="5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0" w:type="dxa"/>
            <w:vAlign w:val="bottom"/>
          </w:tcPr>
          <w:p>
            <w:pPr>
              <w:spacing w:after="0"/>
              <w:rPr>
                <w:sz w:val="1"/>
                <w:szCs w:val="1"/>
                <w:color w:val="auto"/>
              </w:rPr>
            </w:pPr>
          </w:p>
        </w:tc>
      </w:tr>
      <w:tr>
        <w:trPr>
          <w:trHeight w:val="237"/>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administrative and development expense</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4,222.0</w:t>
            </w:r>
          </w:p>
        </w:tc>
        <w:tc>
          <w:tcPr>
            <w:tcW w:w="0" w:type="dxa"/>
            <w:vAlign w:val="bottom"/>
          </w:tcPr>
          <w:p>
            <w:pPr>
              <w:spacing w:after="0"/>
              <w:rPr>
                <w:sz w:val="1"/>
                <w:szCs w:val="1"/>
                <w:color w:val="auto"/>
              </w:rPr>
            </w:pPr>
          </w:p>
        </w:tc>
      </w:tr>
      <w:tr>
        <w:trPr>
          <w:trHeight w:val="23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3,777.0</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3,685.1</w:t>
            </w:r>
          </w:p>
        </w:tc>
        <w:tc>
          <w:tcPr>
            <w:tcW w:w="0" w:type="dxa"/>
            <w:vAlign w:val="bottom"/>
          </w:tcPr>
          <w:p>
            <w:pPr>
              <w:spacing w:after="0"/>
              <w:rPr>
                <w:sz w:val="1"/>
                <w:szCs w:val="1"/>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37"/>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retirement of long-term obligations</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57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Other (expense) income (including foreign currency gains (losses) of</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$27.0, $18.0, $137.2 and $(811.7), respectively)</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0" w:type="dxa"/>
            <w:vAlign w:val="bottom"/>
          </w:tcPr>
          <w:p>
            <w:pPr>
              <w:spacing w:after="0"/>
              <w:rPr>
                <w:sz w:val="1"/>
                <w:szCs w:val="1"/>
                <w:color w:val="auto"/>
              </w:rPr>
            </w:pPr>
          </w:p>
        </w:tc>
      </w:tr>
      <w:tr>
        <w:trPr>
          <w:trHeight w:val="231"/>
        </w:trPr>
        <w:tc>
          <w:tcPr>
            <w:tcW w:w="5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INCOME FROM CONTINUING OPERATIONS BEFORE INCOME TAXES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164"/>
        </w:trPr>
        <w:tc>
          <w:tcPr>
            <w:tcW w:w="572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NET INCOME ATTRIBUTABLE TO AMERICAN TOWER</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 COMMON STOCKHOLDERS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PER COMMON SHARE AMOUNTS:</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7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Basic net income attributable to American Tower Corporation common</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6"/>
                <w:szCs w:val="16"/>
                <w:color w:val="auto"/>
              </w:rPr>
            </w:pP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6"/>
                <w:szCs w:val="16"/>
                <w:color w:val="auto"/>
              </w:rPr>
            </w:pPr>
          </w:p>
        </w:tc>
        <w:tc>
          <w:tcPr>
            <w:tcW w:w="2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6"/>
                <w:szCs w:val="16"/>
                <w:color w:val="auto"/>
              </w:rPr>
            </w:pPr>
          </w:p>
        </w:tc>
        <w:tc>
          <w:tcPr>
            <w:tcW w:w="3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20" w:type="dxa"/>
            <w:vAlign w:val="bottom"/>
            <w:shd w:val="clear" w:color="auto" w:fill="CCEEFF"/>
          </w:tcPr>
          <w:p>
            <w:pPr>
              <w:ind w:left="340"/>
              <w:spacing w:after="0" w:line="151" w:lineRule="exact"/>
              <w:rPr>
                <w:sz w:val="20"/>
                <w:szCs w:val="20"/>
                <w:color w:val="auto"/>
              </w:rPr>
            </w:pPr>
            <w:r>
              <w:rPr>
                <w:rFonts w:ascii="Times New Roman" w:cs="Times New Roman" w:eastAsia="Times New Roman" w:hAnsi="Times New Roman"/>
                <w:sz w:val="16"/>
                <w:szCs w:val="16"/>
                <w:color w:val="auto"/>
              </w:rPr>
              <w:t>Diluted net income attributable to American Tower Corporation common</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1"/>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WEIGHTED AVERAGE COMMON SHARES OUTSTANDING (in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468,287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465,817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468,036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465,758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469,039</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466,327</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468,856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and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75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9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5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0" w:type="dxa"/>
            <w:vAlign w:val="bottom"/>
          </w:tcPr>
          <w:p>
            <w:pPr>
              <w:spacing w:after="0"/>
              <w:rPr>
                <w:sz w:val="1"/>
                <w:szCs w:val="1"/>
                <w:color w:val="auto"/>
              </w:rPr>
            </w:pPr>
          </w:p>
        </w:tc>
      </w:tr>
      <w:tr>
        <w:trPr>
          <w:trHeight w:val="237"/>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360" w:type="dxa"/>
            <w:vAlign w:val="bottom"/>
            <w:shd w:val="clear" w:color="auto" w:fill="CCEEFF"/>
          </w:tcPr>
          <w:p>
            <w:pPr>
              <w:ind w:left="440"/>
              <w:spacing w:after="0" w:line="193" w:lineRule="exact"/>
              <w:rPr>
                <w:sz w:val="20"/>
                <w:szCs w:val="20"/>
                <w:color w:val="auto"/>
              </w:rPr>
            </w:pPr>
            <w:r>
              <w:rPr>
                <w:rFonts w:ascii="Times New Roman" w:cs="Times New Roman" w:eastAsia="Times New Roman" w:hAnsi="Times New Roman"/>
                <w:sz w:val="18"/>
                <w:szCs w:val="18"/>
                <w:color w:val="auto"/>
              </w:rPr>
              <w:t>Foreign currency translation adjustments, net of tax expense</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(benefit) of $0.1, $(0.3), $(0.1) and $0.3, respectively</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1,593.3</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1,593.3</w:t>
            </w:r>
          </w:p>
        </w:tc>
        <w:tc>
          <w:tcPr>
            <w:tcW w:w="0" w:type="dxa"/>
            <w:vAlign w:val="bottom"/>
          </w:tcPr>
          <w:p>
            <w:pPr>
              <w:spacing w:after="0"/>
              <w:rPr>
                <w:sz w:val="1"/>
                <w:szCs w:val="1"/>
                <w:color w:val="auto"/>
              </w:rPr>
            </w:pPr>
          </w:p>
        </w:tc>
      </w:tr>
      <w:tr>
        <w:trPr>
          <w:trHeight w:val="23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3,385.0</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0" w:type="dxa"/>
            <w:vAlign w:val="bottom"/>
          </w:tcPr>
          <w:p>
            <w:pPr>
              <w:spacing w:after="0"/>
              <w:rPr>
                <w:sz w:val="1"/>
                <w:szCs w:val="1"/>
                <w:color w:val="auto"/>
              </w:rPr>
            </w:pPr>
          </w:p>
        </w:tc>
      </w:tr>
      <w:tr>
        <w:trPr>
          <w:trHeight w:val="173"/>
        </w:trPr>
        <w:tc>
          <w:tcPr>
            <w:tcW w:w="536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Comprehensive income attributable to American Tower Corporation</w:t>
            </w:r>
          </w:p>
        </w:tc>
        <w:tc>
          <w:tcPr>
            <w:tcW w:w="860" w:type="dxa"/>
            <w:vAlign w:val="bottom"/>
            <w:vMerge w:val="restart"/>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2,552.4</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2,845.7</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stockholders</w:t>
            </w: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and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5" w:name="page6"/>
    <w:bookmarkEnd w:id="5"/>
    <w:p>
      <w:pPr>
        <w:ind w:left="3560"/>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2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86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2,546.8</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1,791.7</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cash provided by operating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3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1,525.7</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0" w:type="dxa"/>
            <w:vAlign w:val="bottom"/>
          </w:tcPr>
          <w:p>
            <w:pPr>
              <w:spacing w:after="0"/>
              <w:rPr>
                <w:sz w:val="1"/>
                <w:szCs w:val="1"/>
                <w:color w:val="auto"/>
              </w:rPr>
            </w:pPr>
          </w:p>
        </w:tc>
      </w:tr>
      <w:tr>
        <w:trPr>
          <w:trHeight w:val="187"/>
        </w:trPr>
        <w:tc>
          <w:tcPr>
            <w:tcW w:w="83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early retirement of long-term obligations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 non-cash items reflected in statements of operations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0" w:type="dxa"/>
            <w:vAlign w:val="bottom"/>
          </w:tcPr>
          <w:p>
            <w:pPr>
              <w:spacing w:after="0"/>
              <w:rPr>
                <w:sz w:val="1"/>
                <w:szCs w:val="1"/>
                <w:color w:val="auto"/>
              </w:rPr>
            </w:pPr>
          </w:p>
        </w:tc>
      </w:tr>
      <w:tr>
        <w:trPr>
          <w:trHeight w:val="187"/>
        </w:trPr>
        <w:tc>
          <w:tcPr>
            <w:tcW w:w="83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Decrease (increase) in net deferred rent balances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Right-of-use asset and Operating lease liability, net</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87"/>
        </w:trPr>
        <w:tc>
          <w:tcPr>
            <w:tcW w:w="83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Changes in unearned revenue</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Increase in assets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0" w:type="dxa"/>
            <w:vAlign w:val="bottom"/>
          </w:tcPr>
          <w:p>
            <w:pPr>
              <w:spacing w:after="0"/>
              <w:rPr>
                <w:sz w:val="1"/>
                <w:szCs w:val="1"/>
                <w:color w:val="auto"/>
              </w:rPr>
            </w:pPr>
          </w:p>
        </w:tc>
      </w:tr>
      <w:tr>
        <w:trPr>
          <w:trHeight w:val="187"/>
        </w:trPr>
        <w:tc>
          <w:tcPr>
            <w:tcW w:w="83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Decrease in liabilities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4"/>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operating activities</w:t>
            </w: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4,036.5</w:t>
            </w:r>
          </w:p>
        </w:tc>
        <w:tc>
          <w:tcPr>
            <w:tcW w:w="0" w:type="dxa"/>
            <w:vAlign w:val="bottom"/>
          </w:tcPr>
          <w:p>
            <w:pPr>
              <w:spacing w:after="0"/>
              <w:rPr>
                <w:sz w:val="1"/>
                <w:szCs w:val="1"/>
                <w:color w:val="auto"/>
              </w:rPr>
            </w:pPr>
          </w:p>
        </w:tc>
      </w:tr>
      <w:tr>
        <w:trPr>
          <w:trHeight w:val="167"/>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for purchase of property and equipment and construction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(1,167.8)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(1,101.2)</w:t>
            </w:r>
          </w:p>
        </w:tc>
        <w:tc>
          <w:tcPr>
            <w:tcW w:w="0" w:type="dxa"/>
            <w:vAlign w:val="bottom"/>
          </w:tcPr>
          <w:p>
            <w:pPr>
              <w:spacing w:after="0"/>
              <w:rPr>
                <w:sz w:val="1"/>
                <w:szCs w:val="1"/>
                <w:color w:val="auto"/>
              </w:rPr>
            </w:pP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for acquisitions, net of cash acquired</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short-term investments and other non-current assets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Deposits and other</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4"/>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used for investing activities</w:t>
            </w: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(1,366.9)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(1,391.7)</w:t>
            </w:r>
          </w:p>
        </w:tc>
        <w:tc>
          <w:tcPr>
            <w:tcW w:w="0" w:type="dxa"/>
            <w:vAlign w:val="bottom"/>
          </w:tcPr>
          <w:p>
            <w:pPr>
              <w:spacing w:after="0"/>
              <w:rPr>
                <w:sz w:val="1"/>
                <w:szCs w:val="1"/>
                <w:color w:val="auto"/>
              </w:rPr>
            </w:pPr>
          </w:p>
        </w:tc>
      </w:tr>
      <w:tr>
        <w:trPr>
          <w:trHeight w:val="167"/>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Borrowings under credit facilities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5,307.3</w:t>
            </w:r>
          </w:p>
        </w:tc>
        <w:tc>
          <w:tcPr>
            <w:tcW w:w="0" w:type="dxa"/>
            <w:vAlign w:val="bottom"/>
          </w:tcPr>
          <w:p>
            <w:pPr>
              <w:spacing w:after="0"/>
              <w:rPr>
                <w:sz w:val="1"/>
                <w:szCs w:val="1"/>
                <w:color w:val="auto"/>
              </w:rPr>
            </w:pP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issuance of senior notes, net</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2,153.3</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other borrowings</w:t>
            </w:r>
          </w:p>
        </w:tc>
        <w:tc>
          <w:tcPr>
            <w:tcW w:w="8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notes payable, credit facilities, senior notes, secured debt and finance leases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(6,355.5)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(7,800.4)</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Contributions from noncontrolling interest holders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stock options and employee stock purchase plan</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Distributions paid on common stock</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(2,475.6)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(2,361.0)</w:t>
            </w:r>
          </w:p>
        </w:tc>
        <w:tc>
          <w:tcPr>
            <w:tcW w:w="0" w:type="dxa"/>
            <w:vAlign w:val="bottom"/>
          </w:tcPr>
          <w:p>
            <w:pPr>
              <w:spacing w:after="0"/>
              <w:rPr>
                <w:sz w:val="1"/>
                <w:szCs w:val="1"/>
                <w:color w:val="auto"/>
              </w:rPr>
            </w:pP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for early retirement of long-term obligations</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financing costs and other financing activities</w:t>
            </w:r>
          </w:p>
        </w:tc>
        <w:tc>
          <w:tcPr>
            <w:tcW w:w="8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180"/>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used for financing activities</w:t>
            </w:r>
          </w:p>
        </w:tc>
        <w:tc>
          <w:tcPr>
            <w:tcW w:w="8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(2,533.8)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(2,764.7)</w:t>
            </w:r>
          </w:p>
        </w:tc>
        <w:tc>
          <w:tcPr>
            <w:tcW w:w="0" w:type="dxa"/>
            <w:vAlign w:val="bottom"/>
          </w:tcPr>
          <w:p>
            <w:pPr>
              <w:spacing w:after="0"/>
              <w:rPr>
                <w:sz w:val="1"/>
                <w:szCs w:val="1"/>
                <w:color w:val="auto"/>
              </w:rPr>
            </w:pPr>
          </w:p>
        </w:tc>
      </w:tr>
      <w:tr>
        <w:trPr>
          <w:trHeight w:val="24"/>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effect of changes in foreign currency exchange rates on cash and cash equivalents, and restricted cash</w:t>
            </w: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0" w:type="dxa"/>
            <w:vAlign w:val="bottom"/>
          </w:tcPr>
          <w:p>
            <w:pPr>
              <w:spacing w:after="0"/>
              <w:rPr>
                <w:sz w:val="1"/>
                <w:szCs w:val="1"/>
                <w:color w:val="auto"/>
              </w:rPr>
            </w:pPr>
          </w:p>
        </w:tc>
      </w:tr>
      <w:tr>
        <w:trPr>
          <w:trHeight w:val="180"/>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8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8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2,108.2</w:t>
            </w:r>
          </w:p>
        </w:tc>
        <w:tc>
          <w:tcPr>
            <w:tcW w:w="0" w:type="dxa"/>
            <w:vAlign w:val="bottom"/>
          </w:tcPr>
          <w:p>
            <w:pPr>
              <w:spacing w:after="0"/>
              <w:rPr>
                <w:sz w:val="1"/>
                <w:szCs w:val="1"/>
                <w:color w:val="auto"/>
              </w:rPr>
            </w:pPr>
          </w:p>
        </w:tc>
      </w:tr>
      <w:tr>
        <w:trPr>
          <w:trHeight w:val="204"/>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8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2,100.8</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REFUNDS OF $11.4 AND $24.8, RESPECTIVELY)</w:t>
            </w:r>
          </w:p>
        </w:tc>
        <w:tc>
          <w:tcPr>
            <w:tcW w:w="84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8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1,105.2</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80" w:type="dxa"/>
            <w:vAlign w:val="bottom"/>
            <w:tcBorders>
              <w:bottom w:val="single" w:sz="8" w:color="CCEEFF"/>
            </w:tcBorders>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 under finance leases and perpetual easements</w:t>
            </w:r>
          </w:p>
        </w:tc>
        <w:tc>
          <w:tcPr>
            <w:tcW w:w="8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Increase (decrease) in accounts payable and accrued expenses for purchases of property and equipment and construction activities</w:t>
            </w:r>
          </w:p>
        </w:tc>
        <w:tc>
          <w:tcPr>
            <w:tcW w:w="84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Seller financed acquisition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380" w:type="dxa"/>
            <w:vAlign w:val="bottom"/>
            <w:vMerge w:val="continue"/>
          </w:tcPr>
          <w:p>
            <w:pPr>
              <w:spacing w:after="0"/>
              <w:rPr>
                <w:sz w:val="13"/>
                <w:szCs w:val="13"/>
                <w:color w:val="auto"/>
              </w:rPr>
            </w:pPr>
          </w:p>
        </w:tc>
        <w:tc>
          <w:tcPr>
            <w:tcW w:w="840" w:type="dxa"/>
            <w:vAlign w:val="bottom"/>
          </w:tcPr>
          <w:p>
            <w:pPr>
              <w:jc w:val="right"/>
              <w:ind w:right="67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and condensed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6" w:name="page7"/>
    <w:bookmarkEnd w:id="6"/>
    <w:p>
      <w:pPr>
        <w:ind w:left="3560"/>
        <w:spacing w:after="0"/>
        <w:rPr>
          <w:sz w:val="20"/>
          <w:szCs w:val="20"/>
          <w:color w:val="auto"/>
        </w:rPr>
      </w:pPr>
      <w:r>
        <w:rPr>
          <w:rFonts w:ascii="Times New Roman" w:cs="Times New Roman" w:eastAsia="Times New Roman" w:hAnsi="Times New Roman"/>
          <w:sz w:val="18"/>
          <w:szCs w:val="18"/>
          <w:b w:val="1"/>
          <w:bCs w:val="1"/>
          <w:color w:val="auto"/>
        </w:rPr>
        <w:t>AMERICAN TOWER CORPORATION AND SUBSIDIARIES</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(in millions, share counts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100" w:type="dxa"/>
            <w:vAlign w:val="bottom"/>
          </w:tcPr>
          <w:p>
            <w:pPr>
              <w:spacing w:after="0"/>
              <w:rPr>
                <w:sz w:val="13"/>
                <w:szCs w:val="13"/>
                <w:color w:val="auto"/>
              </w:rPr>
            </w:pPr>
          </w:p>
        </w:tc>
        <w:tc>
          <w:tcPr>
            <w:tcW w:w="1540" w:type="dxa"/>
            <w:vAlign w:val="bottom"/>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540" w:type="dxa"/>
            <w:vAlign w:val="bottom"/>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410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tcPr>
          <w:p>
            <w:pPr>
              <w:jc w:val="center"/>
              <w:ind w:right="100"/>
              <w:spacing w:after="0" w:line="73"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80" w:type="dxa"/>
            <w:vAlign w:val="bottom"/>
          </w:tcPr>
          <w:p>
            <w:pPr>
              <w:spacing w:after="0"/>
              <w:rPr>
                <w:sz w:val="6"/>
                <w:szCs w:val="6"/>
                <w:color w:val="auto"/>
              </w:rPr>
            </w:pPr>
          </w:p>
        </w:tc>
        <w:tc>
          <w:tcPr>
            <w:tcW w:w="860" w:type="dxa"/>
            <w:vAlign w:val="bottom"/>
            <w:gridSpan w:val="2"/>
          </w:tcPr>
          <w:p>
            <w:pPr>
              <w:jc w:val="center"/>
              <w:ind w:right="160"/>
              <w:spacing w:after="0" w:line="73" w:lineRule="exact"/>
              <w:rPr>
                <w:sz w:val="20"/>
                <w:szCs w:val="20"/>
                <w:color w:val="auto"/>
              </w:rPr>
            </w:pPr>
            <w:r>
              <w:rPr>
                <w:rFonts w:ascii="Times New Roman" w:cs="Times New Roman" w:eastAsia="Times New Roman" w:hAnsi="Times New Roman"/>
                <w:sz w:val="8"/>
                <w:szCs w:val="8"/>
                <w:b w:val="1"/>
                <w:bCs w:val="1"/>
                <w:color w:val="auto"/>
              </w:rPr>
              <w:t>Other</w:t>
            </w:r>
          </w:p>
        </w:tc>
        <w:tc>
          <w:tcPr>
            <w:tcW w:w="820" w:type="dxa"/>
            <w:vAlign w:val="bottom"/>
            <w:gridSpan w:val="3"/>
          </w:tcPr>
          <w:p>
            <w:pPr>
              <w:ind w:left="20"/>
              <w:spacing w:after="0" w:line="73" w:lineRule="exact"/>
              <w:rPr>
                <w:sz w:val="20"/>
                <w:szCs w:val="20"/>
                <w:color w:val="auto"/>
              </w:rPr>
            </w:pPr>
            <w:r>
              <w:rPr>
                <w:rFonts w:ascii="Times New Roman" w:cs="Times New Roman" w:eastAsia="Times New Roman" w:hAnsi="Times New Roman"/>
                <w:sz w:val="8"/>
                <w:szCs w:val="8"/>
                <w:b w:val="1"/>
                <w:bCs w:val="1"/>
                <w:color w:val="auto"/>
              </w:rPr>
              <w:t>Distributions</w:t>
            </w: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2026 and 2025</w:t>
            </w:r>
          </w:p>
        </w:tc>
        <w:tc>
          <w:tcPr>
            <w:tcW w:w="760" w:type="dxa"/>
            <w:vAlign w:val="bottom"/>
            <w:gridSpan w:val="2"/>
          </w:tcPr>
          <w:p>
            <w:pPr>
              <w:ind w:left="180"/>
              <w:spacing w:after="0" w:line="132" w:lineRule="exact"/>
              <w:rPr>
                <w:sz w:val="20"/>
                <w:szCs w:val="20"/>
                <w:color w:val="auto"/>
              </w:rPr>
            </w:pPr>
            <w:r>
              <w:rPr>
                <w:rFonts w:ascii="Times New Roman" w:cs="Times New Roman" w:eastAsia="Times New Roman" w:hAnsi="Times New Roman"/>
                <w:sz w:val="12"/>
                <w:szCs w:val="12"/>
                <w:b w:val="1"/>
                <w:bCs w:val="1"/>
                <w:color w:val="auto"/>
              </w:rPr>
              <w:t>Issued</w:t>
            </w:r>
          </w:p>
        </w:tc>
        <w:tc>
          <w:tcPr>
            <w:tcW w:w="10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6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20" w:type="dxa"/>
            <w:vAlign w:val="bottom"/>
            <w:gridSpan w:val="3"/>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rPr>
              <w:t>in Excess of</w:t>
            </w:r>
          </w:p>
        </w:tc>
        <w:tc>
          <w:tcPr>
            <w:tcW w:w="90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20" w:type="dxa"/>
            <w:vAlign w:val="bottom"/>
          </w:tcPr>
          <w:p>
            <w:pPr>
              <w:spacing w:after="0"/>
              <w:rPr>
                <w:sz w:val="11"/>
                <w:szCs w:val="11"/>
                <w:color w:val="auto"/>
              </w:rPr>
            </w:pPr>
          </w:p>
        </w:tc>
        <w:tc>
          <w:tcPr>
            <w:tcW w:w="540" w:type="dxa"/>
            <w:vAlign w:val="bottom"/>
          </w:tcPr>
          <w:p>
            <w:pPr>
              <w:jc w:val="center"/>
              <w:ind w:right="59"/>
              <w:spacing w:after="0" w:line="132"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66"/>
        </w:trPr>
        <w:tc>
          <w:tcPr>
            <w:tcW w:w="4100" w:type="dxa"/>
            <w:vAlign w:val="bottom"/>
            <w:vMerge w:val="continue"/>
          </w:tcPr>
          <w:p>
            <w:pPr>
              <w:spacing w:after="0"/>
              <w:rPr>
                <w:sz w:val="14"/>
                <w:szCs w:val="14"/>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4"/>
                <w:szCs w:val="14"/>
                <w:color w:val="auto"/>
              </w:rPr>
            </w:pPr>
          </w:p>
        </w:tc>
        <w:tc>
          <w:tcPr>
            <w:tcW w:w="54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82"/>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JULY 1, 2025</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479,228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15,133.3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(4,959.7)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(5,164.4)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6,766.1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10,478.9</w:t>
            </w:r>
          </w:p>
        </w:tc>
        <w:tc>
          <w:tcPr>
            <w:tcW w:w="0" w:type="dxa"/>
            <w:vAlign w:val="bottom"/>
          </w:tcPr>
          <w:p>
            <w:pPr>
              <w:spacing w:after="0"/>
              <w:rPr>
                <w:sz w:val="1"/>
                <w:szCs w:val="1"/>
                <w:color w:val="auto"/>
              </w:rPr>
            </w:pPr>
          </w:p>
        </w:tc>
      </w:tr>
      <w:tr>
        <w:trPr>
          <w:trHeight w:val="169"/>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 related activity</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 net of tax</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Contributions from noncontrolling interest holders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to noncontrolling interest holders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Common stock distributions declared</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(800.2)</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912.6</w:t>
            </w: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SEPTEMBER 30, 2025</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479,295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(11,004)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(1,301.2)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15,178.1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(4,817.7)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(5,111.3)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6,813.2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10,765.9</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100" w:type="dxa"/>
            <w:vAlign w:val="bottom"/>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BALANCE, JULY 1, 2026</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480,163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(14,204)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(1,868.7)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15,276.9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(4,661.0)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(5,032.3)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6,532.8</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10,252.5</w:t>
            </w:r>
          </w:p>
        </w:tc>
        <w:tc>
          <w:tcPr>
            <w:tcW w:w="0" w:type="dxa"/>
            <w:vAlign w:val="bottom"/>
          </w:tcPr>
          <w:p>
            <w:pPr>
              <w:spacing w:after="0"/>
              <w:rPr>
                <w:sz w:val="1"/>
                <w:szCs w:val="1"/>
                <w:color w:val="auto"/>
              </w:rPr>
            </w:pPr>
          </w:p>
        </w:tc>
      </w:tr>
      <w:tr>
        <w:trPr>
          <w:trHeight w:val="18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related activity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Treasury stock activity</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(315.1)</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 net of tax</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(126.9)</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Contributions from noncontrolling interest holders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to noncontrolling interest holders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CoreSite preferred equity conversion</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 distributions declared</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w:t>
            </w:r>
          </w:p>
        </w:tc>
        <w:tc>
          <w:tcPr>
            <w:tcW w:w="0" w:type="dxa"/>
            <w:vAlign w:val="bottom"/>
          </w:tcPr>
          <w:p>
            <w:pPr>
              <w:spacing w:after="0"/>
              <w:rPr>
                <w:sz w:val="1"/>
                <w:szCs w:val="1"/>
                <w:color w:val="auto"/>
              </w:rPr>
            </w:pPr>
          </w:p>
        </w:tc>
      </w:tr>
      <w:tr>
        <w:trPr>
          <w:trHeight w:val="178"/>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780.8</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SEPTEMBER 30, 2026</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480,181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15,551.8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9,765.6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100" w:type="dxa"/>
            <w:vAlign w:val="bottom"/>
          </w:tcPr>
          <w:p>
            <w:pPr>
              <w:spacing w:after="0"/>
              <w:rPr>
                <w:sz w:val="24"/>
                <w:szCs w:val="24"/>
                <w:color w:val="auto"/>
              </w:rPr>
            </w:pPr>
          </w:p>
        </w:tc>
        <w:tc>
          <w:tcPr>
            <w:tcW w:w="1540" w:type="dxa"/>
            <w:vAlign w:val="bottom"/>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540" w:type="dxa"/>
            <w:vAlign w:val="bottom"/>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jc w:val="center"/>
              <w:ind w:right="100"/>
              <w:spacing w:after="0" w:line="53"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80" w:type="dxa"/>
            <w:vAlign w:val="bottom"/>
          </w:tcPr>
          <w:p>
            <w:pPr>
              <w:spacing w:after="0"/>
              <w:rPr>
                <w:sz w:val="4"/>
                <w:szCs w:val="4"/>
                <w:color w:val="auto"/>
              </w:rPr>
            </w:pPr>
          </w:p>
        </w:tc>
        <w:tc>
          <w:tcPr>
            <w:tcW w:w="860" w:type="dxa"/>
            <w:vAlign w:val="bottom"/>
            <w:gridSpan w:val="2"/>
          </w:tcPr>
          <w:p>
            <w:pPr>
              <w:jc w:val="center"/>
              <w:ind w:right="16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820" w:type="dxa"/>
            <w:vAlign w:val="bottom"/>
            <w:gridSpan w:val="3"/>
          </w:tcPr>
          <w:p>
            <w:pPr>
              <w:ind w:left="20"/>
              <w:spacing w:after="0" w:line="53" w:lineRule="exact"/>
              <w:rPr>
                <w:sz w:val="20"/>
                <w:szCs w:val="20"/>
                <w:color w:val="auto"/>
              </w:rPr>
            </w:pPr>
            <w:r>
              <w:rPr>
                <w:rFonts w:ascii="Times New Roman" w:cs="Times New Roman" w:eastAsia="Times New Roman" w:hAnsi="Times New Roman"/>
                <w:sz w:val="6"/>
                <w:szCs w:val="6"/>
                <w:b w:val="1"/>
                <w:bCs w:val="1"/>
                <w:color w:val="auto"/>
              </w:rPr>
              <w:t>Distributions</w:t>
            </w: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4100" w:type="dxa"/>
            <w:vAlign w:val="bottom"/>
          </w:tcPr>
          <w:p>
            <w:pPr>
              <w:spacing w:after="0"/>
              <w:rPr>
                <w:sz w:val="12"/>
                <w:szCs w:val="12"/>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Issued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Excess of</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20" w:type="dxa"/>
            <w:vAlign w:val="bottom"/>
          </w:tcPr>
          <w:p>
            <w:pPr>
              <w:spacing w:after="0"/>
              <w:rPr>
                <w:sz w:val="12"/>
                <w:szCs w:val="12"/>
                <w:color w:val="auto"/>
              </w:rPr>
            </w:pPr>
          </w:p>
        </w:tc>
        <w:tc>
          <w:tcPr>
            <w:tcW w:w="540" w:type="dxa"/>
            <w:vAlign w:val="bottom"/>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78"/>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2026 and 2025</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8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5"/>
                <w:szCs w:val="15"/>
                <w:color w:val="auto"/>
              </w:rPr>
            </w:pPr>
          </w:p>
        </w:tc>
        <w:tc>
          <w:tcPr>
            <w:tcW w:w="54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84"/>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JANUARY 1, 2025</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478,388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15,057.3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(5,954.6)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(4,424.1)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6,266.5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9,648.7</w:t>
            </w:r>
          </w:p>
        </w:tc>
        <w:tc>
          <w:tcPr>
            <w:tcW w:w="0" w:type="dxa"/>
            <w:vAlign w:val="bottom"/>
          </w:tcPr>
          <w:p>
            <w:pPr>
              <w:spacing w:after="0"/>
              <w:rPr>
                <w:sz w:val="1"/>
                <w:szCs w:val="1"/>
                <w:color w:val="auto"/>
              </w:rPr>
            </w:pPr>
          </w:p>
        </w:tc>
      </w:tr>
      <w:tr>
        <w:trPr>
          <w:trHeight w:val="169"/>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 related activity</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112.7</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 stock purchase plan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 net of tax</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1,593.3</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from noncontrolling interest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148.1</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to noncontrolling interest holders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(140.7)</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 distributions declared</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(2,396.0)</w:t>
            </w:r>
          </w:p>
        </w:tc>
        <w:tc>
          <w:tcPr>
            <w:tcW w:w="0" w:type="dxa"/>
            <w:vAlign w:val="bottom"/>
          </w:tcPr>
          <w:p>
            <w:pPr>
              <w:spacing w:after="0"/>
              <w:rPr>
                <w:sz w:val="1"/>
                <w:szCs w:val="1"/>
                <w:color w:val="auto"/>
              </w:rPr>
            </w:pPr>
          </w:p>
        </w:tc>
      </w:tr>
      <w:tr>
        <w:trPr>
          <w:trHeight w:val="178"/>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1,791.7</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SEPTEMBER 30, 2025</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479,295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15,178.1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10,765.9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4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JANUARY 1, 2026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479,358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(13,040)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(1,665.8)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15,215.3</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(4,815.8)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(5,086.0)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6,702.8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10,355.3</w:t>
            </w:r>
          </w:p>
        </w:tc>
        <w:tc>
          <w:tcPr>
            <w:tcW w:w="0" w:type="dxa"/>
            <w:vAlign w:val="bottom"/>
          </w:tcPr>
          <w:p>
            <w:pPr>
              <w:spacing w:after="0"/>
              <w:rPr>
                <w:sz w:val="1"/>
                <w:szCs w:val="1"/>
                <w:color w:val="auto"/>
              </w:rPr>
            </w:pPr>
          </w:p>
        </w:tc>
      </w:tr>
      <w:tr>
        <w:trPr>
          <w:trHeight w:val="169"/>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 related activity</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 stock purchase plan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Treasury stock activity</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(518.0)</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 net of tax</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Contributions from noncontrolling interest holders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to noncontrolling interest holders</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Impact of sale of Bangladesh partnership on noncontrolling interests</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CoreSite preferred equity conversion</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Common stock distributions declared</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(2,506.8)</w:t>
            </w: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2,546.8</w:t>
            </w: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SEPTEMBER 30, 2026</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480,181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(16,009)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(2,183.8)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15,551.8</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(4,756.2)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(5,100.0)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6,249.0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9,765.6</w:t>
            </w: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and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7" w:name="page8"/>
    <w:bookmarkEnd w:id="7"/>
    <w:p>
      <w:pPr>
        <w:jc w:val="center"/>
        <w:ind w:left="380" w:right="176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BASIS OF PRESENTATION AND SIGNIFICANT ACCOUNTING POLICIES</w:t>
      </w:r>
    </w:p>
    <w:p>
      <w:pPr>
        <w:spacing w:after="0" w:line="13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The accompanying consolidated and condensed consolidated financial statements have been prepared by American Tower Corporation (together with its subsidiaries, “ATC” or the “Company”) pursuant to the rules and regulations of the Securities and Exchange Commission (the “SEC”). The financial information included herein is unaudited. However, the Company believes that all adjustments, which are of a normal and recurring nature, considered necessary for a fair presentation of its financial position and results of operations for such periods have been included. The consolidated and condensed consolidated financial statements and related notes should be read in conjunction with the Company’s Annual Report on Form 10-K for the year ended December 31, 2025 (the “2025 Form 10-K”). The results of operations for the three and nine months ended September 30, 2026 are not necessarily indicative of the results that may be expected for the entire year.</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r>
        <w:rPr>
          <w:rFonts w:ascii="Times New Roman" w:cs="Times New Roman" w:eastAsia="Times New Roman" w:hAnsi="Times New Roman"/>
          <w:sz w:val="18"/>
          <w:szCs w:val="18"/>
          <w:color w:val="auto"/>
        </w:rPr>
        <w:t>—The accompanying consolidated and condensed consolidated financial statements include the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and those entities in which it has a controlling interest. Investments in entities that the Company does not control are accounted for using the equity method or as investments in equity securities, depending upon the Company’s ability to exercise significant influence over operating and financial policies. All intercompany accounts and transactions have been eliminated.</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color w:val="auto"/>
        </w:rPr>
        <w:t>As of September 30, 2026, the Company holds (i) a 52% controlling interest in subsidiaries whose holdings consist of the Company’s operations in France, Germany and Spain (such subsidiaries collectively, “ATC Europe”) (Allianz and La Caisse (each as defined in note 11) hold the noncontrolling interests) and</w:t>
      </w:r>
    </w:p>
    <w:p>
      <w:pPr>
        <w:spacing w:after="0" w:line="1" w:lineRule="exact"/>
        <w:rPr>
          <w:sz w:val="20"/>
          <w:szCs w:val="20"/>
          <w:color w:val="auto"/>
        </w:rPr>
      </w:pPr>
    </w:p>
    <w:p>
      <w:pPr>
        <w:ind w:right="120" w:firstLine="5"/>
        <w:spacing w:after="0" w:line="245" w:lineRule="auto"/>
        <w:tabs>
          <w:tab w:leader="none" w:pos="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controlling common equity interest of approximately 64% in the Company’s U.S. data center business (Stonepeak (as defined and further discussed in note 11) holds approximately 36% of the outstanding common equity). As of September 30, 2026, ATC Europe holds an 87% and an 83% controlling interest in subsidiaries that consist of the Company’s operations in Germany and Spain, respectively (PGGM holds the noncontrolling interests). See note 11 for a discussion of changes to the Company’s noncontrolling interests during the nine months ended September 30, 2026 and 2025.</w:t>
      </w:r>
    </w:p>
    <w:p>
      <w:pPr>
        <w:spacing w:after="0" w:line="1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Sale of Philippines Subsidiary—</w:t>
      </w:r>
      <w:r>
        <w:rPr>
          <w:rFonts w:ascii="Times New Roman" w:cs="Times New Roman" w:eastAsia="Times New Roman" w:hAnsi="Times New Roman"/>
          <w:sz w:val="18"/>
          <w:szCs w:val="18"/>
          <w:color w:val="auto"/>
        </w:rPr>
        <w:t>On June 15, 2026, the Company completed the sale of its subsidiary in the Philippines (“ATC Philippines”) for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of $75.6 million, resulting in a gain on the sale of $33.2 million, which was included in Other operating (income) expense in the accompanying consolidated statements of operations.</w:t>
      </w:r>
    </w:p>
    <w:p>
      <w:pPr>
        <w:spacing w:after="0" w:line="110"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6"/>
          <w:szCs w:val="16"/>
          <w:i w:val="1"/>
          <w:iCs w:val="1"/>
          <w:color w:val="auto"/>
        </w:rPr>
        <w:t>Sale of Bangladesh Partnership—</w:t>
      </w:r>
      <w:r>
        <w:rPr>
          <w:rFonts w:ascii="Times New Roman" w:cs="Times New Roman" w:eastAsia="Times New Roman" w:hAnsi="Times New Roman"/>
          <w:sz w:val="16"/>
          <w:szCs w:val="16"/>
          <w:color w:val="auto"/>
        </w:rPr>
        <w:t>On June 29, 2026, the Company completed the sale of its controlling interest in Kirtonkhola Tower Bangladesh Limited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(“KTBL,” and together with ATC Philippines, the “APAC operations” and the sites therein, the “APAC sites”) for total consideration of $6.9 million, resulting in a loss on the sale of $12.8 million, which was included in Other operating (income) expense in the accompanying consolidated statements of operations.</w:t>
      </w:r>
    </w:p>
    <w:p>
      <w:pPr>
        <w:spacing w:after="0" w:line="78"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8"/>
          <w:szCs w:val="18"/>
          <w:color w:val="auto"/>
        </w:rPr>
        <w:t>The reclassification of the Company’s cumulative translation adjustment in the Philippines and Bangladesh upon exiting the markets was immaterial and is included within Foreign currency translation adjustment, net of tax within the consolidated statements of equity.</w:t>
      </w:r>
    </w:p>
    <w:p>
      <w:pPr>
        <w:spacing w:after="0" w:line="8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2025, the Company’s APAC operations represented less than 1% of each of the Company’s total property revenue, total segment gross margin and total segment operating profit. Prior to the completion of the sales of its APAC operations, the Company’s APAC sites represented approximately 1% of the Company’s total communications sites. The Company does not believe that the sales of its APAC operations represent a strategic shift that will have a major impact on its operations and financial results, and as such, the divestitures do not qualify for presentation as discontinued operations. Accordingly, the financial position and results of operations of the APAC operations are presented within the Africa &amp; APAC property segment through the dates of sale.</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—The Company’s significant accounting policies are described in note 1 to the Company’s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2025 Form 10-K. There have been no material changes to the Company’s significant accounting policies during the nine months ended September 30, 2026, other than those noted below.</w:t>
      </w:r>
    </w:p>
    <w:p>
      <w:pPr>
        <w:spacing w:after="0" w:line="110"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i w:val="1"/>
          <w:iCs w:val="1"/>
          <w:color w:val="auto"/>
        </w:rPr>
        <w:t>Cash and Cash Equivalents and Restricted Cash</w:t>
      </w:r>
      <w:r>
        <w:rPr>
          <w:rFonts w:ascii="Times New Roman" w:cs="Times New Roman" w:eastAsia="Times New Roman" w:hAnsi="Times New Roman"/>
          <w:sz w:val="18"/>
          <w:szCs w:val="18"/>
          <w:color w:val="auto"/>
        </w:rPr>
        <w:t>—The reconciliation of cash and cash equivalents and restricted cash reported within the applicable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sheet that sum to the total of the same such amounts shown in the statements of cash flows is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 w:name="page9"/>
    <w:bookmarkEnd w:id="8"/>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8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0"/>
        </w:trPr>
        <w:tc>
          <w:tcPr>
            <w:tcW w:w="8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1,950.7</w:t>
            </w:r>
          </w:p>
        </w:tc>
      </w:tr>
      <w:tr>
        <w:trPr>
          <w:trHeight w:val="23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5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—The Company’s revenue is derived from leasing the right to use its communications sites, the land on which the sites are located, the land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customers’ sites and the space in its data center facilities (the “lease component”) and from the reimbursement of costs incurred by the Company in operating the communications sites and data center facilities and supporting its customers’ equipment as well as other services and contractual rights (the “non-lease component”). Most of the Company’s revenue is derived from leasing arrangements and is accounted for as lease revenue unless the timing and pattern of revenue recognition of the non-lease component differs from the lease component. If the timing and pattern of the non-lease component revenue recognition differs from that of the lease component, the Company separately determines the stand-alone selling prices and pattern of revenue recognition for each performance obligation. Revenue related to distributed antenna system (“DAS”) networks and fiber and other related assets results from agreements with customers that are generally not accounted for as leases.</w:t>
      </w:r>
    </w:p>
    <w:p>
      <w:pPr>
        <w:spacing w:after="0" w:line="10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i w:val="1"/>
          <w:iCs w:val="1"/>
          <w:color w:val="auto"/>
        </w:rPr>
        <w:t>Non-lease property revenue</w:t>
      </w:r>
      <w:r>
        <w:rPr>
          <w:rFonts w:ascii="Times New Roman" w:cs="Times New Roman" w:eastAsia="Times New Roman" w:hAnsi="Times New Roman"/>
          <w:sz w:val="18"/>
          <w:szCs w:val="18"/>
          <w:color w:val="auto"/>
        </w:rPr>
        <w:t>—Non-lease property revenue consists primarily of revenue generated from DAS networks, fiber and other property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DAS networks and fiber arrangements generally require that the Company provide the tenant the right to use available capacity on the applicable communications infrastructure. Performance obligations are satisfied over time for the duration of the arrangements. Non-lease property revenue also includes revenue generated from interconnection offerings in the Company’s data center facilities. Interconnection offerings are generally contracted on a month-to-month basis and are cancellable by the Company or the data center customer at any time. Performance obligations are satisfied over time for the duration of the arrangements. Other property related revenue streams, which include site inspections, are not material on either an individual or consolidated basis. There were no material changes in the receivables, contract assets and contract liabilities from contracts with customers for the three and nine months ended September 30, 2026.</w:t>
      </w:r>
    </w:p>
    <w:p>
      <w:pPr>
        <w:spacing w:after="0" w:line="120"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6"/>
          <w:szCs w:val="16"/>
          <w:i w:val="1"/>
          <w:iCs w:val="1"/>
          <w:color w:val="auto"/>
        </w:rPr>
        <w:t>Services revenue</w:t>
      </w:r>
      <w:r>
        <w:rPr>
          <w:rFonts w:ascii="Times New Roman" w:cs="Times New Roman" w:eastAsia="Times New Roman" w:hAnsi="Times New Roman"/>
          <w:sz w:val="16"/>
          <w:szCs w:val="16"/>
          <w:color w:val="auto"/>
        </w:rPr>
        <w:t>—The Company offers tower-related services in the United States. These services include site application, zoning and permitting (“AZP”),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structural and mount analyses, and construction management services, together with program management offerings that support customer deployment needs from project scoping through construction. There is a single performance obligation related to AZP and construction management, and revenue is recognized over time based on milestones achieved, which are determined based on costs expected to be incurred. Structural and mount analyses services may have more than one performance obligation, contingent upon the number of contracted services. Revenue is recognized at the point in time the services are completed.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 disaggregated by source and geography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Africa &amp; APAC</w:t>
            </w:r>
          </w:p>
        </w:tc>
        <w:tc>
          <w:tcPr>
            <w:tcW w:w="22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4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Non-lease property revenue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revenue</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1"/>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non-lease revenue</w:t>
            </w: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Property lease revenue</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2,582.9</w:t>
            </w:r>
          </w:p>
        </w:tc>
      </w:tr>
      <w:tr>
        <w:trPr>
          <w:trHeight w:val="256"/>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502"/>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Africa &amp; APAC</w:t>
            </w:r>
          </w:p>
        </w:tc>
        <w:tc>
          <w:tcPr>
            <w:tcW w:w="22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260" w:type="dxa"/>
            <w:vAlign w:val="bottom"/>
          </w:tcPr>
          <w:p>
            <w:pPr>
              <w:spacing w:after="0"/>
              <w:rPr>
                <w:sz w:val="24"/>
                <w:szCs w:val="24"/>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Non-lease property revenue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3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revenue</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1"/>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non-lease revenue</w:t>
            </w: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37"/>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Property lease revenue</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2,471.0</w:t>
            </w:r>
          </w:p>
        </w:tc>
      </w:tr>
      <w:tr>
        <w:trPr>
          <w:trHeight w:val="256"/>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Africa &amp; APAC</w:t>
            </w:r>
          </w:p>
        </w:tc>
        <w:tc>
          <w:tcPr>
            <w:tcW w:w="22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4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Non-lease property revenue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r>
      <w:tr>
        <w:trPr>
          <w:trHeight w:val="237"/>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revenue</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231"/>
        </w:trPr>
        <w:tc>
          <w:tcPr>
            <w:tcW w:w="4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non-lease revenue</w:t>
            </w: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37"/>
        </w:trPr>
        <w:tc>
          <w:tcPr>
            <w:tcW w:w="4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Property lease revenue</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7,642.3</w:t>
            </w:r>
          </w:p>
        </w:tc>
      </w:tr>
      <w:tr>
        <w:trPr>
          <w:trHeight w:val="256"/>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51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Africa &amp; APAC</w:t>
            </w:r>
          </w:p>
        </w:tc>
        <w:tc>
          <w:tcPr>
            <w:tcW w:w="22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260" w:type="dxa"/>
            <w:vAlign w:val="bottom"/>
          </w:tcPr>
          <w:p>
            <w:pPr>
              <w:spacing w:after="0"/>
              <w:rPr>
                <w:sz w:val="24"/>
                <w:szCs w:val="24"/>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Non-lease property revenue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r>
      <w:tr>
        <w:trPr>
          <w:trHeight w:val="237"/>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revenue</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31"/>
        </w:trPr>
        <w:tc>
          <w:tcPr>
            <w:tcW w:w="4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non-lease revenue</w:t>
            </w: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r>
      <w:tr>
        <w:trPr>
          <w:trHeight w:val="237"/>
        </w:trPr>
        <w:tc>
          <w:tcPr>
            <w:tcW w:w="4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Property lease revenue</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7,191.0</w:t>
            </w:r>
          </w:p>
        </w:tc>
      </w:tr>
      <w:tr>
        <w:trPr>
          <w:trHeight w:val="256"/>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revenue for the three months ended September 30, 2026 and 2025 includes straight-line revenue of $(24.0) million and $27.7 million, respectively.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revenue for the nine months ended September 30, 2026 and 2025 includes straight-line revenue of $(24.0) million and $73.0 million, respectively.</w:t>
      </w:r>
    </w:p>
    <w:p>
      <w:pPr>
        <w:spacing w:after="0" w:line="1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actively monitors the creditworthiness of its customers. In recognizing customer revenue, the Company assesses the collectibility of both the amounts billed and the portion recognized in advance of billing on a straight-line basis. This assessment takes customer credit risk and business and industry conditions into consideration to ultimately determine the collectibility of the amounts billed. To the extent the amounts, based on management’s estimates, may not be collectible, revenue recognition is deferred until such point as the uncertainty is resolved.</w:t>
      </w:r>
    </w:p>
    <w:p>
      <w:pPr>
        <w:spacing w:after="0" w:line="104"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8"/>
          <w:szCs w:val="18"/>
          <w:i w:val="1"/>
          <w:iCs w:val="1"/>
          <w:color w:val="auto"/>
        </w:rPr>
        <w:t>Accounting Standards Updates</w:t>
      </w:r>
      <w:r>
        <w:rPr>
          <w:rFonts w:ascii="Times New Roman" w:cs="Times New Roman" w:eastAsia="Times New Roman" w:hAnsi="Times New Roman"/>
          <w:sz w:val="18"/>
          <w:szCs w:val="18"/>
          <w:color w:val="auto"/>
        </w:rPr>
        <w:t>—In November 2024, the FASB issued guidance which is intended to improve the disclosures about a public business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primarily through additional disclosures about the types of expenses (including purchases of inventory, employee compensation, depreciation, amortization, and depletion) included in each relevant expense caption presented on the face of the income statement within continuing operations. The guidance is effective on a prospective basis, with the option for retrospective application, for annual periods beginning after December 15, 2026 and interim reporting periods beginning after December 15, 2027, with early adoption permitted. The Company is currently evaluating the impact of this guidance on its consolidated financial statements and related disclosures.</w:t>
      </w:r>
    </w:p>
    <w:p>
      <w:pPr>
        <w:spacing w:after="0" w:line="12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November 2025, the FASB issued guidance which is intended to more closely align hedge accounting with the economics of an entity’s risk management activities. The amendments are intended to better reflect those strategies in financial reporting by enabling entities to achieve and maintain hedge accounting for highly effective economic hedges of forecasted transactions. The guidance is effective on a prospective basis for annual periods beginning after December 15, 2026, and interim reporting periods within those annual reporting periods. The Company is currently evaluating the impact of this guidance on its consolidated financial statements and related disclosures.</w:t>
      </w:r>
    </w:p>
    <w:p>
      <w:pPr>
        <w:spacing w:after="0" w:line="1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PREPAID AND OTHER CURRENT ASSETS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16"/>
                <w:szCs w:val="16"/>
                <w:color w:val="auto"/>
              </w:rPr>
            </w:pPr>
          </w:p>
        </w:tc>
      </w:tr>
      <w:tr>
        <w:trPr>
          <w:trHeight w:val="24"/>
        </w:trPr>
        <w:tc>
          <w:tcPr>
            <w:tcW w:w="7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0"/>
        </w:trPr>
        <w:tc>
          <w:tcPr>
            <w:tcW w:w="7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15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assets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income tax</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tax and other consumption tax receivables</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miscellaneous current assets</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w:t>
            </w: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1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at the inception of the agreement. The Company considers an arrangement to be a lease if it conveys the right to control the use of the communications infrastructure or ground space underneath communications infrastructure for a period of time in exchange for consideration. The Company is both a lessor and a lessee.</w:t>
      </w:r>
    </w:p>
    <w:p>
      <w:pPr>
        <w:spacing w:after="0" w:line="115"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made no changes to the methods described in note 4 to its consolidated financial statements included in the 2025 Form 10-K. As of September 30, 2026, the Company does not have any material related party leases as either a lessor or a lessee. To the extent there are any intercompany leases, these are eliminated in consolidation.</w:t>
      </w:r>
    </w:p>
    <w:p>
      <w:pPr>
        <w:spacing w:after="0" w:line="11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Lessor</w:t>
      </w:r>
      <w:r>
        <w:rPr>
          <w:rFonts w:ascii="Times New Roman" w:cs="Times New Roman" w:eastAsia="Times New Roman" w:hAnsi="Times New Roman"/>
          <w:sz w:val="18"/>
          <w:szCs w:val="18"/>
          <w:color w:val="auto"/>
        </w:rPr>
        <w:t>— Historically, the Company has been able to successfully renew its applicable leases as needed to ensure continuation of its revenue. Accordingly,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assumes that it will have access to the communications infrastructure or ground space underlying its sites when calculating future minimum rental receipts through the end of the respective terms. Future minimum rental receipts expected under non-cancellable operating lease agreements as of September 30, 2026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6"/>
                <w:szCs w:val="16"/>
                <w:color w:val="auto"/>
              </w:rPr>
            </w:pPr>
          </w:p>
        </w:tc>
        <w:tc>
          <w:tcPr>
            <w:tcW w:w="15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Amount (1) (2)</w:t>
            </w:r>
          </w:p>
        </w:tc>
      </w:tr>
      <w:tr>
        <w:trPr>
          <w:trHeight w:val="24"/>
        </w:trPr>
        <w:tc>
          <w:tcPr>
            <w:tcW w:w="9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9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2,255.7</w:t>
            </w:r>
          </w:p>
        </w:tc>
      </w:tr>
      <w:tr>
        <w:trPr>
          <w:trHeight w:val="237"/>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8,869.3</w:t>
            </w:r>
          </w:p>
        </w:tc>
      </w:tr>
      <w:tr>
        <w:trPr>
          <w:trHeight w:val="23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7,482.7</w:t>
            </w:r>
          </w:p>
        </w:tc>
      </w:tr>
      <w:tr>
        <w:trPr>
          <w:trHeight w:val="237"/>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6,993.4</w:t>
            </w:r>
          </w:p>
        </w:tc>
      </w:tr>
      <w:tr>
        <w:trPr>
          <w:trHeight w:val="23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5,618.6</w:t>
            </w:r>
          </w:p>
        </w:tc>
      </w:tr>
      <w:tr>
        <w:trPr>
          <w:trHeight w:val="237"/>
        </w:trPr>
        <w:tc>
          <w:tcPr>
            <w:tcW w:w="9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17,514.3</w:t>
            </w:r>
          </w:p>
        </w:tc>
      </w:tr>
      <w:tr>
        <w:trPr>
          <w:trHeight w:val="255"/>
        </w:trPr>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48,734.0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are translated at the applicable period-end exchange rate, which may impact comparability between periods.</w:t>
      </w:r>
    </w:p>
    <w:p>
      <w:pPr>
        <w:spacing w:after="0" w:line="7" w:lineRule="exact"/>
        <w:rPr>
          <w:rFonts w:ascii="Times New Roman" w:cs="Times New Roman" w:eastAsia="Times New Roman" w:hAnsi="Times New Roman"/>
          <w:sz w:val="14"/>
          <w:szCs w:val="14"/>
          <w:color w:val="auto"/>
        </w:rPr>
      </w:pPr>
    </w:p>
    <w:p>
      <w:pPr>
        <w:ind w:left="320" w:right="400" w:hanging="315"/>
        <w:spacing w:after="0" w:line="250" w:lineRule="auto"/>
        <w:tabs>
          <w:tab w:leader="none" w:pos="31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represent contractual amounts owed with no adjustments made for expected collectibility. As of September 30, 2026, balances exclude contractual amounts owed from one of the Company’s U.S. customers, DISH Wireless L.L.C., a subsidiary of DISH Network Corporation (“DISH”).</w:t>
      </w:r>
    </w:p>
    <w:p>
      <w:pPr>
        <w:spacing w:after="0" w:line="131"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6"/>
          <w:szCs w:val="16"/>
          <w:color w:val="auto"/>
        </w:rPr>
        <w:t>If incentives are present in the Company’s leases, they are evaluated to determine proper treatment and, to the extent present, are recorded in Other current assets and Other non-current assets in the consolidated balance sheets and amortized on a straight line basis over the corresponding lease term as a non-cash reduction to revenue. As of September 30, 2026, the remaining weighted average amortization period of the Company’s lease incentives was 8 years. As of September 30, 2026, Other current assets and Other non-current assets include $50.2 million and $326.7 million, respectively, for lease incentives.</w:t>
      </w:r>
    </w:p>
    <w:p>
      <w:pPr>
        <w:spacing w:after="0" w:line="85"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i w:val="1"/>
          <w:iCs w:val="1"/>
          <w:color w:val="auto"/>
        </w:rPr>
        <w:t>Lessee</w:t>
      </w:r>
      <w:r>
        <w:rPr>
          <w:rFonts w:ascii="Times New Roman" w:cs="Times New Roman" w:eastAsia="Times New Roman" w:hAnsi="Times New Roman"/>
          <w:sz w:val="18"/>
          <w:szCs w:val="18"/>
          <w:color w:val="auto"/>
        </w:rPr>
        <w:t>—The Company assesses its right-of-use asset and other lease-related assets for impairment, as described in note 1 to the Company’s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included in the 2025 Form 10-K. There were no material impairments recorded related to these assets during the three and nine months ended September 30, 2026 and 2025. The Company leases certain land, buildings, equipment and office space under operating leases and land and improvements, towers, equipment and vehicles under finance leases. As of September 30, 2026, operating lease assets were included in Right-of-use asset and finance lease assets were included in Property and equipment, net in the consolidated balance sheet. During the nine months ended September 30, 2026, there were no material changes in the terms and provisions of the Company’s operating leases in which the Company is a lessee. There were no material changes in finance lease assets and liabilities during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other lease-related balances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59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8,360.2</w:t>
            </w:r>
          </w:p>
        </w:tc>
        <w:tc>
          <w:tcPr>
            <w:tcW w:w="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8,426.5</w:t>
            </w:r>
          </w:p>
        </w:tc>
        <w:tc>
          <w:tcPr>
            <w:tcW w:w="0" w:type="dxa"/>
            <w:vAlign w:val="bottom"/>
          </w:tcPr>
          <w:p>
            <w:pPr>
              <w:spacing w:after="0"/>
              <w:rPr>
                <w:sz w:val="1"/>
                <w:szCs w:val="1"/>
                <w:color w:val="auto"/>
              </w:rPr>
            </w:pPr>
          </w:p>
        </w:tc>
      </w:tr>
      <w:tr>
        <w:trPr>
          <w:trHeight w:val="251"/>
        </w:trPr>
        <w:tc>
          <w:tcPr>
            <w:tcW w:w="5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648.2</w:t>
            </w:r>
          </w:p>
        </w:tc>
        <w:tc>
          <w:tcPr>
            <w:tcW w:w="20" w:type="dxa"/>
            <w:vAlign w:val="bottom"/>
          </w:tcPr>
          <w:p>
            <w:pPr>
              <w:spacing w:after="0"/>
              <w:rPr>
                <w:sz w:val="20"/>
                <w:szCs w:val="20"/>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7,067.3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7,158.7</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7,715.5</w:t>
            </w:r>
          </w:p>
        </w:tc>
        <w:tc>
          <w:tcPr>
            <w:tcW w:w="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7,743.6</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weighted-average remaining lease terms and incremental borrowing rates are as follows:</w:t>
            </w: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1"/>
        </w:trPr>
        <w:tc>
          <w:tcPr>
            <w:tcW w:w="68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0" w:type="dxa"/>
            <w:vAlign w:val="bottom"/>
          </w:tcPr>
          <w:p>
            <w:pPr>
              <w:spacing w:after="0"/>
              <w:rPr>
                <w:sz w:val="1"/>
                <w:szCs w:val="1"/>
                <w:color w:val="auto"/>
              </w:rPr>
            </w:pPr>
          </w:p>
        </w:tc>
      </w:tr>
      <w:tr>
        <w:trPr>
          <w:trHeight w:val="24"/>
        </w:trPr>
        <w:tc>
          <w:tcPr>
            <w:tcW w:w="59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4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lease cost:</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900" w:type="dxa"/>
            <w:vAlign w:val="bottom"/>
            <w:gridSpan w:val="8"/>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5"/>
                <w:szCs w:val="15"/>
                <w:color w:val="auto"/>
              </w:rPr>
            </w:pPr>
          </w:p>
        </w:tc>
        <w:tc>
          <w:tcPr>
            <w:tcW w:w="10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59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285.6</w:t>
            </w:r>
          </w:p>
        </w:tc>
        <w:tc>
          <w:tcPr>
            <w:tcW w:w="4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882.4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3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 not included in lease liability (1)</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276.5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(1)  Primarily includes property tax paid on behalf of the landlord.</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is as follows: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1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59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8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(891.0)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0" w:type="dxa"/>
            <w:vAlign w:val="bottom"/>
          </w:tcPr>
          <w:p>
            <w:pPr>
              <w:spacing w:after="0"/>
              <w:rPr>
                <w:sz w:val="1"/>
                <w:szCs w:val="1"/>
                <w:color w:val="auto"/>
              </w:rPr>
            </w:pPr>
          </w:p>
        </w:tc>
      </w:tr>
      <w:tr>
        <w:trPr>
          <w:trHeight w:val="251"/>
        </w:trPr>
        <w:tc>
          <w:tcPr>
            <w:tcW w:w="5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operating leases (1)</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88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3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modifications and reassessments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8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291.5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w:t>
      </w:r>
    </w:p>
    <w:p>
      <w:pPr>
        <w:ind w:left="320" w:hanging="315"/>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new operating leases and leases acquired in connection with acquisitions.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 does not have material operating or financing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1"/>
        </w:trPr>
        <w:tc>
          <w:tcPr>
            <w:tcW w:w="9460" w:type="dxa"/>
            <w:vAlign w:val="bottom"/>
            <w:gridSpan w:val="2"/>
          </w:tcPr>
          <w:p>
            <w:pPr>
              <w:jc w:val="center"/>
              <w:ind w:left="1713"/>
              <w:spacing w:after="0"/>
              <w:rPr>
                <w:sz w:val="20"/>
                <w:szCs w:val="20"/>
                <w:color w:val="auto"/>
              </w:rPr>
            </w:pPr>
            <w:r>
              <w:rPr>
                <w:rFonts w:ascii="Times New Roman" w:cs="Times New Roman" w:eastAsia="Times New Roman" w:hAnsi="Times New Roman"/>
                <w:sz w:val="18"/>
                <w:szCs w:val="18"/>
                <w:b w:val="1"/>
                <w:bCs w:val="1"/>
                <w:color w:val="auto"/>
                <w:w w:val="97"/>
              </w:rPr>
              <w:t>AMERICAN TOWER CORPORATION AND SUBSIDIARIES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1"/>
        </w:trPr>
        <w:tc>
          <w:tcPr>
            <w:tcW w:w="9460" w:type="dxa"/>
            <w:vAlign w:val="bottom"/>
            <w:gridSpan w:val="2"/>
          </w:tcPr>
          <w:p>
            <w:pPr>
              <w:jc w:val="center"/>
              <w:ind w:left="1713"/>
              <w:spacing w:after="0"/>
              <w:rPr>
                <w:sz w:val="20"/>
                <w:szCs w:val="20"/>
                <w:color w:val="auto"/>
              </w:rPr>
            </w:pPr>
            <w:r>
              <w:rPr>
                <w:rFonts w:ascii="Times New Roman" w:cs="Times New Roman" w:eastAsia="Times New Roman" w:hAnsi="Times New Roman"/>
                <w:sz w:val="18"/>
                <w:szCs w:val="18"/>
                <w:b w:val="1"/>
                <w:bCs w:val="1"/>
                <w:color w:val="auto"/>
                <w:w w:val="96"/>
              </w:rPr>
              <w:t>NOTES TO CONSOLIDATED AND CONDENSED CONSOLIDATED FINANCIAL STATEMENTS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9460" w:type="dxa"/>
            <w:vAlign w:val="bottom"/>
            <w:gridSpan w:val="2"/>
          </w:tcPr>
          <w:p>
            <w:pPr>
              <w:jc w:val="center"/>
              <w:ind w:left="1693"/>
              <w:spacing w:after="0"/>
              <w:rPr>
                <w:sz w:val="20"/>
                <w:szCs w:val="20"/>
                <w:color w:val="auto"/>
              </w:rPr>
            </w:pPr>
            <w:r>
              <w:rPr>
                <w:rFonts w:ascii="Times New Roman" w:cs="Times New Roman" w:eastAsia="Times New Roman" w:hAnsi="Times New Roman"/>
                <w:sz w:val="18"/>
                <w:szCs w:val="18"/>
                <w:b w:val="1"/>
                <w:bCs w:val="1"/>
                <w:color w:val="auto"/>
                <w:w w:val="97"/>
              </w:rPr>
              <w:t>(tabular amounts in millions, unless otherwise noted)</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27"/>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2026 were as follows: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4"/>
        </w:trPr>
        <w:tc>
          <w:tcPr>
            <w:tcW w:w="9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8"/>
                <w:szCs w:val="18"/>
                <w:color w:val="auto"/>
              </w:rPr>
            </w:pPr>
          </w:p>
        </w:tc>
        <w:tc>
          <w:tcPr>
            <w:tcW w:w="15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Operating Lease (1)</w:t>
            </w:r>
          </w:p>
        </w:tc>
      </w:tr>
      <w:tr>
        <w:trPr>
          <w:trHeight w:val="24"/>
        </w:trPr>
        <w:tc>
          <w:tcPr>
            <w:tcW w:w="9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37"/>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w:t>
            </w:r>
          </w:p>
        </w:tc>
      </w:tr>
      <w:tr>
        <w:trPr>
          <w:trHeight w:val="23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w:t>
            </w:r>
          </w:p>
        </w:tc>
      </w:tr>
      <w:tr>
        <w:trPr>
          <w:trHeight w:val="237"/>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r>
      <w:tr>
        <w:trPr>
          <w:trHeight w:val="23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r>
      <w:tr>
        <w:trPr>
          <w:trHeight w:val="237"/>
        </w:trPr>
        <w:tc>
          <w:tcPr>
            <w:tcW w:w="9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7,540.5</w:t>
            </w:r>
          </w:p>
        </w:tc>
      </w:tr>
      <w:tr>
        <w:trPr>
          <w:trHeight w:val="231"/>
        </w:trPr>
        <w:tc>
          <w:tcPr>
            <w:tcW w:w="9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11,778.5</w:t>
            </w:r>
          </w:p>
        </w:tc>
      </w:tr>
      <w:tr>
        <w:trPr>
          <w:trHeight w:val="237"/>
        </w:trPr>
        <w:tc>
          <w:tcPr>
            <w:tcW w:w="9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(4,063.0)</w:t>
            </w:r>
          </w:p>
        </w:tc>
      </w:tr>
      <w:tr>
        <w:trPr>
          <w:trHeight w:val="231"/>
        </w:trPr>
        <w:tc>
          <w:tcPr>
            <w:tcW w:w="9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7,715.5</w:t>
            </w:r>
          </w:p>
        </w:tc>
      </w:tr>
      <w:tr>
        <w:trPr>
          <w:trHeight w:val="237"/>
        </w:trPr>
        <w:tc>
          <w:tcPr>
            <w:tcW w:w="9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w:t>
            </w:r>
          </w:p>
        </w:tc>
      </w:tr>
      <w:tr>
        <w:trPr>
          <w:trHeight w:val="255"/>
        </w:trPr>
        <w:tc>
          <w:tcPr>
            <w:tcW w:w="9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are translated at the applicable period-end exchange rate, which may impact comparability between periods.</w:t>
      </w:r>
    </w:p>
    <w:p>
      <w:pPr>
        <w:spacing w:after="0" w:line="16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GOODWILL AND OTHER INTANGIBLE ASSETS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for each of the Company’s business segments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316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5"/>
        </w:trPr>
        <w:tc>
          <w:tcPr>
            <w:tcW w:w="3160" w:type="dxa"/>
            <w:vAlign w:val="bottom"/>
          </w:tcPr>
          <w:p>
            <w:pPr>
              <w:spacing w:after="0"/>
              <w:rPr>
                <w:sz w:val="24"/>
                <w:szCs w:val="24"/>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Africa &amp; APAC</w:t>
            </w:r>
          </w:p>
        </w:tc>
        <w:tc>
          <w:tcPr>
            <w:tcW w:w="180" w:type="dxa"/>
            <w:vAlign w:val="bottom"/>
          </w:tcPr>
          <w:p>
            <w:pPr>
              <w:spacing w:after="0"/>
              <w:rPr>
                <w:sz w:val="24"/>
                <w:szCs w:val="2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80" w:type="dxa"/>
            <w:vAlign w:val="bottom"/>
          </w:tcPr>
          <w:p>
            <w:pPr>
              <w:spacing w:after="0"/>
              <w:rPr>
                <w:sz w:val="24"/>
                <w:szCs w:val="2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24"/>
                <w:szCs w:val="24"/>
                <w:color w:val="auto"/>
              </w:rPr>
            </w:pPr>
          </w:p>
        </w:tc>
        <w:tc>
          <w:tcPr>
            <w:tcW w:w="9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2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12,255.5</w:t>
            </w:r>
          </w:p>
        </w:tc>
      </w:tr>
      <w:tr>
        <w:trPr>
          <w:trHeight w:val="23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(20.1)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5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2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intangible assets subject to amortization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6"/>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gridSpan w:val="6"/>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Estimated Useful</w:t>
            </w:r>
          </w:p>
        </w:tc>
        <w:tc>
          <w:tcPr>
            <w:tcW w:w="220" w:type="dxa"/>
            <w:vAlign w:val="bottom"/>
          </w:tcPr>
          <w:p>
            <w:pPr>
              <w:spacing w:after="0"/>
              <w:rPr>
                <w:sz w:val="12"/>
                <w:szCs w:val="12"/>
                <w:color w:val="auto"/>
              </w:rPr>
            </w:pPr>
          </w:p>
        </w:tc>
        <w:tc>
          <w:tcPr>
            <w:tcW w:w="900" w:type="dxa"/>
            <w:vAlign w:val="bottom"/>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Net Book</w:t>
            </w:r>
          </w:p>
        </w:tc>
        <w:tc>
          <w:tcPr>
            <w:tcW w:w="220" w:type="dxa"/>
            <w:vAlign w:val="bottom"/>
          </w:tcPr>
          <w:p>
            <w:pPr>
              <w:spacing w:after="0"/>
              <w:rPr>
                <w:sz w:val="12"/>
                <w:szCs w:val="12"/>
                <w:color w:val="auto"/>
              </w:rPr>
            </w:pPr>
          </w:p>
        </w:tc>
        <w:tc>
          <w:tcPr>
            <w:tcW w:w="920" w:type="dxa"/>
            <w:vAlign w:val="bottom"/>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98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5"/>
        </w:trPr>
        <w:tc>
          <w:tcPr>
            <w:tcW w:w="19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2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220" w:type="dxa"/>
            <w:vAlign w:val="bottom"/>
          </w:tcPr>
          <w:p>
            <w:pPr>
              <w:spacing w:after="0"/>
              <w:rPr>
                <w:sz w:val="16"/>
                <w:szCs w:val="16"/>
                <w:color w:val="auto"/>
              </w:rPr>
            </w:pPr>
          </w:p>
        </w:tc>
        <w:tc>
          <w:tcPr>
            <w:tcW w:w="90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20" w:type="dxa"/>
            <w:vAlign w:val="bottom"/>
          </w:tcPr>
          <w:p>
            <w:pPr>
              <w:spacing w:after="0"/>
              <w:rPr>
                <w:sz w:val="16"/>
                <w:szCs w:val="16"/>
                <w:color w:val="auto"/>
              </w:rPr>
            </w:pPr>
          </w:p>
        </w:tc>
        <w:tc>
          <w:tcPr>
            <w:tcW w:w="9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8"/>
        </w:trPr>
        <w:tc>
          <w:tcPr>
            <w:tcW w:w="1920" w:type="dxa"/>
            <w:vAlign w:val="bottom"/>
            <w:tcBorders>
              <w:top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w w:val="97"/>
              </w:rPr>
              <w:t>Acquired network location</w:t>
            </w:r>
          </w:p>
        </w:tc>
        <w:tc>
          <w:tcPr>
            <w:tcW w:w="1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(1)</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Up to 30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5,470.3</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0" w:type="dxa"/>
            <w:vAlign w:val="bottom"/>
          </w:tcPr>
          <w:p>
            <w:pPr>
              <w:spacing w:after="0"/>
              <w:rPr>
                <w:sz w:val="1"/>
                <w:szCs w:val="1"/>
                <w:color w:val="auto"/>
              </w:rPr>
            </w:pPr>
          </w:p>
        </w:tc>
      </w:tr>
      <w:tr>
        <w:trPr>
          <w:trHeight w:val="192"/>
        </w:trPr>
        <w:tc>
          <w:tcPr>
            <w:tcW w:w="192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Acquired tenant-related</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Up to 30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18,455.5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11,027.5</w:t>
            </w:r>
          </w:p>
        </w:tc>
        <w:tc>
          <w:tcPr>
            <w:tcW w:w="0" w:type="dxa"/>
            <w:vAlign w:val="bottom"/>
          </w:tcPr>
          <w:p>
            <w:pPr>
              <w:spacing w:after="0"/>
              <w:rPr>
                <w:sz w:val="1"/>
                <w:szCs w:val="1"/>
                <w:color w:val="auto"/>
              </w:rPr>
            </w:pPr>
          </w:p>
        </w:tc>
      </w:tr>
      <w:tr>
        <w:trPr>
          <w:trHeight w:val="193"/>
        </w:trPr>
        <w:tc>
          <w:tcPr>
            <w:tcW w:w="192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Acquired licenses and</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0" w:type="dxa"/>
            <w:vAlign w:val="bottom"/>
          </w:tcPr>
          <w:p>
            <w:pPr>
              <w:spacing w:after="0"/>
              <w:rPr>
                <w:sz w:val="1"/>
                <w:szCs w:val="1"/>
                <w:color w:val="auto"/>
              </w:rPr>
            </w:pPr>
          </w:p>
        </w:tc>
      </w:tr>
      <w:tr>
        <w:trPr>
          <w:trHeight w:val="172"/>
        </w:trPr>
        <w:tc>
          <w:tcPr>
            <w:tcW w:w="19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Total other intangible</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25,227.7</w:t>
            </w:r>
          </w:p>
        </w:tc>
        <w:tc>
          <w:tcPr>
            <w:tcW w:w="3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(11,515.1)</w:t>
            </w:r>
          </w:p>
        </w:tc>
        <w:tc>
          <w:tcPr>
            <w:tcW w:w="100" w:type="dxa"/>
            <w:vAlign w:val="bottom"/>
          </w:tcPr>
          <w:p>
            <w:pPr>
              <w:spacing w:after="0"/>
              <w:rPr>
                <w:sz w:val="14"/>
                <w:szCs w:val="14"/>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13,712.6</w:t>
            </w:r>
          </w:p>
        </w:tc>
        <w:tc>
          <w:tcPr>
            <w:tcW w:w="100" w:type="dxa"/>
            <w:vAlign w:val="bottom"/>
          </w:tcPr>
          <w:p>
            <w:pPr>
              <w:spacing w:after="0"/>
              <w:rPr>
                <w:sz w:val="14"/>
                <w:szCs w:val="14"/>
                <w:color w:val="auto"/>
              </w:rPr>
            </w:pPr>
          </w:p>
        </w:tc>
        <w:tc>
          <w:tcPr>
            <w:tcW w:w="2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25,480.9</w:t>
            </w:r>
          </w:p>
        </w:tc>
        <w:tc>
          <w:tcPr>
            <w:tcW w:w="3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(10,950.2)</w:t>
            </w:r>
          </w:p>
        </w:tc>
        <w:tc>
          <w:tcPr>
            <w:tcW w:w="100" w:type="dxa"/>
            <w:vAlign w:val="bottom"/>
          </w:tcPr>
          <w:p>
            <w:pPr>
              <w:spacing w:after="0"/>
              <w:rPr>
                <w:sz w:val="14"/>
                <w:szCs w:val="14"/>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14,530.7</w:t>
            </w:r>
          </w:p>
        </w:tc>
        <w:tc>
          <w:tcPr>
            <w:tcW w:w="0" w:type="dxa"/>
            <w:vAlign w:val="bottom"/>
          </w:tcPr>
          <w:p>
            <w:pPr>
              <w:spacing w:after="0"/>
              <w:rPr>
                <w:sz w:val="1"/>
                <w:szCs w:val="1"/>
                <w:color w:val="auto"/>
              </w:rPr>
            </w:pPr>
          </w:p>
        </w:tc>
      </w:tr>
      <w:tr>
        <w:trPr>
          <w:trHeight w:val="203"/>
        </w:trPr>
        <w:tc>
          <w:tcPr>
            <w:tcW w:w="1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assets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2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right="60" w:hanging="315"/>
        <w:spacing w:after="0" w:line="246" w:lineRule="auto"/>
        <w:tabs>
          <w:tab w:leader="none" w:pos="3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network location intangibles are amortized over the remaining estimated useful life of the tower, taking into account residual value, generally up to 30 years, as the Company considers these intangibles to be directly related to the tower assets.</w:t>
      </w:r>
    </w:p>
    <w:p>
      <w:pPr>
        <w:spacing w:after="0" w:line="13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The acquired network location intangibles represent the value to the Company of the incremental revenue growth that could potentially be obtained from leasing the excess capacity on acquired tower communications infrastructure. The acquired tenant-related intangibles typically represent the value to the Company of tenant contracts and relationships in place at the time of an acquisition or similar transaction, including assumptions regarding estimated renewals. Other intangibles represent the value of acquired licenses, trade name and in place leases. In place lease value represents the fair value of costs avoided in securing data center customers, including vacancy periods, legal costs and commissions. In place lease value also includes assumptions on similar costs avoided upon the renewal or extension of existing leases on a basis consistent with occupancy assumptions used in the fair value of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8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Company amortizes its acquired intangible assets on a straight-line basis over their estimated useful lives. As of September 30, 2026, the remaining weighted average amortization period of the Company’s intangible assets was 19 years. Amortization of intangible assets for the three and nine months ended September 30, 2026 was $215.2 million and $647.5 million, respectively. Amortization of intangible assets for the three and nine months ended September 30, 2025 was $226.2 million and $659.2 million, respectively. Based on current exchange rates, the Company expects to record amortization expense as follows over the remainder of the current year and the five subsequent years: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
        </w:trPr>
        <w:tc>
          <w:tcPr>
            <w:tcW w:w="7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r>
      <w:tr>
        <w:trPr>
          <w:trHeight w:val="23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w:t>
            </w:r>
          </w:p>
        </w:tc>
      </w:tr>
      <w:tr>
        <w:trPr>
          <w:trHeight w:val="672"/>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4"/>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18"/>
                <w:szCs w:val="18"/>
                <w:color w:val="auto"/>
              </w:rPr>
            </w:pPr>
          </w:p>
        </w:tc>
      </w:tr>
      <w:tr>
        <w:trPr>
          <w:trHeight w:val="24"/>
        </w:trPr>
        <w:tc>
          <w:tcPr>
            <w:tcW w:w="7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0"/>
        </w:trPr>
        <w:tc>
          <w:tcPr>
            <w:tcW w:w="7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15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tax payable</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pass-through costs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payable for acquisitions (1)</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tenants</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real estate taxes</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rent</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related withholdings</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1,112.5</w:t>
            </w: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right="480" w:hanging="315"/>
        <w:spacing w:after="0" w:line="264" w:lineRule="auto"/>
        <w:tabs>
          <w:tab w:leader="none" w:pos="31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and December 31, 2025 includes $107.0 million and $106.9 million of deferred payments, respectively, including post-closing adjustments, associated with the Company’s 2021 acquisition of the European and Latin American tower divisions from Telxius Telecom, S.A. due in 2026.</w:t>
      </w:r>
    </w:p>
    <w:p>
      <w:pPr>
        <w:spacing w:after="0" w:line="1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LONG-TERM OBLIGATIONS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amounts under the Company’s long-term obligations, reflecting discounts, premiums and debt issuance costs,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80"/>
        </w:trPr>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Multicurrency Credit Facility (1)</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 2029</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Term Loan (1)</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 2029</w:t>
            </w: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Credit Facility (1)</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 2031</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4.400% senior notes (2)</w:t>
            </w:r>
          </w:p>
        </w:tc>
        <w:tc>
          <w:tcPr>
            <w:tcW w:w="20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1.600% senior notes (3)</w:t>
            </w:r>
          </w:p>
        </w:tc>
        <w:tc>
          <w:tcPr>
            <w:tcW w:w="2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1.950% senior notes (4)</w:t>
            </w:r>
          </w:p>
        </w:tc>
        <w:tc>
          <w:tcPr>
            <w:tcW w:w="20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1.450% senior notes (5)</w:t>
            </w:r>
          </w:p>
        </w:tc>
        <w:tc>
          <w:tcPr>
            <w:tcW w:w="2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3.375% senior notes (6) (7)</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2026</w:t>
            </w: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 senior notes (7)</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15, 2027</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2.750% senior notes (7)</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15, 2027</w:t>
            </w: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0.450% senior notes (7) (8)</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15, 2027</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0.400% senior notes (7) (8)</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15, 2027</w:t>
            </w: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3.650% senior notes (7)</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15, 2027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4.125% senior notes (7) (8) (9)</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16, 2027</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3.55% senior notes (7)</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15, 2027</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15, 2028</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0.500% senior notes (8)</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15, 2028</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31, 2028</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15, 2028</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5.250%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15, 2028</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5.800%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15, 2028</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5.200%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15, 2029</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3.950%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15, 2029</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0.875% senior notes (8)</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21, 2029</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3.800%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August 15, 2029</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2.900%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15, 2030</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31, 2030</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4.900%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 2030</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3.900% senior notes (8)</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16, 2030</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2.100%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2030</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0.950% senior notes (8)</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5, 2030</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1.875%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2030</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15, 2031</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4.625% senior notes (8)</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16, 2031</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2.300%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15, 2031</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5.300%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15, 2031</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 senior notes (8)</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15, 2032</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4.050%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 2032</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3.625% senior notes (8)</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30, 2032</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15, 2032</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5.650%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15, 2033</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1.250% senior notes (8)</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21, 2033</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5.550%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15, 2033</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4.000% senior notes (8)</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 2033</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5.560%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15, 2033</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5.900%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15, 2033</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5.450%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15, 2034</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4.100% senior notes (8)</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16, 2034</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5.400%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31, 2035</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5.350%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 2035</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5.750%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15, 2036</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3.700% senior notes</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2049</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3.100% senior notes</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15, 2050</w:t>
            </w:r>
          </w:p>
        </w:tc>
      </w:tr>
      <w:tr>
        <w:trPr>
          <w:trHeight w:val="23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2.950% senior notes</w:t>
            </w: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January 15, 2051</w:t>
            </w:r>
          </w:p>
        </w:tc>
      </w:tr>
      <w:tr>
        <w:trPr>
          <w:trHeight w:val="256"/>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American Tower Corporation debt</w:t>
            </w:r>
          </w:p>
        </w:tc>
        <w:tc>
          <w:tcPr>
            <w:tcW w:w="6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35,768.3</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35,409.2</w:t>
            </w:r>
          </w:p>
        </w:tc>
        <w:tc>
          <w:tcPr>
            <w:tcW w:w="2100" w:type="dxa"/>
            <w:vAlign w:val="bottom"/>
            <w:tcBorders>
              <w:bottom w:val="single" w:sz="8" w:color="CCEEFF"/>
            </w:tcBorders>
            <w:shd w:val="clear" w:color="auto" w:fill="CCEEFF"/>
          </w:tcPr>
          <w:p>
            <w:pPr>
              <w:spacing w:after="0"/>
              <w:rPr>
                <w:sz w:val="21"/>
                <w:szCs w:val="2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r>
        <w:trPr>
          <w:trHeight w:val="39"/>
        </w:trPr>
        <w:tc>
          <w:tcPr>
            <w:tcW w:w="5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2018-1A securities (10)</w:t>
            </w: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15, 2028</w:t>
            </w:r>
          </w:p>
        </w:tc>
      </w:tr>
      <w:tr>
        <w:trPr>
          <w:trHeight w:val="23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2023-1A securities (11)</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 2028</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subsidiary debt (12)</w:t>
            </w:r>
          </w:p>
        </w:tc>
        <w:tc>
          <w:tcPr>
            <w:tcW w:w="6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Various</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American Tower subsidiary debt</w:t>
            </w: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2100" w:type="dxa"/>
            <w:vAlign w:val="bottom"/>
            <w:tcBorders>
              <w:bottom w:val="single" w:sz="8" w:color="CCEEFF"/>
            </w:tcBorders>
          </w:tcPr>
          <w:p>
            <w:pPr>
              <w:spacing w:after="0"/>
              <w:rPr>
                <w:sz w:val="20"/>
                <w:szCs w:val="20"/>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6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100" w:type="dxa"/>
            <w:vAlign w:val="bottom"/>
            <w:shd w:val="clear" w:color="auto" w:fill="CCEEFF"/>
          </w:tcPr>
          <w:p>
            <w:pPr>
              <w:spacing w:after="0"/>
              <w:rPr>
                <w:sz w:val="20"/>
                <w:szCs w:val="20"/>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37,578.7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37,220.3</w:t>
            </w:r>
          </w:p>
        </w:tc>
        <w:tc>
          <w:tcPr>
            <w:tcW w:w="2100" w:type="dxa"/>
            <w:vAlign w:val="bottom"/>
          </w:tcPr>
          <w:p>
            <w:pPr>
              <w:spacing w:after="0"/>
              <w:rPr>
                <w:sz w:val="20"/>
                <w:szCs w:val="20"/>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obligations</w:t>
            </w:r>
          </w:p>
        </w:tc>
        <w:tc>
          <w:tcPr>
            <w:tcW w:w="6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(5,363.5)</w:t>
            </w:r>
          </w:p>
        </w:tc>
        <w:tc>
          <w:tcPr>
            <w:tcW w:w="8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(3,387.8)</w:t>
            </w:r>
          </w:p>
        </w:tc>
        <w:tc>
          <w:tcPr>
            <w:tcW w:w="2100" w:type="dxa"/>
            <w:vAlign w:val="bottom"/>
            <w:shd w:val="clear" w:color="auto" w:fill="CCEEFF"/>
          </w:tcPr>
          <w:p>
            <w:pPr>
              <w:spacing w:after="0"/>
              <w:rPr>
                <w:sz w:val="20"/>
                <w:szCs w:val="20"/>
                <w:color w:val="auto"/>
              </w:rPr>
            </w:pPr>
          </w:p>
        </w:tc>
      </w:tr>
      <w:tr>
        <w:trPr>
          <w:trHeight w:val="231"/>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obligations</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32,215.2</w:t>
            </w: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33,832.5</w:t>
            </w:r>
          </w:p>
        </w:tc>
        <w:tc>
          <w:tcPr>
            <w:tcW w:w="210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Accrues interest at a variable rate.</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February 13, 2026 using borrowings under the 2021 Credit Facility (as defined below) and cash on hand.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5" w:name="page16"/>
    <w:bookmarkEnd w:id="15"/>
    <w:p>
      <w:pPr>
        <w:jc w:val="center"/>
        <w:ind w:left="360" w:right="178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79"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April 14, 2026 using borrowings under the 2021 Credit Facility and cash on hand.</w:t>
      </w:r>
    </w:p>
    <w:p>
      <w:pPr>
        <w:spacing w:after="0" w:line="2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May 21, 2026 using borrowings under the 2021 Multicurrency Credit Facility.</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September 14, 2026 using proceeds from the issuance of the 5.300% Notes, the 5.560% Notes and the 5.750% Notes (each as defined below).</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in full on October 14, 2026 using borrowings under the 2021 Credit Facility and cash on hand.</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Current portion of long-term obligations.</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are denominated in Euro (“EUR”).</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Partially redeemed on June 18, 2026 using proceeds from the issuance of the 4.000% Notes (as defined below).</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 reflects the anticipated repayment date; final legal maturity is March 15, 2048.</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 reflects the anticipated repayment date; final legal maturity is March 15, 2053.</w:t>
      </w:r>
    </w:p>
    <w:p>
      <w:pPr>
        <w:spacing w:after="0" w:line="6" w:lineRule="exact"/>
        <w:rPr>
          <w:rFonts w:ascii="Times New Roman" w:cs="Times New Roman" w:eastAsia="Times New Roman" w:hAnsi="Times New Roman"/>
          <w:sz w:val="14"/>
          <w:szCs w:val="14"/>
          <w:color w:val="auto"/>
        </w:rPr>
      </w:pPr>
    </w:p>
    <w:p>
      <w:pPr>
        <w:ind w:left="320" w:right="160" w:hanging="315"/>
        <w:spacing w:after="0" w:line="260" w:lineRule="auto"/>
        <w:tabs>
          <w:tab w:leader="none" w:pos="31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includes debt entered into by the Company’s Data Centers business in connection with an acquisition of a multi-tenant data facility in Denver, Colorado, which is denominated in U.S. Dollars and is payable in monthly installments through March 31, 2028. As of December 31, 2025 also included borrowings under an unsecured term loan in Bangladesh, which was denominated in Bangladeshi Taka (the “Bangladesh Term Loan”). The Bangladesh Term Loan was assumed by the buyer in the sale of the Company’s noncontrolling interest in KTBL.</w:t>
      </w:r>
    </w:p>
    <w:p>
      <w:pPr>
        <w:spacing w:after="0" w:line="10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Securitized Debt—</w:t>
      </w:r>
      <w:r>
        <w:rPr>
          <w:rFonts w:ascii="Times New Roman" w:cs="Times New Roman" w:eastAsia="Times New Roman" w:hAnsi="Times New Roman"/>
          <w:sz w:val="18"/>
          <w:szCs w:val="18"/>
          <w:color w:val="auto"/>
        </w:rPr>
        <w:t>Cash flows generated by the communications sites that secure the securitized debt of the Company are only available for payment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and related costs and are not available to pay the Company’s other obligations or the claims of its creditors. However, subject to certain restrictions, the Company holds the right to receive the excess cash flows not needed to service the securitized debt and other obligations arising out of the securitizations. The securitized debt is the obligation of the issuers thereof or borrowers thereunder, as applicable, and their subsidiaries, and not of the Company or its other subsidiaries.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Repayments of Senior Notes</w:t>
      </w:r>
    </w:p>
    <w:p>
      <w:pPr>
        <w:spacing w:after="0" w:line="13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4.400% Senior Notes</w:t>
      </w:r>
      <w:r>
        <w:rPr>
          <w:rFonts w:ascii="Times New Roman" w:cs="Times New Roman" w:eastAsia="Times New Roman" w:hAnsi="Times New Roman"/>
          <w:sz w:val="18"/>
          <w:szCs w:val="18"/>
          <w:color w:val="auto"/>
        </w:rPr>
        <w:t>—On February 13, 2026, the Company repaid $500.0 million aggregate principal amount of the Company’s 4.400%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notes due 2026 (the “4.400% Notes”) upon their maturity. The 4.400% Notes were repaid using borrowings under the 2021 Credit Facility and cash on hand. Upon completion of the repayment, none of the 4.400% Notes remained outstanding.</w:t>
      </w:r>
    </w:p>
    <w:p>
      <w:pPr>
        <w:spacing w:after="0" w:line="9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i w:val="1"/>
          <w:iCs w:val="1"/>
          <w:color w:val="auto"/>
        </w:rPr>
        <w:t>Repayment of 1.600% Senior Notes—</w:t>
      </w:r>
      <w:r>
        <w:rPr>
          <w:rFonts w:ascii="Times New Roman" w:cs="Times New Roman" w:eastAsia="Times New Roman" w:hAnsi="Times New Roman"/>
          <w:sz w:val="18"/>
          <w:szCs w:val="18"/>
          <w:color w:val="auto"/>
        </w:rPr>
        <w:t>On April 14, 2026, the Company repaid $700.0 million aggregate principal amount of the Company’s 1.600%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notes due 2026 (the “1.600% Notes”) upon their maturity. The 1.600% Notes were repaid using borrowings under the 2021 Credit Facility and cash on hand. Upon completion of the repayment, none of the 1.600% Notes remained outstanding.</w:t>
      </w:r>
    </w:p>
    <w:p>
      <w:pPr>
        <w:spacing w:after="0" w:line="9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i w:val="1"/>
          <w:iCs w:val="1"/>
          <w:color w:val="auto"/>
        </w:rPr>
        <w:t>Repayment of 1.950% Senior Notes</w:t>
      </w:r>
      <w:r>
        <w:rPr>
          <w:rFonts w:ascii="Times New Roman" w:cs="Times New Roman" w:eastAsia="Times New Roman" w:hAnsi="Times New Roman"/>
          <w:sz w:val="18"/>
          <w:szCs w:val="18"/>
          <w:color w:val="auto"/>
        </w:rPr>
        <w:t>—On May 21, 2026, the Company repaid 500.0 million EUR aggregate principal amount of the Company’s 1.950%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notes due 2026 (the “1.950% Notes”) upon their maturity. The 1.950% Notes were repaid using borrowings under the 2021 Multicurrency Credit Facility. Upon completion of the repayment, none of the 1.950% Notes remained outstanding.</w:t>
      </w:r>
    </w:p>
    <w:p>
      <w:pPr>
        <w:spacing w:after="0" w:line="112"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8"/>
          <w:szCs w:val="18"/>
          <w:i w:val="1"/>
          <w:iCs w:val="1"/>
          <w:color w:val="auto"/>
        </w:rPr>
        <w:t>Partial Redemption of 4.125% Senior Notes</w:t>
      </w:r>
      <w:r>
        <w:rPr>
          <w:rFonts w:ascii="Times New Roman" w:cs="Times New Roman" w:eastAsia="Times New Roman" w:hAnsi="Times New Roman"/>
          <w:sz w:val="18"/>
          <w:szCs w:val="18"/>
          <w:color w:val="auto"/>
        </w:rPr>
        <w:t>—On June 18, 2026, the Company redeemed 250.0 million EUR of its 4.125% senior unsecured notes due 2027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“4.125% Notes”) at a price equal to 100.969%, plus accrued and unpaid interest up to, but excluding June 18, 2026, for an aggregate redemption price of approximately 253.3 million EUR (approximately $290.2 million as of the repayment date), including 0.9 million EUR (approximately $1.0 million as of the repayment date) in accrued and unpaid interest. The Company recorded a loss on retirement of long-term obligations of approximately $3.2 million, which included prepayment consideration of $2.8 million and the associated unamortized discount and deferred financing costs. The redemption was funded with proceeds from the issuance of the 4.000% Notes. Upon completion of this partial redemption, 350.0 million EUR aggregate principal amount of the 4.125% Notes remained outstanding.</w:t>
      </w:r>
    </w:p>
    <w:p>
      <w:pPr>
        <w:spacing w:after="0" w:line="114"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8"/>
          <w:szCs w:val="18"/>
          <w:i w:val="1"/>
          <w:iCs w:val="1"/>
          <w:color w:val="auto"/>
        </w:rPr>
        <w:t>Repayment of 1.450% Senior Notes</w:t>
      </w:r>
      <w:r>
        <w:rPr>
          <w:rFonts w:ascii="Times New Roman" w:cs="Times New Roman" w:eastAsia="Times New Roman" w:hAnsi="Times New Roman"/>
          <w:sz w:val="18"/>
          <w:szCs w:val="18"/>
          <w:color w:val="auto"/>
        </w:rPr>
        <w:t>—On September 14, 2026, the Company repaid $600.0 million aggregate principal amount of the Company’s 1.450%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unsecured notes due 2026 (the “1.450% Notes”) upon their maturity. The 1.450% Notes were repaid using proceeds from the issuance of the 5.300% Notes, the 5.560% Notes and the 5.750% Notes. Upon completion of the repayment, none of the 1.450% Notes remained outstanding.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Offerings of Senior Notes</w:t>
      </w:r>
    </w:p>
    <w:p>
      <w:pPr>
        <w:spacing w:after="0" w:line="14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4.000% Senior Notes Offering—</w:t>
      </w:r>
      <w:r>
        <w:rPr>
          <w:rFonts w:ascii="Times New Roman" w:cs="Times New Roman" w:eastAsia="Times New Roman" w:hAnsi="Times New Roman"/>
          <w:sz w:val="18"/>
          <w:szCs w:val="18"/>
          <w:color w:val="auto"/>
        </w:rPr>
        <w:t>On May 27, 2026, the Company completed a registered public offering of 750.0 million EUR (approximately $872.0 million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issuance) aggregate principal amount of 4.000% senior unsecured notes due 2033 (the “4.000% Notes”). The net proceeds from this offering were approximately 742.7 million EUR (approximately $863.5 million at the date of issuance), after deducting commissions and estimated expenses. The Company used the net proceeds to repay existing indebtedness under the 2021 Multicurrency Credit Facility and to partially redeem the 4.125% Notes (as discussed above).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6" w:name="page17"/>
    <w:bookmarkEnd w:id="16"/>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2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i w:val="1"/>
          <w:iCs w:val="1"/>
          <w:color w:val="auto"/>
        </w:rPr>
        <w:t>5.300% Senior Notes, 5.560% Senior Notes and 5.750% Senior Notes Offering—</w:t>
      </w:r>
      <w:r>
        <w:rPr>
          <w:rFonts w:ascii="Times New Roman" w:cs="Times New Roman" w:eastAsia="Times New Roman" w:hAnsi="Times New Roman"/>
          <w:sz w:val="18"/>
          <w:szCs w:val="18"/>
          <w:color w:val="auto"/>
        </w:rPr>
        <w:t>On September 14, 2026, the Company completed a registered public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$500.0 million aggregate principal amount of 5.300% senior unsecured notes due 2031 (the “5.300% Notes”), $500.0 million aggregate principal amount of 5.560% senior unsecured notes due 2033 (the “5.560% Notes”) and $600.0 million aggregate principal amount of 5.750% senior unsecured notes due 2036 (the “5.750% Notes” and, collectively with the 4.000% Notes, the 5.300% Notes and the 5.560% Notes, the “Notes”). The net proceeds from this offering were approximately $1.6 billion, after deducting commissions and estimated expenses. The Company used the net proceeds to repay the 1.450% Notes, to repay existing indebtedness under the 2021 Multicurrency Credit Facility and for general corporate purposes.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terms of the Notes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 Date and</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138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Interest Payments Due</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Amount (in</w:t>
            </w:r>
          </w:p>
        </w:tc>
        <w:tc>
          <w:tcPr>
            <w:tcW w:w="138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Interest Accrual</w:t>
            </w:r>
          </w:p>
        </w:tc>
        <w:tc>
          <w:tcPr>
            <w:tcW w:w="13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0" w:type="dxa"/>
            <w:vAlign w:val="bottom"/>
            <w:vMerge w:val="restart"/>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First Interest Payment</w:t>
            </w:r>
          </w:p>
        </w:tc>
        <w:tc>
          <w:tcPr>
            <w:tcW w:w="10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3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Par Call Date (2)</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4.000%</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100" w:type="dxa"/>
            <w:vAlign w:val="bottom"/>
            <w:shd w:val="clear" w:color="auto" w:fill="CCEEFF"/>
          </w:tcPr>
          <w:p>
            <w:pPr>
              <w:spacing w:after="0"/>
              <w:rPr>
                <w:sz w:val="24"/>
                <w:szCs w:val="24"/>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27, 2026</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4"/>
                <w:szCs w:val="24"/>
                <w:color w:val="auto"/>
              </w:rPr>
            </w:pPr>
          </w:p>
        </w:tc>
        <w:tc>
          <w:tcPr>
            <w:tcW w:w="1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1, 2026</w:t>
            </w:r>
          </w:p>
        </w:tc>
        <w:tc>
          <w:tcPr>
            <w:tcW w:w="1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1</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 2033</w:t>
            </w:r>
          </w:p>
        </w:tc>
        <w:tc>
          <w:tcPr>
            <w:tcW w:w="0" w:type="dxa"/>
            <w:vAlign w:val="bottom"/>
          </w:tcPr>
          <w:p>
            <w:pPr>
              <w:spacing w:after="0"/>
              <w:rPr>
                <w:sz w:val="1"/>
                <w:szCs w:val="1"/>
                <w:color w:val="auto"/>
              </w:rPr>
            </w:pPr>
          </w:p>
        </w:tc>
      </w:tr>
      <w:tr>
        <w:trPr>
          <w:trHeight w:val="198"/>
        </w:trPr>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2033</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14,</w:t>
            </w:r>
          </w:p>
        </w:tc>
        <w:tc>
          <w:tcPr>
            <w:tcW w:w="13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March 15 and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5.300%</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15, 2027</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15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15, 2031</w:t>
            </w:r>
          </w:p>
        </w:tc>
        <w:tc>
          <w:tcPr>
            <w:tcW w:w="0" w:type="dxa"/>
            <w:vAlign w:val="bottom"/>
          </w:tcPr>
          <w:p>
            <w:pPr>
              <w:spacing w:after="0"/>
              <w:rPr>
                <w:sz w:val="1"/>
                <w:szCs w:val="1"/>
                <w:color w:val="auto"/>
              </w:rPr>
            </w:pPr>
          </w:p>
        </w:tc>
      </w:tr>
      <w:tr>
        <w:trPr>
          <w:trHeight w:val="193"/>
        </w:trPr>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14,</w:t>
            </w:r>
          </w:p>
        </w:tc>
        <w:tc>
          <w:tcPr>
            <w:tcW w:w="1380" w:type="dxa"/>
            <w:vAlign w:val="bottom"/>
            <w:gridSpan w:val="2"/>
            <w:shd w:val="clear" w:color="auto" w:fill="CCEEFF"/>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15,</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March 15 and</w:t>
            </w: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5.560%</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15, 2027</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15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15, 2033</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14,</w:t>
            </w:r>
          </w:p>
        </w:tc>
        <w:tc>
          <w:tcPr>
            <w:tcW w:w="13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March 15 and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5.750%</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15, 2027</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15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2036</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w:t>
      </w:r>
    </w:p>
    <w:p>
      <w:pPr>
        <w:spacing w:after="0" w:line="11" w:lineRule="exact"/>
        <w:rPr>
          <w:sz w:val="20"/>
          <w:szCs w:val="20"/>
          <w:color w:val="auto"/>
        </w:rPr>
      </w:pPr>
    </w:p>
    <w:p>
      <w:pPr>
        <w:ind w:left="320" w:right="160" w:hanging="315"/>
        <w:spacing w:after="0" w:line="247" w:lineRule="auto"/>
        <w:tabs>
          <w:tab w:leader="none" w:pos="3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and unpaid interest on U.S. Dollar (“USD”) denominated notes is payable in USD semi-annually in arrears and will be computed from the issue date on the basis of a 360-day year comprised of twelve 30-day months. Interest on EUR denominated notes is payable in EUR annually in arrears and will be computed on the basis of the actual number of days in the period for which interest is being calculated and the actual number of days from and including the last date on which interest was paid on the notes, beginning on the issue date.</w:t>
      </w:r>
    </w:p>
    <w:p>
      <w:pPr>
        <w:ind w:left="320" w:right="440" w:hanging="315"/>
        <w:spacing w:after="0" w:line="255" w:lineRule="auto"/>
        <w:tabs>
          <w:tab w:leader="none" w:pos="3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redeem the Notes at any time, in whole or in part, at a redemption price equal to 100% of the principal amount of the Notes plus a make-whole premium, together with accrued interest to the redemption date. If the Company redeems the Notes on or after the par call date, the Company will not be required to pay a make-whole premium.</w:t>
      </w:r>
    </w:p>
    <w:p>
      <w:pPr>
        <w:ind w:left="320" w:hanging="315"/>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4.000% Notes are denominated in EUR; dollar amounts represent the aggregate principal amount at the issuance date.</w:t>
      </w:r>
    </w:p>
    <w:p>
      <w:pPr>
        <w:spacing w:after="0" w:line="13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If the Company undergoes a change of control and corresponding ratings decline, each as defined in the supplemental indenture for the Notes, the Company may be required to repurchase all of the Notes at a purchase price equal to 101% of the aggregate principal amount of the Notes repurchased, plus accrued and unpaid interest (including additional interest, if any), up to but not including the repurchase date. The Notes rank equally in right of payment with all of the Company’s other senior unsecured debt obligations and are structurally subordinated to all existing and future indebtedness and other obligations of its subsidiaries.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Each applicable supplemental indenture contains certain covenants that restrict the Company’s ability to merge, consolidate or sell assets and its (together with its subsidiaries’) ability to incur liens. These covenants are subject to a number of exceptions, including that the Company and its subsidiaries may incur certain liens on assets, mortgages or other liens securing indebtedness if the aggregate amount of indebtedness secured by such liens does not exceed 3.5x Adjusted EBITDA, as defined in the applicable supplemental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Facilities</w:t>
      </w:r>
    </w:p>
    <w:p>
      <w:pPr>
        <w:spacing w:after="0" w:line="14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i w:val="1"/>
          <w:iCs w:val="1"/>
          <w:color w:val="auto"/>
        </w:rPr>
        <w:t>Amendments to Bank Facilities—</w:t>
      </w:r>
      <w:r>
        <w:rPr>
          <w:rFonts w:ascii="Times New Roman" w:cs="Times New Roman" w:eastAsia="Times New Roman" w:hAnsi="Times New Roman"/>
          <w:sz w:val="18"/>
          <w:szCs w:val="18"/>
          <w:color w:val="auto"/>
        </w:rPr>
        <w:t>On May 7, 2026, the Company amended its (i) $6.0 billion senior unsecured multicurrency revolving credit facility,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on December 8, 2021, as further amended, (the “2021 Multicurrency Credit Facility”), (ii) $4.0 billion senior unsecured revolving credit facility, as amended and restated on December 8, 2021, as further amended, (the “2021 Credit Facility”) and (iii) $1.0 billion unsecured term loan, as amended and restated on December 8, 2021, as further amended (the “2021 Term Loan” collectively with the 2021 Multicurrency Credit Facility and the 2021 Credit Facility, the “Loans”).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amendments, among other things,</w:t>
      </w:r>
    </w:p>
    <w:p>
      <w:pPr>
        <w:spacing w:after="0" w:line="136" w:lineRule="exact"/>
        <w:rPr>
          <w:sz w:val="20"/>
          <w:szCs w:val="20"/>
          <w:color w:val="auto"/>
        </w:rPr>
      </w:pPr>
    </w:p>
    <w:p>
      <w:pPr>
        <w:ind w:left="640" w:right="280" w:hanging="318"/>
        <w:spacing w:after="0" w:line="269" w:lineRule="auto"/>
        <w:tabs>
          <w:tab w:leader="none" w:pos="6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dates of the 2021 Multicurrency Credit Facility, the 2021 Credit Facility and the 2021 Term Loan to May 1, 2029, May 1, 2031 and May 1, 2029, respectively;</w:t>
      </w:r>
    </w:p>
    <w:p>
      <w:pPr>
        <w:spacing w:after="0" w:line="102" w:lineRule="exact"/>
        <w:rPr>
          <w:rFonts w:ascii="Times New Roman" w:cs="Times New Roman" w:eastAsia="Times New Roman" w:hAnsi="Times New Roman"/>
          <w:sz w:val="18"/>
          <w:szCs w:val="18"/>
          <w:color w:val="auto"/>
        </w:rPr>
      </w:pPr>
    </w:p>
    <w:p>
      <w:pPr>
        <w:ind w:left="640" w:right="40" w:hanging="318"/>
        <w:spacing w:after="0" w:line="269"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limited conditionality provisions in the 2021 Multicurrency Credit Facility, permitting the Company to borrow up to $5.0 billion in connection with certain acquisitions subject to such limited conditionality provisions;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28" w:lineRule="exact"/>
        <w:rPr>
          <w:sz w:val="20"/>
          <w:szCs w:val="20"/>
          <w:color w:val="auto"/>
        </w:rPr>
      </w:pPr>
    </w:p>
    <w:p>
      <w:pPr>
        <w:ind w:left="640" w:right="1100" w:hanging="318"/>
        <w:spacing w:after="0" w:line="269" w:lineRule="auto"/>
        <w:tabs>
          <w:tab w:leader="none" w:pos="6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swingline sublimit under each of the 2021 Multicurrency Credit Facility and the 2021 Credit Facility from $50.0 million to $100.0 million;</w:t>
      </w:r>
    </w:p>
    <w:p>
      <w:pPr>
        <w:spacing w:after="0" w:line="89" w:lineRule="exact"/>
        <w:rPr>
          <w:rFonts w:ascii="Times New Roman" w:cs="Times New Roman" w:eastAsia="Times New Roman" w:hAnsi="Times New Roman"/>
          <w:sz w:val="18"/>
          <w:szCs w:val="18"/>
          <w:color w:val="auto"/>
        </w:rPr>
      </w:pPr>
    </w:p>
    <w:p>
      <w:pPr>
        <w:ind w:left="640" w:right="120" w:hanging="318"/>
        <w:spacing w:after="0" w:line="269" w:lineRule="auto"/>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covenant governing the incurrence of liens under each of the Loans to permit the incurrence of liens securing indebtedness in an aggregate amount not to exceed the 3.5x ratio of Senior Secured Debt to Adjusted EBITDA (each as defined in each of the Loans); and</w:t>
      </w:r>
    </w:p>
    <w:p>
      <w:pPr>
        <w:spacing w:after="0" w:line="102" w:lineRule="exact"/>
        <w:rPr>
          <w:rFonts w:ascii="Times New Roman" w:cs="Times New Roman" w:eastAsia="Times New Roman" w:hAnsi="Times New Roman"/>
          <w:sz w:val="18"/>
          <w:szCs w:val="18"/>
          <w:color w:val="auto"/>
        </w:rPr>
      </w:pPr>
    </w:p>
    <w:p>
      <w:pPr>
        <w:ind w:left="640" w:right="140" w:hanging="318"/>
        <w:spacing w:after="0" w:line="269" w:lineRule="auto"/>
        <w:tabs>
          <w:tab w:leader="none" w:pos="6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covenant governing the incurrence of indebtedness under each of the Loans to restrict the incurrence of indebtedness to subsidiaries of the Company only.</w:t>
      </w:r>
    </w:p>
    <w:p>
      <w:pPr>
        <w:spacing w:after="0" w:line="10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2021 Multicurrency Credit Facility—</w:t>
      </w:r>
      <w:r>
        <w:rPr>
          <w:rFonts w:ascii="Times New Roman" w:cs="Times New Roman" w:eastAsia="Times New Roman" w:hAnsi="Times New Roman"/>
          <w:sz w:val="18"/>
          <w:szCs w:val="18"/>
          <w:color w:val="auto"/>
        </w:rPr>
        <w:t>During the nine months ended September 30, 2026, the Company borrowed an aggregate of $3.2 billion, including 500.0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EUR ($581.1 million as of the borrowing date) and repaid an aggregate of $2.6 billion, including 500.0 million EUR ($581.1 million as of the repayment date) of revolving indebtedness under the 2021 Multicurrency Credit Facility. The Company used the borrowings to repay outstanding indebtedness, including the 1.950% Notes, and for general corporate purposes.</w:t>
      </w:r>
    </w:p>
    <w:p>
      <w:pPr>
        <w:spacing w:after="0" w:line="1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2021 Credit Facility—</w:t>
      </w:r>
      <w:r>
        <w:rPr>
          <w:rFonts w:ascii="Times New Roman" w:cs="Times New Roman" w:eastAsia="Times New Roman" w:hAnsi="Times New Roman"/>
          <w:sz w:val="18"/>
          <w:szCs w:val="18"/>
          <w:color w:val="auto"/>
        </w:rPr>
        <w:t>During the nine months ended September 30, 2026, the Company borrowed an aggregate of $1.3 billion and repaid an aggregate of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of revolving indebtedness under the 2021 Credit Facility. The Company used the borrowings to repay outstanding indebtedness, including the 4.400% Notes and the 1.600% Notes, and for general corporate purposes.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key terms under the Loans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Undrawn letters</w:t>
            </w:r>
          </w:p>
        </w:tc>
        <w:tc>
          <w:tcPr>
            <w:tcW w:w="1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Current margin</w:t>
            </w:r>
          </w:p>
        </w:tc>
        <w:tc>
          <w:tcPr>
            <w:tcW w:w="126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4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Principal Balance</w:t>
            </w:r>
          </w:p>
        </w:tc>
        <w:tc>
          <w:tcPr>
            <w:tcW w:w="122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of credit</w:t>
            </w:r>
          </w:p>
        </w:tc>
        <w:tc>
          <w:tcPr>
            <w:tcW w:w="17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400" w:type="dxa"/>
            <w:vAlign w:val="bottom"/>
          </w:tcPr>
          <w:p>
            <w:pPr>
              <w:spacing w:after="0"/>
              <w:rPr>
                <w:sz w:val="12"/>
                <w:szCs w:val="12"/>
                <w:color w:val="auto"/>
              </w:rPr>
            </w:pPr>
          </w:p>
        </w:tc>
        <w:tc>
          <w:tcPr>
            <w:tcW w:w="136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over SOFR or</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7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EURIBOR (1)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commitment fee (2)</w:t>
            </w:r>
          </w:p>
        </w:tc>
        <w:tc>
          <w:tcPr>
            <w:tcW w:w="0" w:type="dxa"/>
            <w:vAlign w:val="bottom"/>
          </w:tcPr>
          <w:p>
            <w:pPr>
              <w:spacing w:after="0"/>
              <w:rPr>
                <w:sz w:val="1"/>
                <w:szCs w:val="1"/>
                <w:color w:val="auto"/>
              </w:rPr>
            </w:pPr>
          </w:p>
        </w:tc>
      </w:tr>
      <w:tr>
        <w:trPr>
          <w:trHeight w:val="236"/>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Multicurrency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6"/>
              </w:rPr>
              <w:t>May 1, 2029</w:t>
            </w:r>
          </w:p>
        </w:tc>
        <w:tc>
          <w:tcPr>
            <w:tcW w:w="400" w:type="dxa"/>
            <w:vAlign w:val="bottom"/>
            <w:tcBorders>
              <w:top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0.875%</w:t>
            </w:r>
          </w:p>
        </w:tc>
        <w:tc>
          <w:tcPr>
            <w:tcW w:w="1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0" w:type="dxa"/>
            <w:vAlign w:val="bottom"/>
          </w:tcPr>
          <w:p>
            <w:pPr>
              <w:spacing w:after="0"/>
              <w:rPr>
                <w:sz w:val="1"/>
                <w:szCs w:val="1"/>
                <w:color w:val="auto"/>
              </w:rPr>
            </w:pPr>
          </w:p>
        </w:tc>
      </w:tr>
      <w:tr>
        <w:trPr>
          <w:trHeight w:val="237"/>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c>
          <w:tcPr>
            <w:tcW w:w="17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6"/>
              </w:rPr>
              <w:t>May 1, 2031</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0" w:type="dxa"/>
            <w:vAlign w:val="bottom"/>
          </w:tcPr>
          <w:p>
            <w:pPr>
              <w:spacing w:after="0"/>
              <w:rPr>
                <w:sz w:val="1"/>
                <w:szCs w:val="1"/>
                <w:color w:val="auto"/>
              </w:rPr>
            </w:pPr>
          </w:p>
        </w:tc>
      </w:tr>
      <w:tr>
        <w:trPr>
          <w:trHeight w:val="237"/>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Term Loan</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6"/>
              </w:rPr>
              <w:t>May 1, 2029</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right="120" w:hanging="315"/>
        <w:spacing w:after="0" w:line="252" w:lineRule="auto"/>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Secured Overnight Financing Rate (“SOFR”) applies to the USD denominated borrowings under the 2021 Multicurrency Credit Facility, the 2021 Credit Facility and the 2021 Term Loan. Euro Interbank Offer Rate (“EURIBOR”) applies for EURIBOR based borrowings.</w:t>
      </w:r>
    </w:p>
    <w:p>
      <w:pPr>
        <w:ind w:left="320" w:hanging="315"/>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on undrawn portion of each credit facility.</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two optional renewal periods.</w:t>
      </w:r>
    </w:p>
    <w:p>
      <w:pPr>
        <w:spacing w:after="0" w:line="1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its financial instruments based on the fair value hierarchy, which requires an entity to maximize the use of observable inputs and minimize the use of unobservable inputs when measuring fair value. Below are the three levels of inputs that may be used to measure fair value:</w:t>
      </w:r>
    </w:p>
    <w:p>
      <w:pPr>
        <w:spacing w:after="0" w:line="154" w:lineRule="exact"/>
        <w:rPr>
          <w:sz w:val="20"/>
          <w:szCs w:val="20"/>
          <w:color w:val="auto"/>
        </w:rPr>
      </w:pPr>
    </w:p>
    <w:p>
      <w:pPr>
        <w:ind w:left="360"/>
        <w:spacing w:after="0"/>
        <w:tabs>
          <w:tab w:leader="none" w:pos="15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6"/>
          <w:szCs w:val="16"/>
          <w:color w:val="auto"/>
        </w:rPr>
        <w:t>Quoted prices in active markets for identical assets or liabilities that the Company has the ability to access at the measurement date.</w:t>
      </w:r>
    </w:p>
    <w:p>
      <w:pPr>
        <w:spacing w:after="0" w:line="80" w:lineRule="exact"/>
        <w:rPr>
          <w:sz w:val="20"/>
          <w:szCs w:val="20"/>
          <w:color w:val="auto"/>
        </w:rPr>
      </w:pPr>
    </w:p>
    <w:p>
      <w:pPr>
        <w:ind w:left="360"/>
        <w:spacing w:after="0"/>
        <w:tabs>
          <w:tab w:leader="none" w:pos="15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6"/>
          <w:szCs w:val="16"/>
          <w:color w:val="auto"/>
        </w:rPr>
        <w:t>Observable inputs other than Level 1 prices, such as quoted prices for similar assets or liabilities; quoted prices in markets that are not</w:t>
      </w:r>
    </w:p>
    <w:p>
      <w:pPr>
        <w:ind w:left="1560" w:right="60"/>
        <w:spacing w:after="0" w:line="220" w:lineRule="auto"/>
        <w:rPr>
          <w:sz w:val="20"/>
          <w:szCs w:val="20"/>
          <w:color w:val="auto"/>
        </w:rPr>
      </w:pP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assets or liabilities.</w:t>
      </w:r>
    </w:p>
    <w:p>
      <w:pPr>
        <w:spacing w:after="0" w:line="62" w:lineRule="exact"/>
        <w:rPr>
          <w:sz w:val="20"/>
          <w:szCs w:val="20"/>
          <w:color w:val="auto"/>
        </w:rPr>
      </w:pPr>
    </w:p>
    <w:p>
      <w:pPr>
        <w:ind w:left="360"/>
        <w:spacing w:after="0"/>
        <w:tabs>
          <w:tab w:leader="none" w:pos="15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6"/>
          <w:szCs w:val="16"/>
          <w:color w:val="auto"/>
        </w:rPr>
        <w:t>Unobservable inputs that are supported by little or no market activity and that are significant to the fair value of the assets or liabilities.</w:t>
      </w:r>
    </w:p>
    <w:p>
      <w:pPr>
        <w:spacing w:after="0" w:line="147"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i w:val="1"/>
          <w:iCs w:val="1"/>
          <w:color w:val="auto"/>
        </w:rPr>
        <w:t>Items Measured at Fair Value on a Recurring Basis</w:t>
      </w:r>
      <w:r>
        <w:rPr>
          <w:rFonts w:ascii="Times New Roman" w:cs="Times New Roman" w:eastAsia="Times New Roman" w:hAnsi="Times New Roman"/>
          <w:sz w:val="18"/>
          <w:szCs w:val="18"/>
          <w:color w:val="auto"/>
        </w:rPr>
        <w:t>—The fair values of the Company’s financial assets and liabilities that are required to be measured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basis at fair value were as follows:</w:t>
      </w:r>
    </w:p>
    <w:p>
      <w:pPr>
        <w:sectPr>
          <w:pgSz w:w="11900" w:h="16838" w:orient="portrait"/>
          <w:cols w:equalWidth="0" w:num="1">
            <w:col w:w="11240"/>
          </w:cols>
          <w:pgMar w:left="320" w:top="119" w:right="339" w:bottom="1440" w:gutter="0" w:footer="0" w:header="0"/>
        </w:sectPr>
      </w:pPr>
    </w:p>
    <w:p>
      <w:pPr>
        <w:spacing w:after="0" w:line="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30480</wp:posOffset>
            </wp:positionV>
            <wp:extent cx="1957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4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3"/>
          <w:szCs w:val="13"/>
          <w:b w:val="1"/>
          <w:bCs w:val="1"/>
          <w:color w:val="auto"/>
        </w:rPr>
        <w:t>Fair Value Measurements Using</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30480</wp:posOffset>
            </wp:positionV>
            <wp:extent cx="1999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line="4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Fair Value Measurements Using</w:t>
      </w:r>
    </w:p>
    <w:p>
      <w:pPr>
        <w:spacing w:after="0" w:line="40" w:lineRule="exact"/>
        <w:rPr>
          <w:sz w:val="20"/>
          <w:szCs w:val="20"/>
          <w:color w:val="auto"/>
        </w:rPr>
      </w:pPr>
    </w:p>
    <w:p>
      <w:pPr>
        <w:sectPr>
          <w:pgSz w:w="11900" w:h="16838" w:orient="portrait"/>
          <w:cols w:equalWidth="0" w:num="2">
            <w:col w:w="7980" w:space="720"/>
            <w:col w:w="25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49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6"/>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equity securities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20"/>
                <w:szCs w:val="20"/>
                <w:color w:val="auto"/>
              </w:rPr>
            </w:pPr>
          </w:p>
        </w:tc>
        <w:tc>
          <w:tcPr>
            <w:tcW w:w="12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ind w:left="320" w:right="360" w:hanging="315"/>
        <w:spacing w:after="0" w:line="264" w:lineRule="auto"/>
        <w:tabs>
          <w:tab w:leader="none" w:pos="3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equity securities are recorded in Notes receivable and other non-current assets in the consolidated balance sheets at fair value. Unrealized holding gains and losses for equity securities are recorded in Other (expense) income in the consolidated statements of operations in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79" w:lineRule="exact"/>
        <w:rPr>
          <w:sz w:val="20"/>
          <w:szCs w:val="20"/>
          <w:color w:val="auto"/>
        </w:rPr>
      </w:pPr>
    </w:p>
    <w:p>
      <w:pPr>
        <w:ind w:left="320" w:right="80"/>
        <w:spacing w:after="0" w:line="271" w:lineRule="auto"/>
        <w:rPr>
          <w:sz w:val="20"/>
          <w:szCs w:val="20"/>
          <w:color w:val="auto"/>
        </w:rPr>
      </w:pPr>
      <w:r>
        <w:rPr>
          <w:rFonts w:ascii="Times New Roman" w:cs="Times New Roman" w:eastAsia="Times New Roman" w:hAnsi="Times New Roman"/>
          <w:sz w:val="14"/>
          <w:szCs w:val="14"/>
          <w:color w:val="auto"/>
        </w:rPr>
        <w:t>the current period. During the three and nine months ended September 30, 2026, the Company recognized unrealized losses of $71.5 million and $35.1 million, respectively, for equity securities held as of September 30, 2026. During the three and nine months ended September 30, 2025, the Company recognized unrealized gains of $10.9 million and $129.2 million, respectively, for equity securities held as of September 30,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Measured at Fair Value on a Nonrecurring Basis</w:t>
      </w:r>
    </w:p>
    <w:p>
      <w:pPr>
        <w:spacing w:after="0" w:line="14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Assets Held and Used</w:t>
      </w:r>
      <w:r>
        <w:rPr>
          <w:rFonts w:ascii="Times New Roman" w:cs="Times New Roman" w:eastAsia="Times New Roman" w:hAnsi="Times New Roman"/>
          <w:sz w:val="18"/>
          <w:szCs w:val="18"/>
          <w:color w:val="auto"/>
        </w:rPr>
        <w:t>—The Company’s long-lived assets are recorded at amortized cost and, if impaired, are adjusted to fair value using Level 3 inputs.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unobservable inputs used to determine the fair value of long-lived assets during the three and nine months ended September 30, 2026 or 2025 are consistent with those described in note 10 to the consolidated financial statements included in the 2025 Form 10-K.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items measured at fair value on a nonrecurring basis during the nine months ended September 30, 2026 or 2025.</w:t>
      </w:r>
    </w:p>
    <w:p>
      <w:pPr>
        <w:spacing w:after="0" w:line="13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i w:val="1"/>
          <w:iCs w:val="1"/>
          <w:color w:val="auto"/>
        </w:rPr>
        <w:t>Fair Value of Financial Instruments</w:t>
      </w:r>
      <w:r>
        <w:rPr>
          <w:rFonts w:ascii="Times New Roman" w:cs="Times New Roman" w:eastAsia="Times New Roman" w:hAnsi="Times New Roman"/>
          <w:sz w:val="16"/>
          <w:szCs w:val="16"/>
          <w:color w:val="auto"/>
        </w:rPr>
        <w:t>—The Company’s financial instruments for which the carrying value reasonably approximates fair value at September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2026 and December 31, 2025 include cash and cash equivalents, restricted cash, accounts receivable and accounts payable. The Company’s estimates of fair value of its long-term obligations, including the current portion, are based primarily upon reported market values. For long-term debt not actively traded, fair value is estimated using either indicative price quotes or a discounted cash flow analysis using rates for debt with similar terms and maturities. As of September 30, 2026 and December 31, 2025, the carrying value of long-term obligations, including the current portion, was $37.6 billion and $37.2 billion, respectively. As of September 30, 2026, the fair value of long-term obligations, including the current portion, was $35.3 billion, of which $31.2 billion was measured using Level 1 inputs and $4.1 billion was measured using Level 2 inputs. As of December 31, 2025, the fair value of long-term obligations, including the current portion, was $36.1 billion, of which $32.9 billion was measured using Level 1 inputs and $3.2 billion was measured using Level 2 inputs.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w:t>
      </w:r>
    </w:p>
    <w:p>
      <w:pPr>
        <w:spacing w:after="0" w:line="1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Foreign Currency Debt—</w:t>
      </w:r>
      <w:r>
        <w:rPr>
          <w:rFonts w:ascii="Times New Roman" w:cs="Times New Roman" w:eastAsia="Times New Roman" w:hAnsi="Times New Roman"/>
          <w:sz w:val="18"/>
          <w:szCs w:val="18"/>
          <w:color w:val="auto"/>
        </w:rPr>
        <w:t>On June 1, 2025, the Company designated approximately 4.7 billion EUR (approximately $5.3 billion at the designation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unsecured notes as a non-derivative net investment hedge on the Company’s net investments in its European subsidiaries, whose functional currency is the EUR, to mitigate against the effect of exchange rate fluctuations on the translation of foreign currency balances to the USD.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contractual amounts of the Company's outstanding instruments: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22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260" w:type="dxa"/>
            <w:vAlign w:val="bottom"/>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52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currency-denominated debt (1)</w:t>
            </w: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5,461.6</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right="40" w:hanging="315"/>
        <w:spacing w:after="0" w:line="252" w:lineRule="auto"/>
        <w:tabs>
          <w:tab w:leader="none" w:pos="31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nine months ended September 30, 2026 and 2025, the Company recorded $43.2 million, $25.1 million, $194.2 million and $(179.5) million, respectively, of unrealized foreign currency gains (losses) related to the EUR denominated debt that was designated as a net investment hedge as a foreign currency translation adjustment in Accumulated other comprehensive loss. As of September 30, 2026, includes 4.7 billion EUR ($5.3 billion) of outstanding EUR denominated debt designated as hedges of a portion of the Company’s net investment in foreign operations. This debt matures in fiscal years 2027 through 2034.</w:t>
      </w:r>
    </w:p>
    <w:p>
      <w:pPr>
        <w:spacing w:after="0" w:line="1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5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(“ETR”) for the full fiscal year. Cumulative adjustments to the Company’s estimate are recorded in the interim period in which a change in the estimated annual ETR is determined. Under the provisions of the Internal Revenue Code of 1986, as amended, the Company may deduct earnings distributed to stockholders against the income generated by its real estate investment trust (“REIT”) operations. The Company continues to be subject to income taxes on the income of its domestic taxable REIT subsidiaries and income taxes in foreign jurisdictions where it conducts operations.</w:t>
      </w:r>
    </w:p>
    <w:p>
      <w:pPr>
        <w:spacing w:after="0" w:line="121"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6"/>
          <w:szCs w:val="16"/>
          <w:color w:val="auto"/>
        </w:rPr>
        <w:t>The Company provides valuation allowances if, based on the available evidence, it is more likely than not that some or all of the deferred tax assets will not be realized. Management assesses the available evidence to estimate if sufficient future taxable income will be generated to use the existing deferred tax assets. Valuation allowances may be reversed if, based on changes in facts and circumstances, the net deferred tax assets have been determined to be realizable.</w:t>
      </w:r>
    </w:p>
    <w:p>
      <w:pPr>
        <w:spacing w:after="0" w:line="67" w:lineRule="exact"/>
        <w:rPr>
          <w:sz w:val="20"/>
          <w:szCs w:val="20"/>
          <w:color w:val="auto"/>
        </w:rPr>
      </w:pPr>
    </w:p>
    <w:p>
      <w:pPr>
        <w:ind w:right="200"/>
        <w:spacing w:after="0" w:line="303" w:lineRule="auto"/>
        <w:rPr>
          <w:sz w:val="20"/>
          <w:szCs w:val="20"/>
          <w:color w:val="auto"/>
        </w:rPr>
      </w:pPr>
      <w:r>
        <w:rPr>
          <w:rFonts w:ascii="Times New Roman" w:cs="Times New Roman" w:eastAsia="Times New Roman" w:hAnsi="Times New Roman"/>
          <w:sz w:val="16"/>
          <w:szCs w:val="16"/>
          <w:color w:val="auto"/>
        </w:rPr>
        <w:t>The increases in the income tax provision during the three and nine months ended September 30, 2026 were primarily attributable to increases in earnings in certain foreign jurisdictions in the current year periods and a benefit from the application of a tax law change in Germany in the prior-year periods. These increases were partially offset by (i) unrealized losses from equity securities in the United States during the three and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2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8"/>
          <w:szCs w:val="18"/>
          <w:color w:val="auto"/>
        </w:rPr>
        <w:t>and (ii) taxes related to the sale of the Company’s fiber assets in South Africa and additions to reserves for uncertain tax positions, each during the prior-year periods.</w:t>
      </w:r>
    </w:p>
    <w:p>
      <w:pPr>
        <w:spacing w:after="0" w:line="8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As of September 30, 2026 and December 31, 2025, the total unrecognized tax benefits that would impact the ETR, if recognized, were approximately $135.4 million and $128.6 million, respectively. The amount of unrecognized tax benefits during the three and nine months ended September 30, 2026 includes (i) additions to the Company’s existing tax positions of $4.9 million and $11.3 million, respectively (ii) reductions and additions due to foreign currency exchange rate fluctuations of $(1.4) million and $1.6 million, respectively, (iii) reductions of existing tax positions of $0.4 million and $2.5 million, respectively, (iv) reductions due to the expiration of statutes of limitations of $1.3 million and $1.6 million, respectively, and (v) reductions due to settlements of $0.6 million and $2.0 million,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recorded the following penalties and income tax-related interest expense during the three and nine months ended September 30, 2026 and 2025: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266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00" w:type="dxa"/>
            <w:vAlign w:val="bottom"/>
            <w:gridSpan w:val="4"/>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0"/>
        </w:trPr>
        <w:tc>
          <w:tcPr>
            <w:tcW w:w="602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6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Penalties and income tax-related interest expense</w:t>
            </w:r>
          </w:p>
        </w:tc>
        <w:tc>
          <w:tcPr>
            <w:tcW w:w="86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bl>
    <w:p>
      <w:pPr>
        <w:spacing w:after="0" w:line="206"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As of September 30, 2026 and December 31, 2025, the total amount of accrued income tax related interest and penalties included in the consolidated balance sheets were $108.0 million and $86.8 million, respectively.</w:t>
      </w:r>
    </w:p>
    <w:p>
      <w:pPr>
        <w:spacing w:after="0" w:line="1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STOCK-BASED COMPENSATION</w:t>
      </w:r>
    </w:p>
    <w:p>
      <w:pPr>
        <w:spacing w:after="0" w:line="14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6"/>
          <w:szCs w:val="16"/>
          <w:i w:val="1"/>
          <w:iCs w:val="1"/>
          <w:color w:val="auto"/>
        </w:rPr>
        <w:t>Summary of Stock-Based Compensation Plans</w:t>
      </w:r>
      <w:r>
        <w:rPr>
          <w:rFonts w:ascii="Times New Roman" w:cs="Times New Roman" w:eastAsia="Times New Roman" w:hAnsi="Times New Roman"/>
          <w:sz w:val="16"/>
          <w:szCs w:val="16"/>
          <w:color w:val="auto"/>
        </w:rPr>
        <w:t>—The Company maintains an equity incentive plan that provides for the grant of stock-based awards to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officers and employees. Until May 20, 2026, the Company’s 2007 Equity Incentive Plan, as amended (the “2007 Plan”), provided for the grant of non-qualified and incentive stock options, as well as restricted stock units, restricted stock and other stock-based awards. The Company’s 2026 Equity Incentive Plan (the “2026 Plan”) was approved by the Company’s stockholders on May 20, 2026, replacing the 2007 Plan, and provides for the grant of equity and equity-based awards, including options (including nonqualified stock options and incentive stock options), restricted stock, restricted stock units and other equity-based awards and cash awards, to employees, directors, consultants and advisors of the Company and its majority-owned subsidiaries.</w:t>
      </w:r>
    </w:p>
    <w:p>
      <w:pPr>
        <w:spacing w:after="0" w:line="7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Exercise prices for non-qualified and incentive stock options are not less than the fair value of the underlying common stock on the date of grant. Equity awards typically vest ratably. Awards granted prior to March 10, 2023 generally vest over four years for time-based restricted stock units (“RSUs”) and stock options. In December 2022, the Company’s Compensation and Human Capital Committee (the “Compensation Committee”) changed the terms of its awards to generally vest over three years. The change in vesting terms is applicable for new awards granted beginning on March 10, 2023 and does not change the vesting terms applicable to grants awarded prior to March 10, 2023. Performance-based restricted stock units (“PSUs”) generally vest over three years. Stock options generally expire ten years from the date of grant. As of September 30, 2026, the Company had the ability to grant stock-based awards with respect to an aggregate of 13.9 million shares of common stock under the 2026 Plan. In addition, the Company maintains an employee stock purchase plan (the “ESPP”) pursuant to which eligible employees may purchase shares of the Company’s common stock on the last day of each bi-annual offering period at a 15% discount from the lower of the closing market value on the first or last day of such offering period. The offering periods run from June 1 through November 30 and from December 1 through May 31 of each year.</w:t>
      </w:r>
    </w:p>
    <w:p>
      <w:pPr>
        <w:spacing w:after="0" w:line="123"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the Company recorded the following stock-based compensation expense in selling, general, administrative and development expense: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00" w:type="dxa"/>
            <w:vAlign w:val="bottom"/>
            <w:gridSpan w:val="4"/>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0"/>
        </w:trPr>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6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right="100" w:hanging="315"/>
        <w:spacing w:after="0" w:line="264" w:lineRule="auto"/>
        <w:tabs>
          <w:tab w:leader="none" w:pos="3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2025, includes the reversal of $7.1 million of previously recognized stock-based compensation expense associated with awards forfeited in connection with the departure of the Company’s former Executive Vice President and President, APAC due to such role being eliminated.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—As of September 30, 2026, there was no unrecognized compensation expense related to unvested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option activity for the nine months ended September 30, 2026 was as follows (shares disclosed in full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60" w:type="dxa"/>
            <w:vAlign w:val="bottom"/>
          </w:tcPr>
          <w:p>
            <w:pPr>
              <w:spacing w:after="0"/>
              <w:rPr>
                <w:sz w:val="16"/>
                <w:szCs w:val="16"/>
                <w:color w:val="auto"/>
              </w:rPr>
            </w:pPr>
          </w:p>
        </w:tc>
        <w:tc>
          <w:tcPr>
            <w:tcW w:w="17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Number of Options</w:t>
            </w:r>
          </w:p>
        </w:tc>
      </w:tr>
      <w:tr>
        <w:trPr>
          <w:trHeight w:val="24"/>
        </w:trPr>
        <w:tc>
          <w:tcPr>
            <w:tcW w:w="94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2026</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133,623</w:t>
            </w:r>
          </w:p>
        </w:tc>
      </w:tr>
      <w:tr>
        <w:trPr>
          <w:trHeight w:val="237"/>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(133,623)</w:t>
            </w:r>
          </w:p>
        </w:tc>
      </w:tr>
      <w:tr>
        <w:trPr>
          <w:trHeight w:val="23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As of September 30, 2026, total unrecognized compensation expense related to unvested RSUs granted under the 2007 Plan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Plan was $120.8 million and is expected to be recognized over a weighted average period of approximately two years. Vesting of RSUs is subject generally to the employee’s continued employment or death, disability or qualified retirement (each as defined in the applicable RSU award agreement). RSUs will accrue dividend equivalents prior to vesting, which will be paid out only in respect of shares that actually vest.</w:t>
      </w:r>
    </w:p>
    <w:p>
      <w:pPr>
        <w:spacing w:after="0" w:line="10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i w:val="1"/>
          <w:iCs w:val="1"/>
          <w:color w:val="auto"/>
        </w:rPr>
        <w:t>Performance-Based Restricted Stock Units—</w:t>
      </w:r>
      <w:r>
        <w:rPr>
          <w:rFonts w:ascii="Times New Roman" w:cs="Times New Roman" w:eastAsia="Times New Roman" w:hAnsi="Times New Roman"/>
          <w:sz w:val="18"/>
          <w:szCs w:val="18"/>
          <w:color w:val="auto"/>
        </w:rPr>
        <w:t>During the nine months ended September 30, 2026, the Compensation Committee granted an aggregate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100,692 PSUs (the “2026 PSUs”) to its executive officers and established the performance and market metrics for these awards. During the years ended December 31, 2025 and 2024, the Compensation Committee granted an aggregate of 86,911 PSUs (the “2025 PSUs”) and 87,550 PSUs (the “2024 PSUs”), respectively, to its executive officers and established the performance metrics for these awards. Threshold, target and maximum parameters were established for the metrics for a three-year performance period with respect to each of the 2026 PSUs, the 2025 PSUs and the 2024 PSUs and will be used to calculate the number of shares that will be issuable when each award vests, which may range from zero to 200% of the target amounts. At the end of each three-year performance period, the number of shares that vest will depend on the degree of achievement against the pre-established goals. PSUs will be paid out in common stock at the end of each performance period, subject generally to the executive’s continued employment or death, disability or qualified retirement (each as defined in the applicable PSU award agreement). PSUs will accrue dividend equivalents prior to vesting, which will be paid out only in respect of shares that actually vest.</w:t>
      </w:r>
    </w:p>
    <w:p>
      <w:pPr>
        <w:spacing w:after="0" w:line="12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Certain of the 2026 PSUs, the 2025 PSUs and the 2024 PSUs include a market condition component based on relative total shareholder return as measured against the REIT constituents included in the S&amp;P 500 Index. For the component of the 2026 PSUs, the 2025 PSUs and the 2024 PSUs subject to a market condition, fair value is determined using a Monte Carlo simulation model, which uses multiple input variables to determine the probability of satisfying the market condition requirements. The grant date fair value of the market condition component of the 2026 PSUs, the 2025 PSUs and the 2024 PSUs is $211.01, $286.21 and $216.11,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assumptions used to apply this pricing model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13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3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0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37"/>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w:t>
            </w:r>
          </w:p>
        </w:tc>
      </w:tr>
      <w:tr>
        <w:trPr>
          <w:trHeight w:val="23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8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i w:val="1"/>
          <w:iCs w:val="1"/>
          <w:color w:val="auto"/>
        </w:rPr>
        <w:t>Restricted Stock Units and Performance-Based Restricted Stock Units</w:t>
      </w:r>
      <w:r>
        <w:rPr>
          <w:rFonts w:ascii="Times New Roman" w:cs="Times New Roman" w:eastAsia="Times New Roman" w:hAnsi="Times New Roman"/>
          <w:sz w:val="18"/>
          <w:szCs w:val="18"/>
          <w:color w:val="auto"/>
        </w:rPr>
        <w:t>—The Company’s RSU and PSU activity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as follows (shares disclosed in full amounts):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19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78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PSUs</w:t>
            </w:r>
          </w:p>
        </w:tc>
      </w:tr>
      <w:tr>
        <w:trPr>
          <w:trHeight w:val="24"/>
        </w:trPr>
        <w:tc>
          <w:tcPr>
            <w:tcW w:w="75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2026 (1)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1,283,669</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333,401</w:t>
            </w: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669,558</w:t>
            </w:r>
          </w:p>
        </w:tc>
        <w:tc>
          <w:tcPr>
            <w:tcW w:w="1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100,692</w:t>
            </w: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Released (3)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(754,130)</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(169,098)</w:t>
            </w:r>
          </w:p>
        </w:tc>
      </w:tr>
      <w:tr>
        <w:trPr>
          <w:trHeight w:val="237"/>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(35,667)</w:t>
            </w:r>
          </w:p>
        </w:tc>
        <w:tc>
          <w:tcPr>
            <w:tcW w:w="1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1,163,430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264,995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right="100" w:hanging="315"/>
        <w:spacing w:after="0" w:line="253" w:lineRule="auto"/>
        <w:tabs>
          <w:tab w:leader="none" w:pos="3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consist of the target number of shares issuable at the end of the three-year performance period for the outstanding 2025 PSUs and the outstanding 2024 PSUs, or 86,911 shares and 77,392 shares, respectively, and the shares issuable at the end of the three-year performance period for the PSUs granted in 2023 (the “2023 PSUs”) based on achievement against the performance metrics for the three-year performance period, or 169,098 shares.</w:t>
      </w:r>
    </w:p>
    <w:p>
      <w:pPr>
        <w:ind w:left="320" w:hanging="315"/>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consist of the target number of shares issuable at the end of the three-year performance period for the 2026 PSUs, or 100,692 shares.</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consist of shares vested pursuant to the 2023 PSUs. There are no additional shares to be earned related to the 2023 PSUs.</w:t>
      </w:r>
    </w:p>
    <w:p>
      <w:pPr>
        <w:spacing w:after="0" w:line="23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recorded $7.0 million and $18.1 million in stock-based compensation expense for equity awards in which the performance goals have been established and were probable of being achieved. The remaining unrecognized compensation expense related to these awards at September 30, 2026 was $2.9 million based on the Company’s current assessment of the probability of achieving the performance goals. The weighted average period over which the cost will be recognized is approximately one year.</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EQUITY</w:t>
      </w:r>
    </w:p>
    <w:p>
      <w:pPr>
        <w:spacing w:after="0" w:line="1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Sales of Equity Securities</w:t>
      </w:r>
      <w:r>
        <w:rPr>
          <w:rFonts w:ascii="Times New Roman" w:cs="Times New Roman" w:eastAsia="Times New Roman" w:hAnsi="Times New Roman"/>
          <w:sz w:val="18"/>
          <w:szCs w:val="18"/>
          <w:color w:val="auto"/>
        </w:rPr>
        <w:t>—The Company receives proceeds from sales of its equity securities pursuant to the ESPP and upon exercise of stock options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2007 Plan. During the nine months ended September 30, 2026, the Company received an aggregate of $21.0 million in proceeds upon exercises of stock options and sales pursuant to the ESPP.</w:t>
      </w:r>
    </w:p>
    <w:p>
      <w:pPr>
        <w:spacing w:after="0" w:line="9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i w:val="1"/>
          <w:iCs w:val="1"/>
          <w:color w:val="auto"/>
        </w:rPr>
        <w:t>Stock Repurchase Program</w:t>
      </w:r>
      <w:r>
        <w:rPr>
          <w:rFonts w:ascii="Times New Roman" w:cs="Times New Roman" w:eastAsia="Times New Roman" w:hAnsi="Times New Roman"/>
          <w:sz w:val="18"/>
          <w:szCs w:val="18"/>
          <w:color w:val="auto"/>
        </w:rPr>
        <w:t>—In December 2017, the Board of Directors approved a stock repurchase program, pursuant to which the Company is authorized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up to $2.0 billion of its common stock (the “Buyback Program”).</w:t>
      </w:r>
    </w:p>
    <w:p>
      <w:pPr>
        <w:spacing w:after="0" w:line="10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Under the Buyback Program, the Company is authorized to purchase shares from time to time through open market purchases, in privately negotiated transactions not to exceed market prices, and (with respect to such open market purchases) pursuant to plans adopted in accordance with Rule 10b5-1 under the Securities Exchange Act of 1934, as amended (the “Exchange Act”), in accordance with securities laws and other legal requirements and subject to market conditions and other factors.</w:t>
      </w:r>
    </w:p>
    <w:p>
      <w:pPr>
        <w:spacing w:after="0" w:line="119" w:lineRule="exact"/>
        <w:rPr>
          <w:sz w:val="20"/>
          <w:szCs w:val="20"/>
          <w:color w:val="auto"/>
        </w:rPr>
      </w:pPr>
    </w:p>
    <w:p>
      <w:pPr>
        <w:jc w:val="both"/>
        <w:ind w:right="50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repurchased 2,969,052 shares of its common stock for an aggregate of $518.0 million, including commissions and fees, under the Buyback Program. As of September 30, 2026, the Company has repurchased a total of 4,910,364 shares of its common stock under the Buyback Program for an aggregate of $865.0 million, including commissions and fees.</w:t>
      </w:r>
    </w:p>
    <w:p>
      <w:pPr>
        <w:spacing w:after="0" w:line="10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expects to fund any further repurchases of its common stock through a combination of cash on hand, cash generated by operations and borrowings under its credit facilities. Repurchases under the Buyback Program are subject to, among other things, the Company having available cash to fund the repurchases.</w:t>
      </w:r>
    </w:p>
    <w:p>
      <w:pPr>
        <w:spacing w:after="0" w:line="11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—During the nine months ended September 30, 2026, the Company declared or paid the following cash distributions (per share data reflects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amounts):</w:t>
      </w:r>
    </w:p>
    <w:tbl>
      <w:tblPr>
        <w:tblLayout w:type="fixed"/>
        <w:tblInd w:w="20" w:type="dxa"/>
        <w:tblCellMar>
          <w:top w:w="0" w:type="dxa"/>
          <w:left w:w="0" w:type="dxa"/>
          <w:bottom w:w="0" w:type="dxa"/>
          <w:right w:w="0" w:type="dxa"/>
        </w:tblCellMar>
      </w:tblPr>
      <w:tr>
        <w:trPr>
          <w:trHeight w:val="146"/>
        </w:trPr>
        <w:tc>
          <w:tcPr>
            <w:tcW w:w="37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00" w:type="dxa"/>
            <w:vAlign w:val="bottom"/>
            <w:vMerge w:val="restart"/>
          </w:tcPr>
          <w:p>
            <w:pPr>
              <w:spacing w:after="0"/>
              <w:rPr>
                <w:sz w:val="12"/>
                <w:szCs w:val="12"/>
                <w:color w:val="auto"/>
              </w:rPr>
            </w:pPr>
          </w:p>
        </w:tc>
        <w:tc>
          <w:tcPr>
            <w:tcW w:w="19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vMerge w:val="restart"/>
          </w:tcPr>
          <w:p>
            <w:pPr>
              <w:spacing w:after="0"/>
              <w:rPr>
                <w:sz w:val="12"/>
                <w:szCs w:val="12"/>
                <w:color w:val="auto"/>
              </w:rPr>
            </w:pPr>
          </w:p>
        </w:tc>
        <w:tc>
          <w:tcPr>
            <w:tcW w:w="2080" w:type="dxa"/>
            <w:vAlign w:val="bottom"/>
            <w:vMerge w:val="restart"/>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00" w:type="dxa"/>
            <w:vAlign w:val="bottom"/>
            <w:vMerge w:val="restart"/>
          </w:tcPr>
          <w:p>
            <w:pPr>
              <w:spacing w:after="0"/>
              <w:rPr>
                <w:sz w:val="12"/>
                <w:szCs w:val="12"/>
                <w:color w:val="auto"/>
              </w:rPr>
            </w:pPr>
          </w:p>
        </w:tc>
        <w:tc>
          <w:tcPr>
            <w:tcW w:w="122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Distribution per</w:t>
            </w: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Aggregate Payment Amount (1)</w:t>
            </w:r>
          </w:p>
        </w:tc>
        <w:tc>
          <w:tcPr>
            <w:tcW w:w="0" w:type="dxa"/>
            <w:vAlign w:val="bottom"/>
          </w:tcPr>
          <w:p>
            <w:pPr>
              <w:spacing w:after="0"/>
              <w:rPr>
                <w:sz w:val="1"/>
                <w:szCs w:val="1"/>
                <w:color w:val="auto"/>
              </w:rPr>
            </w:pPr>
          </w:p>
        </w:tc>
      </w:tr>
      <w:tr>
        <w:trPr>
          <w:trHeight w:val="191"/>
        </w:trPr>
        <w:tc>
          <w:tcPr>
            <w:tcW w:w="3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9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17, 2026</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October 20, 2026</w:t>
            </w: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30, 2026</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37"/>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21, 2026</w:t>
            </w: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July 13, 2026</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12, 2026</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0" w:type="dxa"/>
            <w:vAlign w:val="bottom"/>
          </w:tcPr>
          <w:p>
            <w:pPr>
              <w:spacing w:after="0"/>
              <w:rPr>
                <w:sz w:val="1"/>
                <w:szCs w:val="1"/>
                <w:color w:val="auto"/>
              </w:rPr>
            </w:pPr>
          </w:p>
        </w:tc>
      </w:tr>
      <w:tr>
        <w:trPr>
          <w:trHeight w:val="237"/>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28, 2026</w:t>
            </w: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14, 2026</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0" w:type="dxa"/>
            <w:vAlign w:val="bottom"/>
          </w:tcPr>
          <w:p>
            <w:pPr>
              <w:spacing w:after="0"/>
              <w:rPr>
                <w:sz w:val="1"/>
                <w:szCs w:val="1"/>
                <w:color w:val="auto"/>
              </w:rPr>
            </w:pPr>
          </w:p>
        </w:tc>
      </w:tr>
      <w:tr>
        <w:trPr>
          <w:trHeight w:val="23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4, 2025</w:t>
            </w: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2, 2026</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29, 2025</w:t>
            </w:r>
          </w:p>
        </w:tc>
        <w:tc>
          <w:tcPr>
            <w:tcW w:w="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amounts accrued for distributions payable related to unvested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the Company declared or paid the following cash distributions (per share data reflects actual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00" w:type="dxa"/>
            <w:vAlign w:val="bottom"/>
            <w:vMerge w:val="restart"/>
          </w:tcPr>
          <w:p>
            <w:pPr>
              <w:spacing w:after="0"/>
              <w:rPr>
                <w:sz w:val="13"/>
                <w:szCs w:val="13"/>
                <w:color w:val="auto"/>
              </w:rPr>
            </w:pPr>
          </w:p>
        </w:tc>
        <w:tc>
          <w:tcPr>
            <w:tcW w:w="19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vMerge w:val="restart"/>
          </w:tcPr>
          <w:p>
            <w:pPr>
              <w:spacing w:after="0"/>
              <w:rPr>
                <w:sz w:val="13"/>
                <w:szCs w:val="13"/>
                <w:color w:val="auto"/>
              </w:rPr>
            </w:pPr>
          </w:p>
        </w:tc>
        <w:tc>
          <w:tcPr>
            <w:tcW w:w="2080" w:type="dxa"/>
            <w:vAlign w:val="bottom"/>
            <w:vMerge w:val="restart"/>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00" w:type="dxa"/>
            <w:vAlign w:val="bottom"/>
            <w:vMerge w:val="restart"/>
          </w:tcPr>
          <w:p>
            <w:pPr>
              <w:spacing w:after="0"/>
              <w:rPr>
                <w:sz w:val="13"/>
                <w:szCs w:val="13"/>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Distribution per</w:t>
            </w: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Aggregate Payment Amount (1)</w:t>
            </w:r>
          </w:p>
        </w:tc>
        <w:tc>
          <w:tcPr>
            <w:tcW w:w="0" w:type="dxa"/>
            <w:vAlign w:val="bottom"/>
          </w:tcPr>
          <w:p>
            <w:pPr>
              <w:spacing w:after="0"/>
              <w:rPr>
                <w:sz w:val="1"/>
                <w:szCs w:val="1"/>
                <w:color w:val="auto"/>
              </w:rPr>
            </w:pPr>
          </w:p>
        </w:tc>
      </w:tr>
      <w:tr>
        <w:trPr>
          <w:trHeight w:val="190"/>
        </w:trPr>
        <w:tc>
          <w:tcPr>
            <w:tcW w:w="3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6"/>
                <w:szCs w:val="16"/>
                <w:color w:val="auto"/>
              </w:rPr>
            </w:pPr>
          </w:p>
        </w:tc>
        <w:tc>
          <w:tcPr>
            <w:tcW w:w="19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18, 2025</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October 20, 2025</w:t>
            </w: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30, 2025</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0" w:type="dxa"/>
            <w:vAlign w:val="bottom"/>
          </w:tcPr>
          <w:p>
            <w:pPr>
              <w:spacing w:after="0"/>
              <w:rPr>
                <w:sz w:val="1"/>
                <w:szCs w:val="1"/>
                <w:color w:val="auto"/>
              </w:rPr>
            </w:pPr>
          </w:p>
        </w:tc>
      </w:tr>
      <w:tr>
        <w:trPr>
          <w:trHeight w:val="23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July 11, 2025</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13, 2025</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0" w:type="dxa"/>
            <w:vAlign w:val="bottom"/>
          </w:tcPr>
          <w:p>
            <w:pPr>
              <w:spacing w:after="0"/>
              <w:rPr>
                <w:sz w:val="1"/>
                <w:szCs w:val="1"/>
                <w:color w:val="auto"/>
              </w:rPr>
            </w:pPr>
          </w:p>
        </w:tc>
      </w:tr>
      <w:tr>
        <w:trPr>
          <w:trHeight w:val="23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6, 2025</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28, 2025</w:t>
            </w: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11, 2025</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0" w:type="dxa"/>
            <w:vAlign w:val="bottom"/>
          </w:tcPr>
          <w:p>
            <w:pPr>
              <w:spacing w:after="0"/>
              <w:rPr>
                <w:sz w:val="1"/>
                <w:szCs w:val="1"/>
                <w:color w:val="auto"/>
              </w:rPr>
            </w:pPr>
          </w:p>
        </w:tc>
      </w:tr>
      <w:tr>
        <w:trPr>
          <w:trHeight w:val="23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5, 2024</w:t>
            </w: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3, 2025</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27, 2024</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amounts accrued for distributions payable related to unvested restricted stock units.</w:t>
      </w:r>
    </w:p>
    <w:p>
      <w:pPr>
        <w:spacing w:after="0" w:line="14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accrues distributions on unvested restricted stock units, which are payable upon vesting. As of September 30, 2026, the amount accrued for distributions payable related to unvested restricted stock units was $13.9 million. During the nine months ended September 30, 2026 and 2025, the Company paid $14.7 million and $12.1 million of distributions upon the vesting of restricted stock units, respectively. To maintain its qualification for taxation as a REIT, the Company expects to continue paying distributions, the amount, timing and frequency of which will be determined, and subject to adjustment, by the Company’s Board of Directors.</w:t>
      </w:r>
    </w:p>
    <w:p>
      <w:pPr>
        <w:spacing w:after="0" w:line="10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NONCONTROLLING INTERESTS</w:t>
      </w:r>
    </w:p>
    <w:p>
      <w:pPr>
        <w:spacing w:after="0" w:line="14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i w:val="1"/>
          <w:iCs w:val="1"/>
          <w:color w:val="auto"/>
        </w:rPr>
        <w:t>European Interests—</w:t>
      </w:r>
      <w:r>
        <w:rPr>
          <w:rFonts w:ascii="Times New Roman" w:cs="Times New Roman" w:eastAsia="Times New Roman" w:hAnsi="Times New Roman"/>
          <w:sz w:val="18"/>
          <w:szCs w:val="18"/>
          <w:color w:val="auto"/>
        </w:rPr>
        <w:t>As of September 30, 2026, ATC Europe consists of the Company’s operations in France, Germany and Spain. The Company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a 52% controlling interest in ATC Europe, with Caisse de dépôt et placement du Québec (“La Caisse”) and Allianz insurance companies and funds managed by Allianz Capital Partners GmbH, including the Allianz European Infrastructure Fund (collectively, “Allianz”) holding 30% and 18% noncontrolling interests, respectively. ATC Europe holds a 100% interest in the subsidiaries that consist of the Company’s operations in France and an 87% and an 83% controlling interest in the subsidiaries that consist of the Company’s operations in Germany and Spain, respectively, with PGGM holding a 13% and a 17% noncontrolling interest in each respective subsidiary.</w:t>
      </w:r>
    </w:p>
    <w:p>
      <w:pPr>
        <w:spacing w:after="0" w:line="12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Bangladesh Partnership</w:t>
      </w:r>
      <w:r>
        <w:rPr>
          <w:rFonts w:ascii="Times New Roman" w:cs="Times New Roman" w:eastAsia="Times New Roman" w:hAnsi="Times New Roman"/>
          <w:sz w:val="18"/>
          <w:szCs w:val="18"/>
          <w:color w:val="auto"/>
        </w:rPr>
        <w:t>—In 2021, the Company acquired a 51% controlling interest in KTBL. Confidence Tower Holdings Ltd. (“Confidence Group”) held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 noncontrolling interest in KTBL. On June 29, 2026, the Company completed the sale of its interest in KTBL to Confidence Group.</w:t>
      </w:r>
    </w:p>
    <w:p>
      <w:pPr>
        <w:spacing w:after="0" w:line="86"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8"/>
          <w:szCs w:val="18"/>
          <w:i w:val="1"/>
          <w:iCs w:val="1"/>
          <w:color w:val="auto"/>
        </w:rPr>
        <w:t>Stonepeak Transaction</w:t>
      </w:r>
      <w:r>
        <w:rPr>
          <w:rFonts w:ascii="Times New Roman" w:cs="Times New Roman" w:eastAsia="Times New Roman" w:hAnsi="Times New Roman"/>
          <w:sz w:val="18"/>
          <w:szCs w:val="18"/>
          <w:color w:val="auto"/>
        </w:rPr>
        <w:t>—In 2022, the Company entered into agreements pursuant to which certain investment vehicles affiliated with Stonepeak Partners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investment vehicles, collectively, “Stonepeak”) acquired a noncontrolling ownership interest in the Company’s U.S. data center business, through an investment in common equity and mandatorily convertible preferred equity. The mandatorily convertible preferred equity, which accrued dividends at 5.0% through the August 2026 conversion date, converted into common equity on a one for one basis, on August 8, 2026 (the “CoreSite Preferred Equity Conversion”)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CoreSite Preferred Equity Conversion resulted in a reallocation of noncontrolling interest of $244.9 million with a corresponding adjustment to Additional paid-in capital.</w:t>
      </w:r>
    </w:p>
    <w:p>
      <w:pPr>
        <w:spacing w:after="0" w:line="123"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18"/>
          <w:szCs w:val="18"/>
          <w:color w:val="auto"/>
        </w:rPr>
        <w:t>As of September 30, 2026, the Company holds a common equity interest of approximately 64% in its U.S. data center business, with Stonepeak holding approximately 36% of the outstanding common equity.</w:t>
      </w:r>
    </w:p>
    <w:p>
      <w:pPr>
        <w:spacing w:after="0" w:line="100" w:lineRule="exact"/>
        <w:rPr>
          <w:sz w:val="20"/>
          <w:szCs w:val="20"/>
          <w:color w:val="auto"/>
        </w:rPr>
      </w:pPr>
    </w:p>
    <w:p>
      <w:pPr>
        <w:jc w:val="both"/>
        <w:ind w:right="600"/>
        <w:spacing w:after="0" w:line="258" w:lineRule="auto"/>
        <w:rPr>
          <w:sz w:val="20"/>
          <w:szCs w:val="20"/>
          <w:color w:val="auto"/>
        </w:rPr>
      </w:pPr>
      <w:r>
        <w:rPr>
          <w:rFonts w:ascii="Times New Roman" w:cs="Times New Roman" w:eastAsia="Times New Roman" w:hAnsi="Times New Roman"/>
          <w:sz w:val="18"/>
          <w:szCs w:val="18"/>
          <w:i w:val="1"/>
          <w:iCs w:val="1"/>
          <w:color w:val="auto"/>
        </w:rPr>
        <w:t>Dividends to noncontrolling interests—</w:t>
      </w:r>
      <w:r>
        <w:rPr>
          <w:rFonts w:ascii="Times New Roman" w:cs="Times New Roman" w:eastAsia="Times New Roman" w:hAnsi="Times New Roman"/>
          <w:sz w:val="18"/>
          <w:szCs w:val="18"/>
          <w:color w:val="auto"/>
        </w:rPr>
        <w:t>Certain of the Company’s subsidiaries may, from time to time, declare dividends.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the Company’s U.S. data center business declared distributions of $27.6 million related to the outstanding Stonepeak mandatorily convertible preferred equity (the “Stonepeak Preferred Distributions”).</w:t>
      </w:r>
    </w:p>
    <w:p>
      <w:pPr>
        <w:spacing w:after="0" w:line="9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Pursuant to the terms of the ownership agreement with Stonepeak, the Company’s U.S. data center business distributes common dividends to the Company and to Stonepeak in proportion to their respective equity interests in the Company’s U.S. data center business (the “Stonepeak Common Dividend”) on a quarterly basis. During the nine months ended September 30, 2026, the Company’s U.S. data center business declared and paid distributions of $54.5 million, related to the Stonepeak Common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jc w:val="center"/>
        <w:ind w:left="34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pursuant to the terms of the ownership agreements, ATC Europe C.V., one of the Company’s subsidiaries in the Netherlands, declared and paid a dividend of 41.4 million EUR (approximately $47.1 million at the date of payment) to the Company, La Caisse and Allianz in proportion to their respective equity interests in ATC Europe C.V.</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pursuant to the terms of the ownership agreements, AT Iberia C.V., one of the Company’s subsidiaries in Spain, declared and paid a dividend of 67.6 million EUR (approximately $77.0 million at the date of payment) to ATC Europe and PGGM in proportion to their respective equity interests in AT Iberia C.V.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noncontrolling interests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8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0"/>
        </w:trPr>
        <w:tc>
          <w:tcPr>
            <w:tcW w:w="8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6,266.5</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sale of Bangladesh partnership on noncontrolling interests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CoreSite preferred equity conversion</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3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attributable to noncontrolling interests, net of tax</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from noncontrolling interest holders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3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31"/>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6,249.0</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6,813.2</w:t>
            </w: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EARNINGS PER COMMON SHARE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basic and diluted net income per common share computational data (shares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0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6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6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American Tower Corporation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468,036</w:t>
            </w:r>
          </w:p>
        </w:tc>
        <w:tc>
          <w:tcPr>
            <w:tcW w:w="0" w:type="dxa"/>
            <w:vAlign w:val="bottom"/>
          </w:tcPr>
          <w:p>
            <w:pPr>
              <w:spacing w:after="0"/>
              <w:rPr>
                <w:sz w:val="1"/>
                <w:szCs w:val="1"/>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465,758</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469,039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466,327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468,856</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Basic net income attributable to American Tower Corporation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per common share</w:t>
            </w:r>
          </w:p>
        </w:tc>
        <w:tc>
          <w:tcPr>
            <w:tcW w:w="140" w:type="dxa"/>
            <w:vAlign w:val="bottom"/>
            <w:tcBorders>
              <w:bottom w:val="single" w:sz="8" w:color="auto"/>
            </w:tcBorders>
            <w:vMerge w:val="continue"/>
            <w:shd w:val="clear" w:color="auto" w:fill="CCEEFF"/>
          </w:tcPr>
          <w:p>
            <w:pPr>
              <w:spacing w:after="0"/>
              <w:rPr>
                <w:sz w:val="23"/>
                <w:szCs w:val="23"/>
                <w:color w:val="auto"/>
              </w:rPr>
            </w:pPr>
          </w:p>
        </w:tc>
        <w:tc>
          <w:tcPr>
            <w:tcW w:w="1100" w:type="dxa"/>
            <w:vAlign w:val="bottom"/>
            <w:tcBorders>
              <w:bottom w:val="single" w:sz="8" w:color="auto"/>
            </w:tcBorders>
            <w:vMerge w:val="continue"/>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vMerge w:val="continue"/>
            <w:shd w:val="clear" w:color="auto" w:fill="CCEEFF"/>
          </w:tcPr>
          <w:p>
            <w:pPr>
              <w:spacing w:after="0"/>
              <w:rPr>
                <w:sz w:val="23"/>
                <w:szCs w:val="23"/>
                <w:color w:val="auto"/>
              </w:rPr>
            </w:pPr>
          </w:p>
        </w:tc>
        <w:tc>
          <w:tcPr>
            <w:tcW w:w="94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1080" w:type="dxa"/>
            <w:vAlign w:val="bottom"/>
            <w:tcBorders>
              <w:bottom w:val="single" w:sz="8" w:color="auto"/>
            </w:tcBorders>
            <w:vMerge w:val="continue"/>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131"/>
        </w:trPr>
        <w:tc>
          <w:tcPr>
            <w:tcW w:w="6020" w:type="dxa"/>
            <w:vAlign w:val="bottom"/>
            <w:tcBorders>
              <w:top w:val="single" w:sz="8" w:color="CCEEFF"/>
            </w:tcBorders>
          </w:tcPr>
          <w:p>
            <w:pPr>
              <w:ind w:left="20"/>
              <w:spacing w:after="0" w:line="131" w:lineRule="exact"/>
              <w:rPr>
                <w:sz w:val="20"/>
                <w:szCs w:val="20"/>
                <w:color w:val="auto"/>
              </w:rPr>
            </w:pPr>
            <w:r>
              <w:rPr>
                <w:rFonts w:ascii="Times New Roman" w:cs="Times New Roman" w:eastAsia="Times New Roman" w:hAnsi="Times New Roman"/>
                <w:sz w:val="15"/>
                <w:szCs w:val="15"/>
                <w:color w:val="auto"/>
              </w:rPr>
              <w:t>Diluted net income attributable to American Tower Corporation common</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top w:val="single" w:sz="8" w:color="CCEEFF"/>
            </w:tcBorders>
          </w:tcPr>
          <w:p>
            <w:pPr>
              <w:spacing w:after="0"/>
              <w:rPr>
                <w:sz w:val="11"/>
                <w:szCs w:val="11"/>
                <w:color w:val="auto"/>
              </w:rPr>
            </w:pPr>
          </w:p>
        </w:tc>
        <w:tc>
          <w:tcPr>
            <w:tcW w:w="3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Borders>
              <w:top w:val="single" w:sz="8" w:color="CCEEFF"/>
            </w:tcBorders>
          </w:tcPr>
          <w:p>
            <w:pPr>
              <w:spacing w:after="0"/>
              <w:rPr>
                <w:sz w:val="11"/>
                <w:szCs w:val="11"/>
                <w:color w:val="auto"/>
              </w:rPr>
            </w:pPr>
          </w:p>
        </w:tc>
        <w:tc>
          <w:tcPr>
            <w:tcW w:w="3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Shares Excluded From Dilutive Effect</w:t>
      </w:r>
      <w:r>
        <w:rPr>
          <w:rFonts w:ascii="Times New Roman" w:cs="Times New Roman" w:eastAsia="Times New Roman" w:hAnsi="Times New Roman"/>
          <w:sz w:val="18"/>
          <w:szCs w:val="18"/>
          <w:color w:val="auto"/>
        </w:rPr>
        <w:t>—The following shares were not included in the computation of diluted earnings per share because the effect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anti-dilutive (in thousands, on a weighted average basis)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6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6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0"/>
        </w:trPr>
        <w:tc>
          <w:tcPr>
            <w:tcW w:w="6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6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COMMITMENTS AND CONTINGENCIES</w:t>
      </w:r>
    </w:p>
    <w:p>
      <w:pPr>
        <w:spacing w:after="0" w:line="1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 Company periodically becomes involved in various claims and lawsuits that are incidental to its business. While the Company’s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consultation with counsel, currently believes the ultimate outcome of these legal proceedings, individually and in the aggregate, will not have a material adverse impact on its consolidated financial position, results of operations or liquidity, litigation is subject to inherent uncertainties. Were an unfavorable ruling to occur, there exists the possibility of a material adverse impact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ind w:left="360" w:right="178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8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i w:val="1"/>
          <w:iCs w:val="1"/>
          <w:color w:val="auto"/>
        </w:rPr>
        <w:t>Verizon Transaction</w:t>
      </w:r>
      <w:r>
        <w:rPr>
          <w:rFonts w:ascii="Times New Roman" w:cs="Times New Roman" w:eastAsia="Times New Roman" w:hAnsi="Times New Roman"/>
          <w:sz w:val="18"/>
          <w:szCs w:val="18"/>
          <w:color w:val="auto"/>
        </w:rPr>
        <w:t>—In March 2015, the Company entered into an agreement with various operating entities of Verizon Communications Inc. (“Verizon”)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provides for the lease, sublease or management of approximately 11,100 wireless communications sites, which commenced on March 27, 2015. The average term of the lease or sublease for all communications sites at the inception of the agreement was approximately 28 years, assuming renewals or extensions of the underlying ground leases for the sites. The Company has the option to purchase the leased sites in tranches, subject to the applicable lease, sublease or management rights upon its scheduled expiration. Each tower is assigned to an annual tranche, ranging from 2034 to 2047, which represents the outside expiration date for the sublease rights to the towers in that tranche. The purchase price for each tranche is a fixed amount stated in the lease for such tranche plus the fair market value of certain alterations made to the related towers. The aggregate purchase option price for the towers leased and subleased is approximately $5.0 billion. Verizon occupied the sites as a tenant for an initial term of ten years and has exercised its first renewal option for a five-year term. Verizon has seven optional successive five-year terms remaining; each such term shall be governed by standard master lease agreement terms established as a part of the transaction.</w:t>
      </w:r>
    </w:p>
    <w:p>
      <w:pPr>
        <w:spacing w:after="0" w:line="1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i w:val="1"/>
          <w:iCs w:val="1"/>
          <w:color w:val="auto"/>
        </w:rPr>
        <w:t>AT&amp;T Transaction</w:t>
      </w:r>
      <w:r>
        <w:rPr>
          <w:rFonts w:ascii="Times New Roman" w:cs="Times New Roman" w:eastAsia="Times New Roman" w:hAnsi="Times New Roman"/>
          <w:sz w:val="16"/>
          <w:szCs w:val="16"/>
          <w:color w:val="auto"/>
        </w:rPr>
        <w:t>—The Company has an agreement with SBC Communications Inc., a predecessor entity to AT&amp;T Inc. (“AT&amp;T”), that currently provides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lease or sublease of approximately 1,400 towers, which commenced between December 2000 and August 2004. Substantially all of the towers are part of the securitization transactions completed in March 2018 and March 2023 (together, the “Trust Securitization”). The average term of the lease or sublease for all sites at the inception of the agreement was approximately 27 years, assuming renewals or extensions of the underlying ground leases for the sites. The Company has the option to purchase the sites subject to the applicable lease or sublease upon its expiration. Each tower is assigned to an annual tranche, ranging from 2013 to 2032, which represents the outside expiration date for the sublease rights to that tower. The purchase price for each site is a fixed amount stated in the lease for that site plus the fair market value of certain alterations made to the related tower by AT&amp;T. As of September 30, 2026, the Company has purchased an aggregate of approximately 1,000 of the subleased towers which are subject to the applicable agreement, including 238 towers purchased during the nine months ended September 30, 2026 for an aggregate purchase price of $204.0 million. The aggregate purchase option price for the remaining towers leased and subleased is $1.1 billion and includes per annum accretion through the applicable expiration of the lease or sublease of a site. For the applicable sites, AT&amp;T has the right to continue to lease space subject to a monthly fee, which shall escalate in accordance with the standard master lease agreement for the remainder of AT&amp;T’s tenancy. AT&amp;T shall have the right to renew each lease for up to five successive five-year terms.</w:t>
      </w:r>
    </w:p>
    <w:p>
      <w:pPr>
        <w:spacing w:after="0" w:line="30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i w:val="1"/>
          <w:iCs w:val="1"/>
          <w:color w:val="auto"/>
        </w:rPr>
        <w:t>Other Contingencies</w:t>
      </w:r>
      <w:r>
        <w:rPr>
          <w:rFonts w:ascii="Times New Roman" w:cs="Times New Roman" w:eastAsia="Times New Roman" w:hAnsi="Times New Roman"/>
          <w:sz w:val="18"/>
          <w:szCs w:val="18"/>
          <w:color w:val="auto"/>
        </w:rPr>
        <w:t>—The Company is subject to income tax and other taxes in the geographic areas where it holds assets or operates, and periodically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receives notifications of audits, assessments or other actions by taxing authorities. Taxing authorities may issue notices or assessments while audits are being conducted. In certain jurisdictions, taxing authorities may issue assessments with minimal examination. These notices and assessments do not represent amounts that the Company is obligated to pay and are often not reflective of the actual tax liability for which the Company will ultimately be liable. In the process of responding to assessments of taxes that the Company believes are not enforceable, the Company avails itself of both administrative and judicial remedies. The Company evaluates the circumstances of each notification or assessment based on the information available and, in those instances in which the Company does not anticipate a successful defense of positions taken in its tax filings, a liability is recorded in the appropriate amount based on the underlying assessment.</w:t>
      </w:r>
    </w:p>
    <w:p>
      <w:pPr>
        <w:spacing w:after="0" w:line="12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BUSINESS SEGMENTS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w:t>
      </w:r>
    </w:p>
    <w:p>
      <w:pPr>
        <w:spacing w:after="0" w:line="138"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Communications Sites and Related Communications Infrastructure</w:t>
      </w:r>
      <w:r>
        <w:rPr>
          <w:rFonts w:ascii="Times New Roman" w:cs="Times New Roman" w:eastAsia="Times New Roman" w:hAnsi="Times New Roman"/>
          <w:sz w:val="18"/>
          <w:szCs w:val="18"/>
          <w:color w:val="auto"/>
        </w:rPr>
        <w:t>—The Company’s primary business is leasing space on multitenant communications sites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wireless service providers, radio and television broadcast companies, wireless data providers, government agencies and municipalities and tenants in a number of other industries. The Company has historically reported these operations on a geographic basis.</w:t>
      </w:r>
    </w:p>
    <w:p>
      <w:pPr>
        <w:spacing w:after="0" w:line="11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Data Centers</w:t>
      </w:r>
      <w:r>
        <w:rPr>
          <w:rFonts w:ascii="Times New Roman" w:cs="Times New Roman" w:eastAsia="Times New Roman" w:hAnsi="Times New Roman"/>
          <w:sz w:val="18"/>
          <w:szCs w:val="18"/>
          <w:color w:val="auto"/>
        </w:rPr>
        <w:t>—The Company operates 30 data center facilities across eleven markets in the United States. The Company’s Data Centers segment relates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center facilities and related assets that the Company owns and operates in the United States. The Data Centers segment offers different types of leased land, infrastructure and related services from, and requires different resources, skill sets and marketing strategies than the existing property operating segment in the U.S. &amp; Canada.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Company’s property operations consisted of the following:</w:t>
      </w:r>
    </w:p>
    <w:p>
      <w:pPr>
        <w:spacing w:after="0" w:line="136" w:lineRule="exact"/>
        <w:rPr>
          <w:sz w:val="20"/>
          <w:szCs w:val="20"/>
          <w:color w:val="auto"/>
        </w:rPr>
      </w:pPr>
    </w:p>
    <w:p>
      <w:pPr>
        <w:ind w:left="640" w:hanging="31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&amp; Canada: property operations in Canada and the United States;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1"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jc w:val="center"/>
        <w:ind w:left="360" w:right="178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83" w:lineRule="exact"/>
        <w:rPr>
          <w:sz w:val="20"/>
          <w:szCs w:val="20"/>
          <w:color w:val="auto"/>
        </w:rPr>
      </w:pPr>
    </w:p>
    <w:p>
      <w:pPr>
        <w:ind w:left="640" w:hanging="31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Africa &amp; APAC: property operations in Burkina Faso, Ghana, Kenya, Niger, Nigeria, South Africa and Uganda;</w:t>
      </w:r>
    </w:p>
    <w:p>
      <w:pPr>
        <w:spacing w:after="0" w:line="21"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property operations in France, Germany and Spain;</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property operations in Argentina, Brazil, Chile, Colombia, Costa Rica, Mexico, Paraguay and Peru; and</w:t>
      </w:r>
    </w:p>
    <w:p>
      <w:pPr>
        <w:spacing w:after="0" w:line="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data center property operations in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4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Services segment offers tower-related services in the United States, including AZP, structural and mount analyses, and construction management services, together with program management offerings that support customer deployment needs from project scoping through construction. The Company’s services operations primarily support its site leasing business, including the addition of new tenants and equipment on its communications sites. The Services segment is a strategic business unit that offers different services from, and requires different resources, skill sets and marketing strategies than, the property operating segments.</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The accounting policies applied in compiling segment information below are similar to those described in note 1. Among other factors, in evaluating financial performance in each business segment, management uses segment gross margin and segment operating profit. The Company defines segment gross margin as segment revenue less segment operating expenses excluding Depreciation, amortization and accretion; Selling, general, administrative and development expense; and Other operating expenses. The Company defines segment operating profit as segment gross margin less Selling, general, administrative and development expense attributable to the segment, excluding stock-based compensation expense and corporate expenses. These measures of segment gross margin and segment operating profit are also before Interest income, Interest expense, Gain (loss) on retirement of long-term obligations, Other income (expense), Net income (loss) attributable to noncontrolling interests and Income tax benefit (provision). The categories of expenses indicated above, such as depreciation, have been excluded from segment operating performance as they are not considered in the review of information or the evaluation of results by management. The Company’s definition of segment operating profit aligns with the Company’s definition of Adjusted EBITDA. Adjusted EBITDA is widely used in the telecommunications real estate sector to measure operating performance as depreciation, amortization and accretion may vary significantly among companies depending upon accounting methods and useful lives, particularly where acquisitions and non-operating factors are involved.</w:t>
      </w:r>
    </w:p>
    <w:p>
      <w:pPr>
        <w:spacing w:after="0" w:line="30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Company’s chief operating decision maker (the “CODM”) is the Company’s chief executive officer. The CODM uses segment gross margin and segment operating profit to evaluate the segments’ operating performance, in making capital allocation decisions, and in establishing management’s compensation. Additionally, the CODM uses these metrics to monitor budget versus actual results. There are no significant revenues resulting from transactions between the Company’s operating segments. All intercompany transactions are eliminated to reconcile segment results and assets to the consolidated statements of operations and consolidated balance sheets.</w:t>
      </w:r>
    </w:p>
    <w:p>
      <w:pPr>
        <w:spacing w:after="0" w:line="10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Summarized financial information concerning the Company’s reportable segments for the three and nine months ended September 30, 2026 and 2025 is shown in the following tables. The “Other” column (i) represents amounts excluded from specific segments, such as business development operations, stock-based compensation expense and corporate expenses included in Selling, general, administrative and development expense; Other operating expenses; Interest income; Interest expense; Gain (loss) on retirement of long-term obligations; and Other income (expense), and (ii) reconciles segment operating profit to Income from continuing operations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6" w:name="page27"/>
    <w:bookmarkEnd w:id="26"/>
    <w:p>
      <w:pPr>
        <w:jc w:val="center"/>
        <w:ind w:left="182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0" w:right="200"/>
        <w:spacing w:after="0" w:line="252" w:lineRule="auto"/>
        <w:rPr>
          <w:sz w:val="20"/>
          <w:szCs w:val="20"/>
          <w:color w:val="auto"/>
        </w:rPr>
      </w:pPr>
      <w:r>
        <w:rPr>
          <w:rFonts w:ascii="Times New Roman" w:cs="Times New Roman" w:eastAsia="Times New Roman" w:hAnsi="Times New Roman"/>
          <w:sz w:val="14"/>
          <w:szCs w:val="14"/>
          <w:b w:val="1"/>
          <w:bCs w:val="1"/>
          <w:color w:val="auto"/>
        </w:rPr>
        <w:t>Three Months Ended September 30, 2026</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revenues</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operating expenses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gross margin</w:t>
      </w:r>
    </w:p>
    <w:p>
      <w:pPr>
        <w:spacing w:after="0" w:line="76" w:lineRule="exact"/>
        <w:rPr>
          <w:sz w:val="20"/>
          <w:szCs w:val="20"/>
          <w:color w:val="auto"/>
        </w:rPr>
      </w:pPr>
    </w:p>
    <w:p>
      <w:pPr>
        <w:ind w:left="20" w:right="120"/>
        <w:spacing w:after="0" w:line="249" w:lineRule="auto"/>
        <w:rPr>
          <w:sz w:val="20"/>
          <w:szCs w:val="20"/>
          <w:color w:val="auto"/>
        </w:rPr>
      </w:pPr>
      <w:r>
        <w:rPr>
          <w:rFonts w:ascii="Times New Roman" w:cs="Times New Roman" w:eastAsia="Times New Roman" w:hAnsi="Times New Roman"/>
          <w:sz w:val="14"/>
          <w:szCs w:val="14"/>
          <w:color w:val="auto"/>
        </w:rPr>
        <w:t>Segment selling, general, administrative and development expense (1)</w:t>
      </w:r>
    </w:p>
    <w:p>
      <w:pPr>
        <w:spacing w:after="0" w:line="8" w:lineRule="exact"/>
        <w:rPr>
          <w:sz w:val="20"/>
          <w:szCs w:val="20"/>
          <w:color w:val="auto"/>
        </w:rPr>
      </w:pPr>
    </w:p>
    <w:p>
      <w:pPr>
        <w:ind w:left="20" w:right="380"/>
        <w:spacing w:after="0" w:line="382" w:lineRule="auto"/>
        <w:rPr>
          <w:sz w:val="20"/>
          <w:szCs w:val="20"/>
          <w:color w:val="auto"/>
        </w:rPr>
      </w:pPr>
      <w:r>
        <w:rPr>
          <w:rFonts w:ascii="Times New Roman" w:cs="Times New Roman" w:eastAsia="Times New Roman" w:hAnsi="Times New Roman"/>
          <w:sz w:val="14"/>
          <w:szCs w:val="14"/>
          <w:color w:val="auto"/>
        </w:rPr>
        <w:t>Segment operating profit Stock-based compensation expense</w:t>
      </w:r>
    </w:p>
    <w:p>
      <w:pPr>
        <w:spacing w:after="0" w:line="1" w:lineRule="exact"/>
        <w:rPr>
          <w:sz w:val="20"/>
          <w:szCs w:val="20"/>
          <w:color w:val="auto"/>
        </w:rPr>
      </w:pPr>
    </w:p>
    <w:p>
      <w:pPr>
        <w:ind w:left="20" w:right="60"/>
        <w:spacing w:after="0" w:line="249" w:lineRule="auto"/>
        <w:rPr>
          <w:sz w:val="20"/>
          <w:szCs w:val="20"/>
          <w:color w:val="auto"/>
        </w:rPr>
      </w:pPr>
      <w:r>
        <w:rPr>
          <w:rFonts w:ascii="Times New Roman" w:cs="Times New Roman" w:eastAsia="Times New Roman" w:hAnsi="Times New Roman"/>
          <w:sz w:val="14"/>
          <w:szCs w:val="14"/>
          <w:color w:val="auto"/>
        </w:rPr>
        <w:t>Other selling, general, administrative and development expense</w:t>
      </w:r>
    </w:p>
    <w:p>
      <w:pPr>
        <w:spacing w:after="0" w:line="8" w:lineRule="exact"/>
        <w:rPr>
          <w:sz w:val="20"/>
          <w:szCs w:val="20"/>
          <w:color w:val="auto"/>
        </w:rPr>
      </w:pPr>
    </w:p>
    <w:p>
      <w:pPr>
        <w:ind w:left="20" w:right="80"/>
        <w:spacing w:after="0" w:line="333" w:lineRule="auto"/>
        <w:rPr>
          <w:sz w:val="20"/>
          <w:szCs w:val="20"/>
          <w:color w:val="auto"/>
        </w:rPr>
      </w:pPr>
      <w:r>
        <w:rPr>
          <w:rFonts w:ascii="Times New Roman" w:cs="Times New Roman" w:eastAsia="Times New Roman" w:hAnsi="Times New Roman"/>
          <w:sz w:val="14"/>
          <w:szCs w:val="14"/>
          <w:color w:val="auto"/>
        </w:rPr>
        <w:t>Depreciation, amortization and accretion Other expense (2)</w:t>
      </w:r>
    </w:p>
    <w:p>
      <w:pPr>
        <w:spacing w:after="0" w:line="1" w:lineRule="exact"/>
        <w:rPr>
          <w:sz w:val="20"/>
          <w:szCs w:val="20"/>
          <w:color w:val="auto"/>
        </w:rPr>
      </w:pPr>
    </w:p>
    <w:p>
      <w:pPr>
        <w:ind w:left="20"/>
        <w:spacing w:after="0" w:line="249" w:lineRule="auto"/>
        <w:rPr>
          <w:sz w:val="20"/>
          <w:szCs w:val="20"/>
          <w:color w:val="auto"/>
        </w:rPr>
      </w:pPr>
      <w:r>
        <w:rPr>
          <w:rFonts w:ascii="Times New Roman" w:cs="Times New Roman" w:eastAsia="Times New Roman" w:hAnsi="Times New Roman"/>
          <w:sz w:val="14"/>
          <w:szCs w:val="14"/>
          <w:color w:val="auto"/>
        </w:rPr>
        <w:t>Income from continuing operations before income taxes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U.S. &amp; Canada</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Africa &amp;</w:t>
            </w:r>
          </w:p>
        </w:tc>
        <w:tc>
          <w:tcPr>
            <w:tcW w:w="140" w:type="dxa"/>
            <w:vAlign w:val="bottom"/>
          </w:tcPr>
          <w:p>
            <w:pPr>
              <w:spacing w:after="0"/>
              <w:rPr>
                <w:sz w:val="13"/>
                <w:szCs w:val="13"/>
                <w:color w:val="auto"/>
              </w:rPr>
            </w:pPr>
          </w:p>
        </w:tc>
        <w:tc>
          <w:tcPr>
            <w:tcW w:w="72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140"/>
              <w:spacing w:after="0" w:line="153" w:lineRule="exact"/>
              <w:rPr>
                <w:sz w:val="20"/>
                <w:szCs w:val="20"/>
                <w:color w:val="auto"/>
              </w:rPr>
            </w:pPr>
            <w:r>
              <w:rPr>
                <w:rFonts w:ascii="Times New Roman" w:cs="Times New Roman" w:eastAsia="Times New Roman" w:hAnsi="Times New Roman"/>
                <w:sz w:val="14"/>
                <w:szCs w:val="14"/>
                <w:b w:val="1"/>
                <w:bCs w:val="1"/>
                <w:color w:val="auto"/>
              </w:rPr>
              <w:t>Latin</w:t>
            </w:r>
          </w:p>
        </w:tc>
        <w:tc>
          <w:tcPr>
            <w:tcW w:w="9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160"/>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70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60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72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APAC</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0" w:type="dxa"/>
            <w:vAlign w:val="bottom"/>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100" w:type="dxa"/>
            <w:vAlign w:val="bottom"/>
          </w:tcPr>
          <w:p>
            <w:pPr>
              <w:spacing w:after="0"/>
              <w:rPr>
                <w:sz w:val="18"/>
                <w:szCs w:val="18"/>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2,785.4</w:t>
            </w:r>
          </w:p>
        </w:tc>
        <w:tc>
          <w:tcPr>
            <w:tcW w:w="0" w:type="dxa"/>
            <w:vAlign w:val="bottom"/>
          </w:tcPr>
          <w:p>
            <w:pPr>
              <w:spacing w:after="0"/>
              <w:rPr>
                <w:sz w:val="1"/>
                <w:szCs w:val="1"/>
                <w:color w:val="auto"/>
              </w:rPr>
            </w:pPr>
          </w:p>
        </w:tc>
      </w:tr>
      <w:tr>
        <w:trPr>
          <w:trHeight w:val="226"/>
        </w:trPr>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724.9</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0" w:type="dxa"/>
            <w:vAlign w:val="bottom"/>
          </w:tcPr>
          <w:p>
            <w:pPr>
              <w:spacing w:after="0"/>
              <w:rPr>
                <w:sz w:val="1"/>
                <w:szCs w:val="1"/>
                <w:color w:val="auto"/>
              </w:rPr>
            </w:pPr>
          </w:p>
        </w:tc>
      </w:tr>
      <w:tr>
        <w:trPr>
          <w:trHeight w:val="217"/>
        </w:trPr>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2,028.5</w:t>
            </w:r>
          </w:p>
        </w:tc>
        <w:tc>
          <w:tcPr>
            <w:tcW w:w="0" w:type="dxa"/>
            <w:vAlign w:val="bottom"/>
          </w:tcPr>
          <w:p>
            <w:pPr>
              <w:spacing w:after="0"/>
              <w:rPr>
                <w:sz w:val="1"/>
                <w:szCs w:val="1"/>
                <w:color w:val="auto"/>
              </w:rPr>
            </w:pPr>
          </w:p>
        </w:tc>
      </w:tr>
      <w:tr>
        <w:trPr>
          <w:trHeight w:val="323"/>
        </w:trPr>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17"/>
        </w:trPr>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00" w:type="dxa"/>
            <w:vAlign w:val="bottom"/>
          </w:tcPr>
          <w:p>
            <w:pPr>
              <w:spacing w:after="0"/>
              <w:rPr>
                <w:sz w:val="18"/>
                <w:szCs w:val="18"/>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w:t>
            </w:r>
          </w:p>
        </w:tc>
        <w:tc>
          <w:tcPr>
            <w:tcW w:w="0" w:type="dxa"/>
            <w:vAlign w:val="bottom"/>
          </w:tcPr>
          <w:p>
            <w:pPr>
              <w:spacing w:after="0"/>
              <w:rPr>
                <w:sz w:val="1"/>
                <w:szCs w:val="1"/>
                <w:color w:val="auto"/>
              </w:rPr>
            </w:pPr>
          </w:p>
        </w:tc>
      </w:tr>
      <w:tr>
        <w:trPr>
          <w:trHeight w:val="22"/>
        </w:trPr>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343"/>
        </w:trPr>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0" w:type="dxa"/>
            <w:vAlign w:val="bottom"/>
          </w:tcPr>
          <w:p>
            <w:pPr>
              <w:spacing w:after="0"/>
              <w:rPr>
                <w:sz w:val="1"/>
                <w:szCs w:val="1"/>
                <w:color w:val="auto"/>
              </w:rPr>
            </w:pPr>
          </w:p>
        </w:tc>
      </w:tr>
      <w:tr>
        <w:trPr>
          <w:trHeight w:val="296"/>
        </w:trPr>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898.4</w:t>
            </w:r>
          </w:p>
        </w:tc>
        <w:tc>
          <w:tcPr>
            <w:tcW w:w="0" w:type="dxa"/>
            <w:vAlign w:val="bottom"/>
          </w:tcPr>
          <w:p>
            <w:pPr>
              <w:spacing w:after="0"/>
              <w:rPr>
                <w:sz w:val="1"/>
                <w:szCs w:val="1"/>
                <w:color w:val="auto"/>
              </w:rPr>
            </w:pPr>
          </w:p>
        </w:tc>
      </w:tr>
      <w:tr>
        <w:trPr>
          <w:trHeight w:val="22"/>
        </w:trPr>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-1722755</wp:posOffset>
            </wp:positionV>
            <wp:extent cx="7135495" cy="150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-1430020</wp:posOffset>
            </wp:positionV>
            <wp:extent cx="7135495" cy="150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-1061720</wp:posOffset>
            </wp:positionV>
            <wp:extent cx="7135495" cy="167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5495" cy="16700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-735330</wp:posOffset>
            </wp:positionV>
            <wp:extent cx="7135495" cy="217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5495" cy="21780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-375920</wp:posOffset>
            </wp:positionV>
            <wp:extent cx="7135495" cy="142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2400" w:space="140"/>
            <w:col w:w="8700"/>
          </w:cols>
          <w:pgMar w:left="320" w:top="1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selling, general, administrative and development expenses exclude stock-based compensation expense of $31.5 million.</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interest expense and an unrealized loss from equity securities of $71.5 million, partially offset by gains from foreign currency exchange rate fluctuations.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58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3"/>
                <w:szCs w:val="13"/>
                <w:color w:val="auto"/>
              </w:rPr>
            </w:pPr>
          </w:p>
        </w:tc>
        <w:tc>
          <w:tcPr>
            <w:tcW w:w="840" w:type="dxa"/>
            <w:vAlign w:val="bottom"/>
            <w:gridSpan w:val="2"/>
          </w:tcPr>
          <w:p>
            <w:pPr>
              <w:ind w:left="100"/>
              <w:spacing w:after="0" w:line="151" w:lineRule="exact"/>
              <w:rPr>
                <w:sz w:val="20"/>
                <w:szCs w:val="20"/>
                <w:color w:val="auto"/>
              </w:rPr>
            </w:pPr>
            <w:r>
              <w:rPr>
                <w:rFonts w:ascii="Times New Roman" w:cs="Times New Roman" w:eastAsia="Times New Roman" w:hAnsi="Times New Roman"/>
                <w:sz w:val="14"/>
                <w:szCs w:val="14"/>
                <w:b w:val="1"/>
                <w:bCs w:val="1"/>
                <w:color w:val="auto"/>
              </w:rPr>
              <w:t>U.S. &amp;</w:t>
            </w:r>
          </w:p>
        </w:tc>
        <w:tc>
          <w:tcPr>
            <w:tcW w:w="140" w:type="dxa"/>
            <w:vAlign w:val="bottom"/>
          </w:tcPr>
          <w:p>
            <w:pPr>
              <w:spacing w:after="0"/>
              <w:rPr>
                <w:sz w:val="13"/>
                <w:szCs w:val="13"/>
                <w:color w:val="auto"/>
              </w:rPr>
            </w:pPr>
          </w:p>
        </w:tc>
        <w:tc>
          <w:tcPr>
            <w:tcW w:w="84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Africa &amp;</w:t>
            </w:r>
          </w:p>
        </w:tc>
        <w:tc>
          <w:tcPr>
            <w:tcW w:w="160" w:type="dxa"/>
            <w:vAlign w:val="bottom"/>
          </w:tcPr>
          <w:p>
            <w:pPr>
              <w:spacing w:after="0"/>
              <w:rPr>
                <w:sz w:val="13"/>
                <w:szCs w:val="13"/>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Latin</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78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8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64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70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APAC</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1,318.8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2,717.4</w:t>
            </w:r>
          </w:p>
        </w:tc>
        <w:tc>
          <w:tcPr>
            <w:tcW w:w="0" w:type="dxa"/>
            <w:vAlign w:val="bottom"/>
          </w:tcPr>
          <w:p>
            <w:pPr>
              <w:spacing w:after="0"/>
              <w:rPr>
                <w:sz w:val="1"/>
                <w:szCs w:val="1"/>
                <w:color w:val="auto"/>
              </w:rPr>
            </w:pPr>
          </w:p>
        </w:tc>
      </w:tr>
      <w:tr>
        <w:trPr>
          <w:trHeight w:val="222"/>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217.4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gross margin</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2,006.6</w:t>
            </w:r>
          </w:p>
        </w:tc>
        <w:tc>
          <w:tcPr>
            <w:tcW w:w="0" w:type="dxa"/>
            <w:vAlign w:val="bottom"/>
          </w:tcPr>
          <w:p>
            <w:pPr>
              <w:spacing w:after="0"/>
              <w:rPr>
                <w:sz w:val="1"/>
                <w:szCs w:val="1"/>
                <w:color w:val="auto"/>
              </w:rPr>
            </w:pPr>
          </w:p>
        </w:tc>
      </w:tr>
      <w:tr>
        <w:trPr>
          <w:trHeight w:val="125"/>
        </w:trPr>
        <w:tc>
          <w:tcPr>
            <w:tcW w:w="258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Segment selling, general, administrative</w:t>
            </w:r>
          </w:p>
        </w:tc>
        <w:tc>
          <w:tcPr>
            <w:tcW w:w="140" w:type="dxa"/>
            <w:vAlign w:val="bottom"/>
          </w:tcPr>
          <w:p>
            <w:pPr>
              <w:spacing w:after="0"/>
              <w:rPr>
                <w:sz w:val="10"/>
                <w:szCs w:val="10"/>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and development expense (1)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operating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1,060.2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147"/>
        </w:trPr>
        <w:tc>
          <w:tcPr>
            <w:tcW w:w="25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Other selling, general, administrative and</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development expense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0" w:type="dxa"/>
            <w:vAlign w:val="bottom"/>
          </w:tcPr>
          <w:p>
            <w:pPr>
              <w:spacing w:after="0"/>
              <w:rPr>
                <w:sz w:val="1"/>
                <w:szCs w:val="1"/>
                <w:color w:val="auto"/>
              </w:rPr>
            </w:pPr>
          </w:p>
        </w:tc>
      </w:tr>
      <w:tr>
        <w:trPr>
          <w:trHeight w:val="125"/>
        </w:trPr>
        <w:tc>
          <w:tcPr>
            <w:tcW w:w="258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Income from continuing operations before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0" w:type="dxa"/>
            <w:vAlign w:val="bottom"/>
          </w:tcPr>
          <w:p>
            <w:pPr>
              <w:spacing w:after="0"/>
              <w:rPr>
                <w:sz w:val="1"/>
                <w:szCs w:val="1"/>
                <w:color w:val="auto"/>
              </w:rPr>
            </w:pPr>
          </w:p>
        </w:tc>
      </w:tr>
      <w:tr>
        <w:trPr>
          <w:trHeight w:val="17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6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(1)  Segment selling, general, administrative and development expenses exclude stock-based compensation expense of $41.9 million.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(2)  Primarily includes interest expense, partially offset by gains from foreign currency exchange rate fluctuations and an unrealized gain from equity</w:t>
            </w:r>
          </w:p>
        </w:tc>
        <w:tc>
          <w:tcPr>
            <w:tcW w:w="120" w:type="dxa"/>
            <w:vAlign w:val="bottom"/>
          </w:tcPr>
          <w:p>
            <w:pPr>
              <w:spacing w:after="0"/>
              <w:rPr>
                <w:sz w:val="15"/>
                <w:szCs w:val="15"/>
                <w:color w:val="auto"/>
              </w:rPr>
            </w:pPr>
          </w:p>
        </w:tc>
        <w:tc>
          <w:tcPr>
            <w:tcW w:w="19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color w:val="auto"/>
              </w:rPr>
              <w:t>securities of $10.9 million.</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7" w:name="page28"/>
    <w:bookmarkEnd w:id="27"/>
    <w:p>
      <w:pPr>
        <w:jc w:val="center"/>
        <w:ind w:left="1820" w:right="180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0" w:right="220"/>
        <w:spacing w:after="0" w:line="252" w:lineRule="auto"/>
        <w:rPr>
          <w:sz w:val="20"/>
          <w:szCs w:val="20"/>
          <w:color w:val="auto"/>
        </w:rPr>
      </w:pPr>
      <w:r>
        <w:rPr>
          <w:rFonts w:ascii="Times New Roman" w:cs="Times New Roman" w:eastAsia="Times New Roman" w:hAnsi="Times New Roman"/>
          <w:sz w:val="14"/>
          <w:szCs w:val="14"/>
          <w:b w:val="1"/>
          <w:bCs w:val="1"/>
          <w:color w:val="auto"/>
        </w:rPr>
        <w:t>Nine Months Ended September 30, 2026</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revenues</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operating expenses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gross margin</w:t>
      </w:r>
    </w:p>
    <w:p>
      <w:pPr>
        <w:spacing w:after="0" w:line="76" w:lineRule="exact"/>
        <w:rPr>
          <w:sz w:val="20"/>
          <w:szCs w:val="20"/>
          <w:color w:val="auto"/>
        </w:rPr>
      </w:pPr>
    </w:p>
    <w:p>
      <w:pPr>
        <w:ind w:left="20" w:right="60"/>
        <w:spacing w:after="0" w:line="249" w:lineRule="auto"/>
        <w:rPr>
          <w:sz w:val="20"/>
          <w:szCs w:val="20"/>
          <w:color w:val="auto"/>
        </w:rPr>
      </w:pPr>
      <w:r>
        <w:rPr>
          <w:rFonts w:ascii="Times New Roman" w:cs="Times New Roman" w:eastAsia="Times New Roman" w:hAnsi="Times New Roman"/>
          <w:sz w:val="14"/>
          <w:szCs w:val="14"/>
          <w:color w:val="auto"/>
        </w:rPr>
        <w:t>Segment selling, general, administrative and development expense (1)</w:t>
      </w:r>
    </w:p>
    <w:p>
      <w:pPr>
        <w:spacing w:after="0" w:line="8" w:lineRule="exact"/>
        <w:rPr>
          <w:sz w:val="20"/>
          <w:szCs w:val="20"/>
          <w:color w:val="auto"/>
        </w:rPr>
      </w:pPr>
    </w:p>
    <w:p>
      <w:pPr>
        <w:ind w:left="20" w:right="320"/>
        <w:spacing w:after="0" w:line="382" w:lineRule="auto"/>
        <w:rPr>
          <w:sz w:val="20"/>
          <w:szCs w:val="20"/>
          <w:color w:val="auto"/>
        </w:rPr>
      </w:pPr>
      <w:r>
        <w:rPr>
          <w:rFonts w:ascii="Times New Roman" w:cs="Times New Roman" w:eastAsia="Times New Roman" w:hAnsi="Times New Roman"/>
          <w:sz w:val="14"/>
          <w:szCs w:val="14"/>
          <w:color w:val="auto"/>
        </w:rPr>
        <w:t>Segment operating profit Stock-based compensation expense</w:t>
      </w:r>
    </w:p>
    <w:p>
      <w:pPr>
        <w:spacing w:after="0" w:line="1" w:lineRule="exact"/>
        <w:rPr>
          <w:sz w:val="20"/>
          <w:szCs w:val="20"/>
          <w:color w:val="auto"/>
        </w:rPr>
      </w:pPr>
    </w:p>
    <w:p>
      <w:pPr>
        <w:ind w:left="20"/>
        <w:spacing w:after="0" w:line="249" w:lineRule="auto"/>
        <w:rPr>
          <w:sz w:val="20"/>
          <w:szCs w:val="20"/>
          <w:color w:val="auto"/>
        </w:rPr>
      </w:pPr>
      <w:r>
        <w:rPr>
          <w:rFonts w:ascii="Times New Roman" w:cs="Times New Roman" w:eastAsia="Times New Roman" w:hAnsi="Times New Roman"/>
          <w:sz w:val="14"/>
          <w:szCs w:val="14"/>
          <w:color w:val="auto"/>
        </w:rPr>
        <w:t>Other selling, general, administrative and development expense</w:t>
      </w:r>
    </w:p>
    <w:p>
      <w:pPr>
        <w:spacing w:after="0" w:line="8" w:lineRule="exact"/>
        <w:rPr>
          <w:sz w:val="20"/>
          <w:szCs w:val="20"/>
          <w:color w:val="auto"/>
        </w:rPr>
      </w:pPr>
    </w:p>
    <w:p>
      <w:pPr>
        <w:ind w:left="20" w:right="20"/>
        <w:spacing w:after="0" w:line="342" w:lineRule="auto"/>
        <w:rPr>
          <w:sz w:val="20"/>
          <w:szCs w:val="20"/>
          <w:color w:val="auto"/>
        </w:rPr>
      </w:pPr>
      <w:r>
        <w:rPr>
          <w:rFonts w:ascii="Times New Roman" w:cs="Times New Roman" w:eastAsia="Times New Roman" w:hAnsi="Times New Roman"/>
          <w:sz w:val="14"/>
          <w:szCs w:val="14"/>
          <w:color w:val="auto"/>
        </w:rPr>
        <w:t>Depreciation, amortization and accretion Other expense (2)</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7"/>
              </w:rPr>
              <w:t>Africa &amp;</w:t>
            </w:r>
          </w:p>
        </w:tc>
        <w:tc>
          <w:tcPr>
            <w:tcW w:w="16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Latin</w:t>
            </w: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3"/>
                <w:szCs w:val="13"/>
                <w:color w:val="auto"/>
              </w:rPr>
            </w:pPr>
          </w:p>
        </w:tc>
        <w:tc>
          <w:tcPr>
            <w:tcW w:w="9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72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APAC</w:t>
            </w: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America</w:t>
            </w:r>
          </w:p>
        </w:tc>
        <w:tc>
          <w:tcPr>
            <w:tcW w:w="10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1,221.8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8,091.7</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8,272.0</w:t>
            </w:r>
          </w:p>
        </w:tc>
        <w:tc>
          <w:tcPr>
            <w:tcW w:w="0" w:type="dxa"/>
            <w:vAlign w:val="bottom"/>
          </w:tcPr>
          <w:p>
            <w:pPr>
              <w:spacing w:after="0"/>
              <w:rPr>
                <w:sz w:val="1"/>
                <w:szCs w:val="1"/>
                <w:color w:val="auto"/>
              </w:rPr>
            </w:pPr>
          </w:p>
        </w:tc>
      </w:tr>
      <w:tr>
        <w:trPr>
          <w:trHeight w:val="226"/>
        </w:trPr>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418.6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2,201.5</w:t>
            </w:r>
          </w:p>
        </w:tc>
        <w:tc>
          <w:tcPr>
            <w:tcW w:w="0" w:type="dxa"/>
            <w:vAlign w:val="bottom"/>
          </w:tcPr>
          <w:p>
            <w:pPr>
              <w:spacing w:after="0"/>
              <w:rPr>
                <w:sz w:val="1"/>
                <w:szCs w:val="1"/>
                <w:color w:val="auto"/>
              </w:rPr>
            </w:pPr>
          </w:p>
        </w:tc>
      </w:tr>
      <w:tr>
        <w:trPr>
          <w:trHeight w:val="217"/>
        </w:trPr>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803.2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5,994.1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6,070.5</w:t>
            </w:r>
          </w:p>
        </w:tc>
        <w:tc>
          <w:tcPr>
            <w:tcW w:w="0" w:type="dxa"/>
            <w:vAlign w:val="bottom"/>
          </w:tcPr>
          <w:p>
            <w:pPr>
              <w:spacing w:after="0"/>
              <w:rPr>
                <w:sz w:val="1"/>
                <w:szCs w:val="1"/>
                <w:color w:val="auto"/>
              </w:rPr>
            </w:pPr>
          </w:p>
        </w:tc>
      </w:tr>
      <w:tr>
        <w:trPr>
          <w:trHeight w:val="323"/>
        </w:trPr>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389.1</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0" w:type="dxa"/>
            <w:vAlign w:val="bottom"/>
          </w:tcPr>
          <w:p>
            <w:pPr>
              <w:spacing w:after="0"/>
              <w:rPr>
                <w:sz w:val="1"/>
                <w:szCs w:val="1"/>
                <w:color w:val="auto"/>
              </w:rPr>
            </w:pPr>
          </w:p>
        </w:tc>
      </w:tr>
      <w:tr>
        <w:trPr>
          <w:trHeight w:val="217"/>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3,038.9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741.9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5,605.0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5,664.2</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343"/>
        </w:trPr>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189.0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1,552.0</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-1485265</wp:posOffset>
            </wp:positionV>
            <wp:extent cx="7135495" cy="150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-1192530</wp:posOffset>
            </wp:positionV>
            <wp:extent cx="7135495" cy="150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-824865</wp:posOffset>
            </wp:positionV>
            <wp:extent cx="7135495" cy="167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167005"/>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-498475</wp:posOffset>
            </wp:positionV>
            <wp:extent cx="7135495" cy="217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217805"/>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-138430</wp:posOffset>
            </wp:positionV>
            <wp:extent cx="7135495" cy="142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40" w:space="160"/>
            <w:col w:w="87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14"/>
        </w:trPr>
        <w:tc>
          <w:tcPr>
            <w:tcW w:w="250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Income from continuing operations</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auto"/>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2,925.8</w:t>
            </w:r>
          </w:p>
        </w:tc>
        <w:tc>
          <w:tcPr>
            <w:tcW w:w="0" w:type="dxa"/>
            <w:vAlign w:val="bottom"/>
          </w:tcPr>
          <w:p>
            <w:pPr>
              <w:spacing w:after="0"/>
              <w:rPr>
                <w:sz w:val="1"/>
                <w:szCs w:val="1"/>
                <w:color w:val="auto"/>
              </w:rPr>
            </w:pPr>
          </w:p>
        </w:tc>
      </w:tr>
      <w:tr>
        <w:trPr>
          <w:trHeight w:val="172"/>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before income taxes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4,376.9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62,716.9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62,980.3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00" w:type="dxa"/>
            <w:vAlign w:val="bottom"/>
            <w:vMerge w:val="continue"/>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100" w:type="dxa"/>
            <w:vAlign w:val="bottom"/>
          </w:tcPr>
          <w:p>
            <w:pPr>
              <w:spacing w:after="0"/>
              <w:rPr>
                <w:sz w:val="17"/>
                <w:szCs w:val="17"/>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1,183.2</w:t>
            </w:r>
          </w:p>
        </w:tc>
        <w:tc>
          <w:tcPr>
            <w:tcW w:w="8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1,195.2</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selling, general, administrative and development expenses exclude stock-based compensation expense of $124.1 million.</w:t>
      </w:r>
    </w:p>
    <w:p>
      <w:pPr>
        <w:spacing w:after="0" w:line="6" w:lineRule="exact"/>
        <w:rPr>
          <w:rFonts w:ascii="Times New Roman" w:cs="Times New Roman" w:eastAsia="Times New Roman" w:hAnsi="Times New Roman"/>
          <w:sz w:val="14"/>
          <w:szCs w:val="14"/>
          <w:color w:val="auto"/>
        </w:rPr>
      </w:pPr>
    </w:p>
    <w:p>
      <w:pPr>
        <w:ind w:left="320" w:right="100" w:hanging="315"/>
        <w:spacing w:after="0" w:line="250" w:lineRule="auto"/>
        <w:tabs>
          <w:tab w:leader="none" w:pos="31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interest expense and an unrealized loss from equity securities of $35.1 million, partially offset by gains from foreign currency exchange rate fluctuations and a net gain on the sales of the Company’s APAC operations of $20.4 million.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Pr>
          <w:p>
            <w:pPr>
              <w:spacing w:after="0"/>
              <w:rPr>
                <w:sz w:val="13"/>
                <w:szCs w:val="13"/>
                <w:color w:val="auto"/>
              </w:rPr>
            </w:pPr>
          </w:p>
        </w:tc>
        <w:tc>
          <w:tcPr>
            <w:tcW w:w="84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b w:val="1"/>
                <w:bCs w:val="1"/>
                <w:color w:val="auto"/>
                <w:w w:val="99"/>
              </w:rPr>
              <w:t>U.S. &amp;</w:t>
            </w: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Africa &amp;</w:t>
            </w:r>
          </w:p>
        </w:tc>
        <w:tc>
          <w:tcPr>
            <w:tcW w:w="160" w:type="dxa"/>
            <w:vAlign w:val="bottom"/>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b w:val="1"/>
                <w:bCs w:val="1"/>
                <w:color w:val="auto"/>
                <w:w w:val="97"/>
              </w:rPr>
              <w:t>Latin</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3"/>
                <w:szCs w:val="13"/>
                <w:color w:val="auto"/>
              </w:rPr>
            </w:pPr>
          </w:p>
        </w:tc>
        <w:tc>
          <w:tcPr>
            <w:tcW w:w="72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APAC</w:t>
            </w: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9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1,040.7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7,907.1</w:t>
            </w:r>
          </w:p>
        </w:tc>
        <w:tc>
          <w:tcPr>
            <w:tcW w:w="0" w:type="dxa"/>
            <w:vAlign w:val="bottom"/>
          </w:tcPr>
          <w:p>
            <w:pPr>
              <w:spacing w:after="0"/>
              <w:rPr>
                <w:sz w:val="1"/>
                <w:szCs w:val="1"/>
                <w:color w:val="auto"/>
              </w:rPr>
            </w:pPr>
          </w:p>
        </w:tc>
      </w:tr>
      <w:tr>
        <w:trPr>
          <w:trHeight w:val="222"/>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317.9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2,034.0</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gross margin</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722.8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5,873.1</w:t>
            </w:r>
          </w:p>
        </w:tc>
        <w:tc>
          <w:tcPr>
            <w:tcW w:w="0" w:type="dxa"/>
            <w:vAlign w:val="bottom"/>
          </w:tcPr>
          <w:p>
            <w:pPr>
              <w:spacing w:after="0"/>
              <w:rPr>
                <w:sz w:val="1"/>
                <w:szCs w:val="1"/>
                <w:color w:val="auto"/>
              </w:rPr>
            </w:pPr>
          </w:p>
        </w:tc>
      </w:tr>
      <w:tr>
        <w:trPr>
          <w:trHeight w:val="129"/>
        </w:trPr>
        <w:tc>
          <w:tcPr>
            <w:tcW w:w="25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Segment selling, general, administrative</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0" w:type="dxa"/>
            <w:vAlign w:val="bottom"/>
          </w:tcPr>
          <w:p>
            <w:pPr>
              <w:spacing w:after="0"/>
              <w:rPr>
                <w:sz w:val="1"/>
                <w:szCs w:val="1"/>
                <w:color w:val="auto"/>
              </w:rPr>
            </w:pPr>
          </w:p>
        </w:tc>
      </w:tr>
      <w:tr>
        <w:trPr>
          <w:trHeight w:val="191"/>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and development expense (1)</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operating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665.3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0" w:type="dxa"/>
            <w:vAlign w:val="bottom"/>
          </w:tcPr>
          <w:p>
            <w:pPr>
              <w:spacing w:after="0"/>
              <w:rPr>
                <w:sz w:val="1"/>
                <w:szCs w:val="1"/>
                <w:color w:val="auto"/>
              </w:rPr>
            </w:pPr>
          </w:p>
        </w:tc>
      </w:tr>
      <w:tr>
        <w:trPr>
          <w:trHeight w:val="151"/>
        </w:trPr>
        <w:tc>
          <w:tcPr>
            <w:tcW w:w="25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color w:val="auto"/>
              </w:rPr>
              <w:t>Other selling, general, administrative and</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development expense</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1,525.7</w:t>
            </w:r>
          </w:p>
        </w:tc>
        <w:tc>
          <w:tcPr>
            <w:tcW w:w="0" w:type="dxa"/>
            <w:vAlign w:val="bottom"/>
          </w:tcPr>
          <w:p>
            <w:pPr>
              <w:spacing w:after="0"/>
              <w:rPr>
                <w:sz w:val="1"/>
                <w:szCs w:val="1"/>
                <w:color w:val="auto"/>
              </w:rPr>
            </w:pPr>
          </w:p>
        </w:tc>
      </w:tr>
      <w:tr>
        <w:trPr>
          <w:trHeight w:val="22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1,563.9</w:t>
            </w:r>
          </w:p>
        </w:tc>
        <w:tc>
          <w:tcPr>
            <w:tcW w:w="0" w:type="dxa"/>
            <w:vAlign w:val="bottom"/>
          </w:tcPr>
          <w:p>
            <w:pPr>
              <w:spacing w:after="0"/>
              <w:rPr>
                <w:sz w:val="1"/>
                <w:szCs w:val="1"/>
                <w:color w:val="auto"/>
              </w:rPr>
            </w:pPr>
          </w:p>
        </w:tc>
      </w:tr>
      <w:tr>
        <w:trPr>
          <w:trHeight w:val="129"/>
        </w:trPr>
        <w:tc>
          <w:tcPr>
            <w:tcW w:w="25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Income from continuing operations before</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2,079.3</w:t>
            </w:r>
          </w:p>
        </w:tc>
        <w:tc>
          <w:tcPr>
            <w:tcW w:w="0" w:type="dxa"/>
            <w:vAlign w:val="bottom"/>
          </w:tcPr>
          <w:p>
            <w:pPr>
              <w:spacing w:after="0"/>
              <w:rPr>
                <w:sz w:val="1"/>
                <w:szCs w:val="1"/>
                <w:color w:val="auto"/>
              </w:rPr>
            </w:pPr>
          </w:p>
        </w:tc>
      </w:tr>
      <w:tr>
        <w:trPr>
          <w:trHeight w:val="172"/>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4,455.6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10,728.1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63,888.7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4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151.7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0" w:type="dxa"/>
            <w:vAlign w:val="bottom"/>
          </w:tcPr>
          <w:p>
            <w:pPr>
              <w:spacing w:after="0"/>
              <w:rPr>
                <w:sz w:val="1"/>
                <w:szCs w:val="1"/>
                <w:color w:val="auto"/>
              </w:rPr>
            </w:pPr>
          </w:p>
        </w:tc>
      </w:tr>
      <w:tr>
        <w:trPr>
          <w:trHeight w:val="22"/>
        </w:trPr>
        <w:tc>
          <w:tcPr>
            <w:tcW w:w="2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selling, general, administrative and development expenses exclude stock-based compensation expense of $142.6 million.</w:t>
      </w:r>
    </w:p>
    <w:p>
      <w:pPr>
        <w:spacing w:after="0" w:line="6" w:lineRule="exact"/>
        <w:rPr>
          <w:rFonts w:ascii="Times New Roman" w:cs="Times New Roman" w:eastAsia="Times New Roman" w:hAnsi="Times New Roman"/>
          <w:sz w:val="14"/>
          <w:szCs w:val="14"/>
          <w:color w:val="auto"/>
        </w:rPr>
      </w:pPr>
    </w:p>
    <w:p>
      <w:pPr>
        <w:ind w:left="320" w:right="160" w:hanging="315"/>
        <w:spacing w:after="0" w:line="270" w:lineRule="auto"/>
        <w:tabs>
          <w:tab w:leader="none" w:pos="31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interest expense and losses from foreign currency exchange rate fluctuations, partially offset by an unrealized gain from equity securities of $129.2 million and a gain on the sale of South Africa Fiber of $53.6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jc w:val="center"/>
        <w:ind w:left="420" w:right="1720"/>
        <w:spacing w:after="0" w:line="258" w:lineRule="auto"/>
        <w:rPr>
          <w:sz w:val="20"/>
          <w:szCs w:val="20"/>
          <w:color w:val="auto"/>
        </w:rPr>
      </w:pPr>
      <w:r>
        <w:rPr>
          <w:rFonts w:ascii="Times New Roman" w:cs="Times New Roman" w:eastAsia="Times New Roman" w:hAnsi="Times New Roman"/>
          <w:sz w:val="18"/>
          <w:szCs w:val="18"/>
          <w:b w:val="1"/>
          <w:bCs w:val="1"/>
          <w:color w:val="auto"/>
        </w:rPr>
        <w:t>AMERICAN TOWER CORPORATION AND SUBSIDIARIES NOTES TO CONSOLIDATED AND CONDENSED CONSOLIDATED FINANCIAL STATEMENTS (tabular amounts in millions, unless otherwise noted)</w:t>
      </w:r>
    </w:p>
    <w:p>
      <w:pPr>
        <w:spacing w:after="0" w:line="200" w:lineRule="exact"/>
        <w:rPr>
          <w:sz w:val="20"/>
          <w:szCs w:val="20"/>
          <w:color w:val="auto"/>
        </w:rPr>
      </w:pPr>
    </w:p>
    <w:p>
      <w:pPr>
        <w:spacing w:after="0" w:line="22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SUBSEQUENT EVENTS</w:t>
      </w:r>
    </w:p>
    <w:p>
      <w:pPr>
        <w:spacing w:after="0" w:line="12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i w:val="1"/>
          <w:iCs w:val="1"/>
          <w:color w:val="auto"/>
        </w:rPr>
        <w:t>Repayment of 3.375% Senior Notes</w:t>
      </w:r>
      <w:r>
        <w:rPr>
          <w:rFonts w:ascii="Times New Roman" w:cs="Times New Roman" w:eastAsia="Times New Roman" w:hAnsi="Times New Roman"/>
          <w:sz w:val="18"/>
          <w:szCs w:val="18"/>
          <w:color w:val="auto"/>
        </w:rPr>
        <w:t>—On October 14, 2026, the Company repaid $1.0 billion aggregate principal amount of the Company’s 3.375%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notes due 2026 (the “3.375% Notes”) upon their maturity. The 3.375% Notes were repaid using borrowings under the 2021 Credit Facility and cash on hand. Upon completion of the repayment, none of the 3.375% Notes remained outstanding.</w:t>
      </w:r>
    </w:p>
    <w:p>
      <w:pPr>
        <w:spacing w:after="0" w:line="11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Pending ATC Canada Sale— </w:t>
      </w:r>
      <w:r>
        <w:rPr>
          <w:rFonts w:ascii="Times New Roman" w:cs="Times New Roman" w:eastAsia="Times New Roman" w:hAnsi="Times New Roman"/>
          <w:sz w:val="16"/>
          <w:szCs w:val="16"/>
          <w:color w:val="auto"/>
        </w:rPr>
        <w:t>The Company, through its subsidiary, American Towers LLC, entered into an agreement with DIF Infra 8 Canada Holdco 1 ULC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dba Aurora Towers (“Aurora”) pursuant to which Aurora will acquire a 100% ownership interest in the Company’s operations in Canada (“ATC Canada”) for aggregate consideration of approximately 288 million CAD (approximately $202 million). ATC Canada’s operating results are included within the U.S. &amp; Canada property segment. The Company expects the transaction to close in the fourth quarter of 2026, subject to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29" w:name="page30"/>
    <w:bookmarkEnd w:id="29"/>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49"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6"/>
          <w:szCs w:val="16"/>
          <w:i w:val="1"/>
          <w:iCs w:val="1"/>
          <w:color w:val="auto"/>
        </w:rPr>
        <w:t>This Quarterly Report on Form 10-Q (this “Quarterly Report”) contains statements about future events and expectations, or “forward-looking statements,” which relate to our goals, beliefs, strategies, plans or current expectations and other statements that are not of historical facts. For example, when we use words such as “project,” “plan,” “believe,” “anticipate,” “expect,” “forecast,” “estimate,” “intend,” “should,” “would,” “could,” “may” or other words that convey uncertainty of future events or outcomes, we are making forward-looking statements. Certain important factors may cause actual results to differ materially from those indicated by our forward-looking statements, including those factors set forth under the caption “Risk Factors” in Part I, Item 1A of our Annual Report on Form 10-K for the year ended December 31, 2025 (the “2025 Form 10-K”). Forward-looking statements represent management’s current expectations, beliefs and assumptions, and are inherently uncertain. We do not undertake any obligation to update our forward-looking statements.</w:t>
      </w:r>
    </w:p>
    <w:p>
      <w:pPr>
        <w:spacing w:after="0" w:line="8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The discussion and analysis of our financial condition and results of operations that follow are based upon our consolidated and condensed consolidated financial statements, which have been prepared in accordance with accounting principles generally accepted in the United States (“GAAP”). The preparation of our financial statements requires us to make estimates and assumptions that affect the reported amounts of assets and liabilities, revenues and expenses, and the related disclosure of contingent assets and liabilities at the date of our financial statements. Actual results may differ from these estimates and such differences could be material to the financial statements. This discussion should be read in conjunction with our consolidated and condensed consolidated financial statements herein and the accompanying notes, information set forth under the caption “Critical Accounting Policies and Estimates” in the 2025 Form 10-K, and in particular, the information set forth therein under Item 7 “Management’s Discussion and Analysis of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are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In addition to the communications sites in our portfolio, we manage rooftop and tower sites for property owners under various contractual arrangements. We also hold other telecommunications infrastructure and property interests that we lease primarily to communications service providers and third-party tower operators, and, as discussed further below, we hold a portfolio of highly interconnected data center facilities and related assets in the United States. Our customers include our tenants, licensees and other payers. We refer to the business encompassing the above as our property operations, which accounted for 98% and 98% of our total revenues for the three and nine months ended September 30, 2026, respectively, and includes our U.S. &amp; Canada property, Africa &amp; Asia-Pacific (“APAC”) property, Europe property and Latin America property segments and Data Centers segment.</w:t>
      </w:r>
    </w:p>
    <w:p>
      <w:pPr>
        <w:spacing w:after="0" w:line="112"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8"/>
          <w:szCs w:val="18"/>
          <w:color w:val="auto"/>
        </w:rPr>
        <w:t>We also offer tower-related services in the United States, including site application, zoning and permitting, structural and mount analyses, and construction management, which primarily support our site leasing business, including the addition of new tenants and equipment on our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details the number of communications sites, excluding managed sites, that we owned or operated as of September 30, 2026:</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3"/>
        </w:trPr>
        <w:tc>
          <w:tcPr>
            <w:tcW w:w="69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tcPr>
          <w:p>
            <w:pPr>
              <w:ind w:left="360"/>
              <w:spacing w:after="0" w:line="143" w:lineRule="exact"/>
              <w:rPr>
                <w:sz w:val="20"/>
                <w:szCs w:val="20"/>
                <w:color w:val="auto"/>
              </w:rPr>
            </w:pPr>
            <w:r>
              <w:rPr>
                <w:rFonts w:ascii="Times New Roman" w:cs="Times New Roman" w:eastAsia="Times New Roman" w:hAnsi="Times New Roman"/>
                <w:sz w:val="14"/>
                <w:szCs w:val="14"/>
                <w:b w:val="1"/>
                <w:bCs w:val="1"/>
                <w:color w:val="auto"/>
              </w:rPr>
              <w:t>Operated</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Owned Towers</w:t>
            </w: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Towers (1)</w:t>
            </w: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Owned DAS Sites</w:t>
            </w:r>
          </w:p>
        </w:tc>
        <w:tc>
          <w:tcPr>
            <w:tcW w:w="0" w:type="dxa"/>
            <w:vAlign w:val="bottom"/>
          </w:tcPr>
          <w:p>
            <w:pPr>
              <w:spacing w:after="0"/>
              <w:rPr>
                <w:sz w:val="1"/>
                <w:szCs w:val="1"/>
                <w:color w:val="auto"/>
              </w:rPr>
            </w:pPr>
          </w:p>
        </w:tc>
      </w:tr>
      <w:tr>
        <w:trPr>
          <w:trHeight w:val="222"/>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&amp; Canada:</w:t>
            </w: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Canada (2)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26,939</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&amp; Canada total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Africa &amp; APAC: (3)</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Burkina Faso</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Ghana</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Kenya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Niger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Nigeria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 Africa</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Uganda</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Africa &amp; APAC total</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26,593</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France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Germany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15,783</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Spain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total</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32,675</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Argentina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20,655</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7"/>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Chile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Colombia</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Costa Rica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Mexico</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7"/>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Paraguay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Peru</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 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55"/>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130,787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98% of the operated towers are held pursuant to long-term finance leases, including those subject to purchase options.</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complete the sale of our operations in Canada during the fourth quarter of 2026.</w:t>
      </w:r>
    </w:p>
    <w:p>
      <w:pPr>
        <w:spacing w:after="0" w:line="10" w:lineRule="exact"/>
        <w:rPr>
          <w:rFonts w:ascii="Times New Roman" w:cs="Times New Roman" w:eastAsia="Times New Roman" w:hAnsi="Times New Roman"/>
          <w:sz w:val="14"/>
          <w:szCs w:val="14"/>
          <w:color w:val="auto"/>
        </w:rPr>
      </w:pPr>
    </w:p>
    <w:p>
      <w:pPr>
        <w:ind w:left="320" w:right="280" w:hanging="315"/>
        <w:spacing w:after="0" w:line="270" w:lineRule="auto"/>
        <w:tabs>
          <w:tab w:leader="none" w:pos="3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June 30, 2026, we completed the sales of our subsidiary in the Philippines (“ATC Philippines”) and our controlling interest in Kirtonkhola Tower Bangladesh Limited (“KTBL” and, together with ATC Philippines, the “APAC operations” and the sites therein, the “APAC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1" w:name="page32"/>
    <w:bookmarkEnd w:id="31"/>
    <w:p>
      <w:pPr>
        <w:ind w:right="160"/>
        <w:spacing w:after="0" w:line="269" w:lineRule="auto"/>
        <w:rPr>
          <w:sz w:val="20"/>
          <w:szCs w:val="20"/>
          <w:color w:val="auto"/>
        </w:rPr>
      </w:pPr>
      <w:r>
        <w:rPr>
          <w:rFonts w:ascii="Times New Roman" w:cs="Times New Roman" w:eastAsia="Times New Roman" w:hAnsi="Times New Roman"/>
          <w:sz w:val="18"/>
          <w:szCs w:val="18"/>
          <w:color w:val="auto"/>
        </w:rPr>
        <w:t>As of September 30, 2026, our property portfolio included 30 operating data center facilities across 11 markets in the United States that collectively comprise approximately 3.9 million net rentable square feet (“NRSF”) of data center space,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19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Number of Data Centers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Total NRSF (1)</w:t>
            </w:r>
          </w:p>
        </w:tc>
      </w:tr>
      <w:tr>
        <w:trPr>
          <w:trHeight w:val="24"/>
        </w:trPr>
        <w:tc>
          <w:tcPr>
            <w:tcW w:w="66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0"/>
        </w:trPr>
        <w:tc>
          <w:tcPr>
            <w:tcW w:w="66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37"/>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Francisco Bay, CA</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37"/>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 Angeles, CA</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37"/>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Northern Virginia, VA</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37"/>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NY</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7"/>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 IL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7"/>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Denver, CO</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Boston, MA</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7"/>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Miami, FL</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7"/>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Orlando, FL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7"/>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Atlanta, GA</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7"/>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Washington, D.C.</w:t>
            </w:r>
          </w:p>
        </w:tc>
        <w:tc>
          <w:tcPr>
            <w:tcW w:w="1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1"/>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approximately 0.4 million of office and light industrial NRSF.</w:t>
      </w:r>
    </w:p>
    <w:p>
      <w:pPr>
        <w:spacing w:after="0" w:line="12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i w:val="1"/>
          <w:iCs w:val="1"/>
          <w:color w:val="auto"/>
        </w:rPr>
        <w:t>Sale of Philippines Subsidiary</w:t>
      </w:r>
      <w:r>
        <w:rPr>
          <w:rFonts w:ascii="Times New Roman" w:cs="Times New Roman" w:eastAsia="Times New Roman" w:hAnsi="Times New Roman"/>
          <w:sz w:val="18"/>
          <w:szCs w:val="18"/>
          <w:color w:val="auto"/>
        </w:rPr>
        <w:t>—On June 15, 2026, we completed the sale of ATC Philippines. Prior to the divestiture, ATC Philippines’s operating results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within the Africa &amp; APAC property segment.</w:t>
      </w:r>
    </w:p>
    <w:p>
      <w:pPr>
        <w:spacing w:after="0" w:line="99"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i w:val="1"/>
          <w:iCs w:val="1"/>
          <w:color w:val="auto"/>
        </w:rPr>
        <w:t>Sale of Bangladesh Partnership—</w:t>
      </w:r>
      <w:r>
        <w:rPr>
          <w:rFonts w:ascii="Times New Roman" w:cs="Times New Roman" w:eastAsia="Times New Roman" w:hAnsi="Times New Roman"/>
          <w:sz w:val="18"/>
          <w:szCs w:val="18"/>
          <w:color w:val="auto"/>
        </w:rPr>
        <w:t>On June 29, 2026, we completed the sale of our controlling interest in KTBL. Prior to the divestiture, KTBL’s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were included within the Africa &amp; APAC property segment.</w:t>
      </w:r>
    </w:p>
    <w:p>
      <w:pPr>
        <w:spacing w:after="0" w:line="10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2025 Form 10-K contains information regarding management’s expectations of long-term drivers of demand for our communications sites, as well as key trends, which management believes provide valuable insight into our operating and financial resource allocation decisions. The discussion below should be read in conjunction with the 2025 Form 10-K and, in particular, the information set forth therein under Item 7 “Management’s Discussion and Analysis of Financial Condition and Results of Operations—Executive Overview.”</w:t>
      </w:r>
    </w:p>
    <w:p>
      <w:pPr>
        <w:spacing w:after="0" w:line="106"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In most of our markets, our tenant leases for our communications sites with wireless carriers generally have initial non-cancellable terms of five to ten years with multiple renewal terms. Accordingly, the vast majority of the revenue generated by our property operations during the nine months ended September 30, 2026 was recurring revenue that we should continue to receive in future periods. Most of our tenant leases for our communications sites have provisions that periodically increase or “escalate” the rent due under the lease, typically based on (a) an annual fixed escalation (averaging approximately 3% in the United States), (b) an inflationary index in most of our international markets, or (c) a combination of both. In addition, certain of our tenant leases provide for additional revenue primarily to cover costs (pass-through revenue), such as ground rent or power and fuel costs.</w:t>
      </w:r>
    </w:p>
    <w:p>
      <w:pPr>
        <w:spacing w:after="0" w:line="121"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18"/>
          <w:szCs w:val="18"/>
          <w:color w:val="auto"/>
        </w:rPr>
        <w:t>Based upon existing customer leases and foreign currency exchange rates as of September 30, 2026, we expect to generate nearly $49 billion of non-cancellable customer lease revenue over future periods, before the impact of straight-line lease accounting.</w:t>
      </w:r>
    </w:p>
    <w:p>
      <w:pPr>
        <w:spacing w:after="0" w:line="10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revenues generated by our property operations may be affected by cancellations of existing tenant leases. As discussed above, most of our tenant leases with wireless carriers and broadcasters are multiyear contracts, which typically are non-cancellable; however, in some instances, a lease may be cancelled upon the payment of a termination fee. Revenue lost from either tenant lease cancellations or the non-renewal of leases or rent renegotiations, which we refer to as churn, has historically not had a material adverse effect on the revenues generated by our consolidated property operations. During the nine months ended September 30, 2026, churn was approximately 5% of our tenant billings, primarily driven by churn due to one of our U.S. customers, DISH Wireless L.L.C., a subsidiary of DISH Network Corporation (“DISH”) in our U.S. &amp; Canada property segment, as discussed below. Beginning on January 1, 2026, 100% of DISH revenue has been reflected in churn.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2" w:name="page33"/>
    <w:bookmarkEnd w:id="32"/>
    <w:p>
      <w:pPr>
        <w:ind w:right="60"/>
        <w:spacing w:after="0" w:line="248" w:lineRule="auto"/>
        <w:rPr>
          <w:sz w:val="20"/>
          <w:szCs w:val="20"/>
          <w:color w:val="auto"/>
        </w:rPr>
      </w:pPr>
      <w:r>
        <w:rPr>
          <w:rFonts w:ascii="Times New Roman" w:cs="Times New Roman" w:eastAsia="Times New Roman" w:hAnsi="Times New Roman"/>
          <w:sz w:val="18"/>
          <w:szCs w:val="18"/>
          <w:i w:val="1"/>
          <w:iCs w:val="1"/>
          <w:color w:val="auto"/>
        </w:rPr>
        <w:t>AT&amp;T Mexico Dispute</w:t>
      </w:r>
      <w:r>
        <w:rPr>
          <w:rFonts w:ascii="Times New Roman" w:cs="Times New Roman" w:eastAsia="Times New Roman" w:hAnsi="Times New Roman"/>
          <w:sz w:val="18"/>
          <w:szCs w:val="18"/>
          <w:color w:val="auto"/>
        </w:rPr>
        <w:t>. We are currently engaged in a legal dispute (the “Arbitration”) with one of our customers in Mexico, AT&amp;T Comunicaciones Digitales,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 de R.L. de C.V. and related entities (collectively, “AT&amp;T Mexico”). AT&amp;T Mexico, which represented approximately $300 million of tenant revenue in 2025, is challenging the calculation of the monthly lease amount established under our Master Lease Agreement with AT&amp;T Mexico (the “MLA”), as well as certain other provisions of the MLA, seeking rent abatement both retroactively and prospectively, and had been withholding tower rents since the start of 2025. We incurred approximately $30 million of reserves during the year ended December 31, 2025, and approximately $30 million of additional reserves during the nine months ended September 30, 2026, related to this customer. We expect to record future reserves until the Arbitration is settled. We believe we have meritorious defenses to the claims raised in this Arbitration, are vigorously defending the full enforceability of the MLA and remain confident in the terms and conditions of the MLA. The Arbitration hearing began in August 2026 and we expect a final ruling in 2027.</w:t>
      </w:r>
    </w:p>
    <w:p>
      <w:pPr>
        <w:spacing w:after="0" w:line="122"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On September 23, 2025, we and AT&amp;T Mexico reached an agreement pursuant to which AT&amp;T Mexico will remit payment of the majority of the withheld tower rents and will resume monthly payments of the majority of its owed tower rents. The remainder of the outstanding receivables and the future monthly tower rent amounts not remitted directly to us will be deposited into an irrevocable escrow account, overseen by an independent trustee, to be released in accordance with a final ruling in the Arbitration or by mutual consent of us and AT&amp;T Mexico.</w:t>
      </w:r>
    </w:p>
    <w:p>
      <w:pPr>
        <w:spacing w:after="0" w:line="10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i w:val="1"/>
          <w:iCs w:val="1"/>
          <w:color w:val="auto"/>
        </w:rPr>
        <w:t>DISH Dispute</w:t>
      </w:r>
      <w:r>
        <w:rPr>
          <w:rFonts w:ascii="Times New Roman" w:cs="Times New Roman" w:eastAsia="Times New Roman" w:hAnsi="Times New Roman"/>
          <w:sz w:val="18"/>
          <w:szCs w:val="18"/>
          <w:color w:val="auto"/>
        </w:rPr>
        <w:t>. On September 24, 2025, DISH delivered a notice purporting to be excused from its contractual obligations under our Strategic Collocation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entered into in March 2021 (the “SCA”). On October 20, 2025, we filed a complaint in the U.S. District Court for the District of Colorado seeking a declaratory judgment that DISH had not been excused from its obligations under the SCA, that the SCA remained in full force and effect, and that DISH remained required to perform all of its obligations under the SCA. Thereafter, DISH failed to meet its payment obligations, and as of January 2026, has been in default under the SCA. We remain confident that DISH was not excused from its obligations under the SCA. We delivered notices of termination, effective June 2, 2026, to DISH of the SCA and related agreements with DISH.</w:t>
      </w:r>
    </w:p>
    <w:p>
      <w:pPr>
        <w:spacing w:after="0" w:line="12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On June 15, 2026, we amended the complaint to (i) add claims seeking damages for DISH’s breaches of the SCA and other agreements, and (ii) add DISH’s parent company, EchoStar Corporation, as a party for tortious interference with such agreements. On June 30, 2026, DISH filed petitions for relief under chapter 11 of the United States Bankruptcy Code. Consistent with applicable law, we continue to seek relief in connection with DISH’s failure to comply with its obligations under the SCA and other agreements described in the amended complaint. DISH represented approximately 2% and 4% of our total annual property revenue and total annual U.S. &amp; Canada property revenue, respectively, for 2025. DISH is reflected in churn for the nine months ended September 30, 2026. During the nine months ended September 30, 2026, we recorded impairment charges related to DISH of $17.5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3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amortization and accretion, as adjusted (“Adjusted EBITDA”), Funds From Operations, as defined by the National Association of Real Estate Investment Trusts (“Nareit FFO”) attributable to American Tower Corporation common stockholders, Adjusted Funds From Operations (“AFFO”) attributable to American Tower Corporation common stockholders (“AFFO attributable to American Tower Corporation common stockholders”) and Segment gross margin.</w:t>
      </w:r>
    </w:p>
    <w:p>
      <w:pPr>
        <w:spacing w:after="0" w:line="119"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income before Income (loss) from equity method investments; Income (loss) from discontinued operations, net of taxes; Income tax benefit (provision); Other income (expense); Gain (loss) on retirement of long-term obligations; Interest expense; Interest income; Other operating income (expense), including Goodwill impairment; Depreciation, amortization and accretion; and stock-based compensation expense.</w:t>
      </w:r>
    </w:p>
    <w:p>
      <w:pPr>
        <w:spacing w:after="0" w:line="11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Nareit FFO attributable to American Tower Corporation common stockholders is defined as net income before gains or losses from the sale or disposal of real estate, real estate related impairment charges, real estate related depreciation, amortization and accretion, and including adjustments and distributions for unconsolidated affiliates and noncontrolling interests and adjustments for discontinued operations. In this section, we refer to Nareit FFO attributable to American Tower Corporation common stockholders as “Nareit FFO (common stockholders).”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define AFFO attributable to American Tower Corporation common stockholders as Nareit FFO (common stockholders) before (i) straight-line revenue and expense; (ii) stock-based compensation expense; (iii) the deferred portion of income tax and other income tax adjustments; (iv) non-real estate related depreciation, amortization and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33" w:name="page34"/>
    <w:bookmarkEnd w:id="33"/>
    <w:p>
      <w:pPr>
        <w:spacing w:after="0" w:line="249" w:lineRule="auto"/>
        <w:rPr>
          <w:sz w:val="20"/>
          <w:szCs w:val="20"/>
          <w:color w:val="auto"/>
        </w:rPr>
      </w:pPr>
      <w:r>
        <w:rPr>
          <w:rFonts w:ascii="Times New Roman" w:cs="Times New Roman" w:eastAsia="Times New Roman" w:hAnsi="Times New Roman"/>
          <w:sz w:val="18"/>
          <w:szCs w:val="18"/>
          <w:color w:val="auto"/>
        </w:rPr>
        <w:t>accretion; (v) amortization of deferred financing costs, debt discounts and premiums and long-term deferred interest charges; (vi) other income (expense); (vii) gain (loss) on retirement of long-term obligations; and (viii) other operating income (expense); less cash payments related to capital improvements and cash payments related to corporate capital expenditures and including adjustments and distributions for unconsolidated affiliates and noncontrolling interests and adjustments for discontinued operations, which includes the impact of noncontrolling interests and discontinued operations on both Nareit FFO and the corresponding adjustments included in AFFO. In this section, we refer to AFFO attributable to American Tower Corporation common stockholders as “AFFO (common stockholders).”</w:t>
      </w:r>
    </w:p>
    <w:p>
      <w:pPr>
        <w:spacing w:after="0" w:line="108"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We define Segment gross margin as segment revenue less segment operating expenses, excluding depreciation, amortization and accretion; selling, general, administrative and development expense; and other operating expenses.</w:t>
      </w:r>
    </w:p>
    <w:p>
      <w:pPr>
        <w:spacing w:after="0" w:line="1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Adjusted EBITDA, Nareit FFO (common stockholders), AFFO (common stockholders) and Segment gross margin are not intended to replace net income or any other performance measures determined in accordance with GAAP. None of Adjusted EBITDA, Nareit FFO (common stockholders), AFFO (common stockholders) or Segment gross margin represents cash flows from operating activities in accordance with GAAP and, therefore, these measures should not be considered indicative of cash flows from operating activities, as a measure of liquidity or a measure of funds available to fund our cash needs, including our ability to make cash distributions. Rather, Adjusted EBITDA, Nareit FFO (common stockholders), AFFO (common stockholders) and Segment gross margin are presented as we believe each is a useful indicator of our current operating performance. We believe that these metrics are useful to an investor in evaluating our operating performance because (1) each is a key measure used by our management team for decision making purposes and for evaluating our operating segments’ performance; (2) Adjusted EBITDA is a component underlying our credit ratings; (3) Adjusted EBITDA is widely used in the telecommunications real estate sector to measure operating performance as depreciation, amortization and accretion may vary significantly among companies depending upon accounting methods and useful lives, particularly where acquisitions and non-operating factors are involved; (4) AFFO (common stockholders) is widely used in the telecommunications real estate sector to adjust Nareit FFO (common stockholders) for items that may otherwise cause material fluctuations in Nareit FFO (common stockholders) growth from period to period that would not be representative of the underlying performance of property assets in those periods;</w:t>
      </w:r>
    </w:p>
    <w:p>
      <w:pPr>
        <w:spacing w:after="0" w:line="8" w:lineRule="exact"/>
        <w:rPr>
          <w:sz w:val="20"/>
          <w:szCs w:val="20"/>
          <w:color w:val="auto"/>
        </w:rPr>
      </w:pPr>
    </w:p>
    <w:p>
      <w:pPr>
        <w:ind w:right="120" w:firstLine="5"/>
        <w:spacing w:after="0" w:line="246" w:lineRule="auto"/>
        <w:tabs>
          <w:tab w:leader="none" w:pos="2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gross margin provides valuable insight into the site-level profitability of our assets; (6) each provides investors with a meaningful measure for evaluating our period-to-period operating performance by eliminating items that are not operational in nature; and (7) each provides investors with a measure for comparing our results of operations to those of other companies, particularly those in our industry.</w:t>
      </w:r>
    </w:p>
    <w:p>
      <w:pPr>
        <w:spacing w:after="0" w:line="123" w:lineRule="exact"/>
        <w:rPr>
          <w:sz w:val="20"/>
          <w:szCs w:val="20"/>
          <w:color w:val="auto"/>
        </w:rPr>
      </w:pPr>
    </w:p>
    <w:p>
      <w:pPr>
        <w:jc w:val="both"/>
        <w:ind w:right="60"/>
        <w:spacing w:after="0" w:line="303" w:lineRule="auto"/>
        <w:rPr>
          <w:sz w:val="20"/>
          <w:szCs w:val="20"/>
          <w:color w:val="auto"/>
        </w:rPr>
      </w:pPr>
      <w:r>
        <w:rPr>
          <w:rFonts w:ascii="Times New Roman" w:cs="Times New Roman" w:eastAsia="Times New Roman" w:hAnsi="Times New Roman"/>
          <w:sz w:val="16"/>
          <w:szCs w:val="16"/>
          <w:color w:val="auto"/>
        </w:rPr>
        <w:t>Our measurement of Adjusted EBITDA, Nareit FFO (common stockholders), AFFO (common stockholders) and Segment gross margin may not, however, be fully comparable to similarly titled measures used by other companies. Reconciliations of Adjusted EBITDA, Nareit FFO (common stockholders) and AFFO (common stockholders) to net income and Segment gross margin to gross margin, the most directly comparable GAAP measures, have been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5"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2026 and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1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3"/>
        </w:trPr>
        <w:tc>
          <w:tcPr>
            <w:tcW w:w="4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&amp; Canada</w:t>
            </w:r>
          </w:p>
        </w:tc>
        <w:tc>
          <w:tcPr>
            <w:tcW w:w="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3,811.2</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Africa &amp; APAC</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Data Centers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26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24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1"/>
        </w:trPr>
        <w:tc>
          <w:tcPr>
            <w:tcW w:w="4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property</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7,631.9</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60" w:type="dxa"/>
            <w:vAlign w:val="bottom"/>
            <w:tcBorders>
              <w:bottom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24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1"/>
        </w:trPr>
        <w:tc>
          <w:tcPr>
            <w:tcW w:w="4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8,272.0</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&amp; Canada property segment revenue decrease of $43.6 million was attributable to:</w:t>
      </w:r>
    </w:p>
    <w:p>
      <w:pPr>
        <w:spacing w:after="0" w:line="21" w:lineRule="exact"/>
        <w:rPr>
          <w:sz w:val="20"/>
          <w:szCs w:val="20"/>
          <w:color w:val="auto"/>
        </w:rPr>
      </w:pPr>
    </w:p>
    <w:p>
      <w:pPr>
        <w:ind w:left="540" w:hanging="21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$44.1 million in other revenue, primarily due to a decrease of $47.1 million due to straight-line accounting;</w:t>
      </w:r>
    </w:p>
    <w:p>
      <w:pPr>
        <w:spacing w:after="0" w:line="3"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tenant billings growth of $0.5 million, which was driven by:</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 million due to leasing additional space on our sites (“colocations”) and amendments; and</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generated from sites acquired or constructed since the beginning of the prior-year period (“newly acquired or constructed sites”);</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decreases of:</w:t>
      </w:r>
    </w:p>
    <w:p>
      <w:pPr>
        <w:spacing w:after="0" w:line="3" w:lineRule="exact"/>
        <w:rPr>
          <w:rFonts w:ascii="Times New Roman" w:cs="Times New Roman" w:eastAsia="Times New Roman" w:hAnsi="Times New Roman"/>
          <w:sz w:val="18"/>
          <w:szCs w:val="18"/>
          <w:color w:val="auto"/>
        </w:rPr>
      </w:pPr>
    </w:p>
    <w:p>
      <w:pPr>
        <w:ind w:left="1180" w:hanging="226"/>
        <w:spacing w:after="0"/>
        <w:tabs>
          <w:tab w:leader="none" w:pos="11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$24.8 million resulting from churn in excess of contractual escalations, primarily related to DISH; and</w:t>
      </w:r>
    </w:p>
    <w:p>
      <w:pPr>
        <w:spacing w:after="0" w:line="3" w:lineRule="exact"/>
        <w:rPr>
          <w:rFonts w:ascii="Times New Roman" w:cs="Times New Roman" w:eastAsia="Times New Roman" w:hAnsi="Times New Roman"/>
          <w:sz w:val="18"/>
          <w:szCs w:val="18"/>
          <w:color w:val="auto"/>
        </w:rPr>
      </w:pPr>
    </w:p>
    <w:p>
      <w:pPr>
        <w:ind w:left="1180" w:hanging="226"/>
        <w:spacing w:after="0"/>
        <w:tabs>
          <w:tab w:leader="none" w:pos="11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from other tenant billings.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revenue decrease was not meaningfully impacted by foreign currency translation related to fluctuations in Canadian Dollar (“CAD”).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Africa &amp; APAC property segment revenue growth of $57.1 million was attributable to:</w:t>
      </w:r>
    </w:p>
    <w:p>
      <w:pPr>
        <w:spacing w:after="0" w:line="21" w:lineRule="exact"/>
        <w:rPr>
          <w:sz w:val="20"/>
          <w:szCs w:val="20"/>
          <w:color w:val="auto"/>
        </w:rPr>
      </w:pPr>
    </w:p>
    <w:p>
      <w:pPr>
        <w:ind w:left="540" w:hanging="218"/>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$36.9 million in pass-through revenue, primarily due to an increase in fuel costs; and</w:t>
      </w:r>
    </w:p>
    <w:p>
      <w:pPr>
        <w:spacing w:after="0" w:line="3"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billings growth of $29.9 million, which was driven by:</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million due to colocations and amendments;</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million generated from newly acquired or constructed sites;</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resulting from contractual escalations, net of churn; and</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from other tenant billings;</w:t>
      </w:r>
    </w:p>
    <w:p>
      <w:pPr>
        <w:spacing w:after="0" w:line="3" w:lineRule="exact"/>
        <w:rPr>
          <w:rFonts w:ascii="Times New Roman" w:cs="Times New Roman" w:eastAsia="Times New Roman" w:hAnsi="Times New Roman"/>
          <w:sz w:val="18"/>
          <w:szCs w:val="18"/>
          <w:color w:val="auto"/>
        </w:rPr>
      </w:pPr>
    </w:p>
    <w:p>
      <w:pPr>
        <w:ind w:left="640" w:right="180" w:hanging="318"/>
        <w:spacing w:after="0" w:line="248" w:lineRule="auto"/>
        <w:tabs>
          <w:tab w:leader="none" w:pos="5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of $21.4 million in other revenue, primarily due to an increase in revenue reserves as a result of tenant settlements in the prior-year period, and a decrease due to straight-line accounting.</w:t>
      </w:r>
    </w:p>
    <w:p>
      <w:pPr>
        <w:spacing w:after="0" w:line="12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Segment revenue growth included an increase of $11.7 million attributable to the impact of foreign currency translation, which included, among others, positive impacts of $14.0 million related to fluctuations in Nigerian Naira (“NGN”) and $3.9 million related to fluctuations in South African Rand (“ZAR”), partially offset by negative impacts of $3.4 million related to fluctuations in Ugandan Shilling (“UGX”) and $2.1 million related to fluctuations in Ghanaian Cedi (“GHS”) .</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property segment revenue growth of $14.3 million was attributable to:</w:t>
      </w:r>
    </w:p>
    <w:p>
      <w:pPr>
        <w:spacing w:after="0" w:line="21" w:lineRule="exact"/>
        <w:rPr>
          <w:sz w:val="20"/>
          <w:szCs w:val="20"/>
          <w:color w:val="auto"/>
        </w:rPr>
      </w:pPr>
    </w:p>
    <w:p>
      <w:pPr>
        <w:ind w:left="540" w:hanging="218"/>
        <w:spacing w:after="0"/>
        <w:tabs>
          <w:tab w:leader="none" w:pos="540" w:val="left"/>
        </w:tabs>
        <w:numPr>
          <w:ilvl w:val="0"/>
          <w:numId w:val="31"/>
        </w:numPr>
        <w:rPr>
          <w:rFonts w:ascii="Arial" w:cs="Arial" w:eastAsia="Arial" w:hAnsi="Arial"/>
          <w:sz w:val="18"/>
          <w:szCs w:val="18"/>
          <w:i w:val="1"/>
          <w:iCs w:val="1"/>
          <w:color w:val="auto"/>
        </w:rPr>
      </w:pPr>
      <w:r>
        <w:rPr>
          <w:rFonts w:ascii="Times New Roman" w:cs="Times New Roman" w:eastAsia="Times New Roman" w:hAnsi="Times New Roman"/>
          <w:sz w:val="18"/>
          <w:szCs w:val="18"/>
          <w:color w:val="auto"/>
        </w:rPr>
        <w:t>Tenant billings growth of $9.9 million, which was driven by:</w:t>
      </w:r>
    </w:p>
    <w:p>
      <w:pPr>
        <w:spacing w:after="0" w:line="5" w:lineRule="exact"/>
        <w:rPr>
          <w:rFonts w:ascii="Arial" w:cs="Arial" w:eastAsia="Arial" w:hAnsi="Arial"/>
          <w:sz w:val="18"/>
          <w:szCs w:val="18"/>
          <w:i w:val="1"/>
          <w:iCs w:val="1"/>
          <w:color w:val="auto"/>
        </w:rPr>
      </w:pPr>
    </w:p>
    <w:p>
      <w:pPr>
        <w:ind w:left="860" w:hanging="222"/>
        <w:spacing w:after="0"/>
        <w:tabs>
          <w:tab w:leader="none" w:pos="8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due to colocations and amendments;</w:t>
      </w:r>
    </w:p>
    <w:p>
      <w:pPr>
        <w:spacing w:after="0" w:line="1"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generated from newly acquired or constructed sites; and</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1"/>
        </w:numPr>
        <w:rPr>
          <w:rFonts w:ascii="Arial" w:cs="Arial" w:eastAsia="Arial" w:hAnsi="Arial"/>
          <w:sz w:val="18"/>
          <w:szCs w:val="18"/>
          <w:i w:val="1"/>
          <w:iCs w:val="1"/>
          <w:color w:val="auto"/>
        </w:rPr>
      </w:pPr>
      <w:r>
        <w:rPr>
          <w:rFonts w:ascii="Times New Roman" w:cs="Times New Roman" w:eastAsia="Times New Roman" w:hAnsi="Times New Roman"/>
          <w:sz w:val="18"/>
          <w:szCs w:val="18"/>
          <w:color w:val="auto"/>
        </w:rPr>
        <w:t>$2.5 million resulting from contractual escalations, net of churn;</w:t>
      </w:r>
    </w:p>
    <w:p>
      <w:pPr>
        <w:spacing w:after="0" w:line="5" w:lineRule="exact"/>
        <w:rPr>
          <w:rFonts w:ascii="Arial" w:cs="Arial" w:eastAsia="Arial" w:hAnsi="Arial"/>
          <w:sz w:val="18"/>
          <w:szCs w:val="18"/>
          <w:i w:val="1"/>
          <w:iCs w:val="1"/>
          <w:color w:val="auto"/>
        </w:rPr>
      </w:pPr>
    </w:p>
    <w:p>
      <w:pPr>
        <w:ind w:left="860" w:hanging="222"/>
        <w:spacing w:after="0"/>
        <w:tabs>
          <w:tab w:leader="none" w:pos="8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of $0.9 million from other tenant billings;</w:t>
      </w:r>
    </w:p>
    <w:p>
      <w:pPr>
        <w:spacing w:after="0" w:line="1"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$4.5 million in pass-through revenue; 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35" w:name="page36"/>
    <w:bookmarkEnd w:id="35"/>
    <w:p>
      <w:pPr>
        <w:ind w:left="320"/>
        <w:spacing w:after="0"/>
        <w:tabs>
          <w:tab w:leader="none" w:pos="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An increase of $3.9 million in other revenue.</w:t>
      </w:r>
    </w:p>
    <w:p>
      <w:pPr>
        <w:spacing w:after="0" w:line="241"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18"/>
          <w:szCs w:val="18"/>
          <w:color w:val="auto"/>
        </w:rPr>
        <w:t>Segment revenue growth was partially offset by a decrease of $4.0 million attributable to the negative impact of foreign currency translation related to fluctuations in Euro (“EUR”).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Latin America property segment revenue growth of $43.5 million was attributable to:</w:t>
      </w:r>
    </w:p>
    <w:p>
      <w:pPr>
        <w:spacing w:after="0" w:line="21" w:lineRule="exact"/>
        <w:rPr>
          <w:sz w:val="20"/>
          <w:szCs w:val="20"/>
          <w:color w:val="auto"/>
        </w:rPr>
      </w:pPr>
    </w:p>
    <w:p>
      <w:pPr>
        <w:ind w:left="640" w:right="20" w:hanging="318"/>
        <w:spacing w:after="0" w:line="244" w:lineRule="auto"/>
        <w:tabs>
          <w:tab w:leader="none" w:pos="5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$32.8 million attributable to the impact of foreign currency translation, which included, among others, positive impacts of $11.5 million related to fluctuations in Brazilian Real (“BRL”), $10.3 million related to fluctuations in Mexican Peso (“MXN”) and $8.0 million related to fluctuations in Colombian Peso (“COP”);</w:t>
      </w:r>
    </w:p>
    <w:p>
      <w:pPr>
        <w:spacing w:after="0" w:line="1"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$13.0 million in other revenue, primarily due to a decrease in revenue reserves; and</w:t>
      </w:r>
    </w:p>
    <w:p>
      <w:pPr>
        <w:spacing w:after="0" w:line="3"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$4.1 million in pass-through revenue;</w:t>
      </w:r>
    </w:p>
    <w:p>
      <w:pPr>
        <w:spacing w:after="0" w:line="3"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in tenant billings of $6.4 million, which was driven by:</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million from churn in excess of contractual escalations, primarily related to customer cancellations in Brazil;</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an increase of $6.6 million due to colocations and amendments.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Centers segment revenue growth of $46.4 million was attributable to:</w:t>
      </w:r>
    </w:p>
    <w:p>
      <w:pPr>
        <w:spacing w:after="0" w:line="11" w:lineRule="exact"/>
        <w:rPr>
          <w:sz w:val="20"/>
          <w:szCs w:val="20"/>
          <w:color w:val="auto"/>
        </w:rPr>
      </w:pPr>
    </w:p>
    <w:p>
      <w:pPr>
        <w:ind w:left="640" w:right="20" w:hanging="318"/>
        <w:spacing w:after="0" w:line="229"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$29.4 million in rental, related and other revenue, primarily due to new lease commencements, customer expansions and rent increases upon customer renewals;</w:t>
      </w:r>
    </w:p>
    <w:p>
      <w:pPr>
        <w:ind w:left="640" w:right="240" w:hanging="318"/>
        <w:spacing w:after="0" w:line="229"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$10.4 million in power revenue from new lease commencements, increased power consumption and pricing increases from existing customers;</w:t>
      </w:r>
    </w:p>
    <w:p>
      <w:pPr>
        <w:ind w:left="640" w:hanging="318"/>
        <w:spacing w:after="0" w:line="229"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$3.5 million in straight-line revenue; and</w:t>
      </w:r>
    </w:p>
    <w:p>
      <w:pPr>
        <w:ind w:left="640" w:right="200" w:hanging="318"/>
        <w:spacing w:after="0" w:line="235"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$3.1 million in interconnection revenue, primarily due to customer interconnection net additions and pricing increases from existing cross connects.</w:t>
      </w:r>
    </w:p>
    <w:p>
      <w:pPr>
        <w:spacing w:after="0" w:line="115"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Services segment revenue decrease of $49.7 million was primarily attributable to decreases in site application, zoning and permitting services, structural and mount analyses services and construction management services.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&amp; Canada property segment revenue decrease of $113.0 million was attributable to:</w:t>
      </w:r>
    </w:p>
    <w:p>
      <w:pPr>
        <w:spacing w:after="0" w:line="21" w:lineRule="exact"/>
        <w:rPr>
          <w:sz w:val="20"/>
          <w:szCs w:val="20"/>
          <w:color w:val="auto"/>
        </w:rPr>
      </w:pPr>
    </w:p>
    <w:p>
      <w:pPr>
        <w:ind w:left="540" w:hanging="218"/>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$131.3 million in other revenue, primarily due to a decrease of $126.0 million due to straight-line accounting;</w:t>
      </w:r>
    </w:p>
    <w:p>
      <w:pPr>
        <w:spacing w:after="0" w:line="3"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tenant billings growth of $18.3 million, which was driven by:</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$93.1 million due to colocations and amendments; and</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generated from newly acquired or constructed sites;</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decreases of:</w:t>
      </w:r>
    </w:p>
    <w:p>
      <w:pPr>
        <w:spacing w:after="0" w:line="3" w:lineRule="exact"/>
        <w:rPr>
          <w:rFonts w:ascii="Times New Roman" w:cs="Times New Roman" w:eastAsia="Times New Roman" w:hAnsi="Times New Roman"/>
          <w:sz w:val="18"/>
          <w:szCs w:val="18"/>
          <w:color w:val="auto"/>
        </w:rPr>
      </w:pPr>
    </w:p>
    <w:p>
      <w:pPr>
        <w:ind w:left="1180" w:hanging="226"/>
        <w:spacing w:after="0"/>
        <w:tabs>
          <w:tab w:leader="none" w:pos="11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$74.6 million resulting from churn in excess of contractual escalations, primarily related to DISH; and</w:t>
      </w:r>
    </w:p>
    <w:p>
      <w:pPr>
        <w:spacing w:after="0" w:line="3" w:lineRule="exact"/>
        <w:rPr>
          <w:rFonts w:ascii="Times New Roman" w:cs="Times New Roman" w:eastAsia="Times New Roman" w:hAnsi="Times New Roman"/>
          <w:sz w:val="18"/>
          <w:szCs w:val="18"/>
          <w:color w:val="auto"/>
        </w:rPr>
      </w:pPr>
    </w:p>
    <w:p>
      <w:pPr>
        <w:ind w:left="1180" w:hanging="226"/>
        <w:spacing w:after="0"/>
        <w:tabs>
          <w:tab w:leader="none" w:pos="11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from other tenant billings.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revenue decrease was not meaningfully impacted by foreign currency translation related to fluctuations in CAD.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Africa &amp; APAC property segment revenue growth of $181.1 million was attributable to:</w:t>
      </w:r>
    </w:p>
    <w:p>
      <w:pPr>
        <w:spacing w:after="0" w:line="21" w:lineRule="exact"/>
        <w:rPr>
          <w:sz w:val="20"/>
          <w:szCs w:val="20"/>
          <w:color w:val="auto"/>
        </w:rPr>
      </w:pPr>
    </w:p>
    <w:p>
      <w:pPr>
        <w:ind w:left="540" w:hanging="218"/>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billings growth of $96.7 million, which was driven by:</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$53.8 million due to colocations and amendments;</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 million generated from newly acquired or constructed sites;</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resulting from contractual escalations, net of churn; and</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from other tenant billings; and</w:t>
      </w:r>
    </w:p>
    <w:p>
      <w:pPr>
        <w:spacing w:after="0" w:line="3"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$47.9 million in pass-through revenue, primarily due to an increase in fuel costs;</w:t>
      </w:r>
    </w:p>
    <w:p>
      <w:pPr>
        <w:spacing w:after="0" w:line="3" w:lineRule="exact"/>
        <w:rPr>
          <w:rFonts w:ascii="Times New Roman" w:cs="Times New Roman" w:eastAsia="Times New Roman" w:hAnsi="Times New Roman"/>
          <w:sz w:val="18"/>
          <w:szCs w:val="18"/>
          <w:color w:val="auto"/>
        </w:rPr>
      </w:pPr>
    </w:p>
    <w:p>
      <w:pPr>
        <w:ind w:left="640" w:right="120" w:hanging="318"/>
        <w:spacing w:after="0" w:line="248" w:lineRule="auto"/>
        <w:tabs>
          <w:tab w:leader="none" w:pos="5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of $30.8 million in other revenue, primarily due to an increase in revenue reserves as a result of tenant settlements in the prior-year period, and a decrease due to straight-line accounting, partially offset by tenant settlements in South Africa.</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Segment revenue growth included an increase of $67.3 million attributable to the impact of foreign currency translation, which included, among others, positive impacts of $35.8 million related to fluctuations in NGN, $18.9 million related to fluctuations in GHS and $14.5 million related to fluctuations in ZAR, partially offset by a negative impact of $3.8 million related to fluctuations in UGX.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property segment revenue growth of $88.7 million was attributable 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36" w:name="page37"/>
    <w:bookmarkEnd w:id="36"/>
    <w:p>
      <w:pPr>
        <w:ind w:left="540" w:hanging="218"/>
        <w:spacing w:after="0"/>
        <w:tabs>
          <w:tab w:leader="none" w:pos="540" w:val="left"/>
        </w:tabs>
        <w:numPr>
          <w:ilvl w:val="0"/>
          <w:numId w:val="36"/>
        </w:numPr>
        <w:rPr>
          <w:rFonts w:ascii="Arial" w:cs="Arial" w:eastAsia="Arial" w:hAnsi="Arial"/>
          <w:sz w:val="18"/>
          <w:szCs w:val="18"/>
          <w:i w:val="1"/>
          <w:iCs w:val="1"/>
          <w:color w:val="auto"/>
        </w:rPr>
      </w:pPr>
      <w:r>
        <w:rPr>
          <w:rFonts w:ascii="Times New Roman" w:cs="Times New Roman" w:eastAsia="Times New Roman" w:hAnsi="Times New Roman"/>
          <w:sz w:val="18"/>
          <w:szCs w:val="18"/>
          <w:color w:val="auto"/>
        </w:rPr>
        <w:t>Tenant billings growth of $28.0 million, which was driven by:</w:t>
      </w:r>
    </w:p>
    <w:p>
      <w:pPr>
        <w:spacing w:after="0" w:line="23" w:lineRule="exact"/>
        <w:rPr>
          <w:rFonts w:ascii="Arial" w:cs="Arial" w:eastAsia="Arial" w:hAnsi="Arial"/>
          <w:sz w:val="18"/>
          <w:szCs w:val="18"/>
          <w:i w:val="1"/>
          <w:iCs w:val="1"/>
          <w:color w:val="auto"/>
        </w:rPr>
      </w:pPr>
    </w:p>
    <w:p>
      <w:pPr>
        <w:ind w:left="860" w:hanging="222"/>
        <w:spacing w:after="0"/>
        <w:tabs>
          <w:tab w:leader="none" w:pos="8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 million due to colocations and amendments;</w:t>
      </w:r>
    </w:p>
    <w:p>
      <w:pPr>
        <w:spacing w:after="0" w:line="1"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million generated from newly acquired or constructed sites; and</w:t>
      </w:r>
    </w:p>
    <w:p>
      <w:pPr>
        <w:spacing w:after="0" w:line="3" w:lineRule="exact"/>
        <w:rPr>
          <w:rFonts w:ascii="Times New Roman" w:cs="Times New Roman" w:eastAsia="Times New Roman" w:hAnsi="Times New Roman"/>
          <w:sz w:val="18"/>
          <w:szCs w:val="18"/>
          <w:color w:val="auto"/>
        </w:rPr>
      </w:pPr>
    </w:p>
    <w:p>
      <w:pPr>
        <w:ind w:left="860" w:hanging="222"/>
        <w:spacing w:after="0"/>
        <w:tabs>
          <w:tab w:leader="none" w:pos="860" w:val="left"/>
        </w:tabs>
        <w:numPr>
          <w:ilvl w:val="1"/>
          <w:numId w:val="36"/>
        </w:numPr>
        <w:rPr>
          <w:rFonts w:ascii="Arial" w:cs="Arial" w:eastAsia="Arial" w:hAnsi="Arial"/>
          <w:sz w:val="18"/>
          <w:szCs w:val="18"/>
          <w:i w:val="1"/>
          <w:iCs w:val="1"/>
          <w:color w:val="auto"/>
        </w:rPr>
      </w:pPr>
      <w:r>
        <w:rPr>
          <w:rFonts w:ascii="Times New Roman" w:cs="Times New Roman" w:eastAsia="Times New Roman" w:hAnsi="Times New Roman"/>
          <w:sz w:val="18"/>
          <w:szCs w:val="18"/>
          <w:color w:val="auto"/>
        </w:rPr>
        <w:t>$7.5 million resulting from contractual escalations, net of churn;</w:t>
      </w:r>
    </w:p>
    <w:p>
      <w:pPr>
        <w:spacing w:after="0" w:line="5" w:lineRule="exact"/>
        <w:rPr>
          <w:rFonts w:ascii="Arial" w:cs="Arial" w:eastAsia="Arial" w:hAnsi="Arial"/>
          <w:sz w:val="18"/>
          <w:szCs w:val="18"/>
          <w:i w:val="1"/>
          <w:iCs w:val="1"/>
          <w:color w:val="auto"/>
        </w:rPr>
      </w:pPr>
    </w:p>
    <w:p>
      <w:pPr>
        <w:ind w:left="860" w:hanging="222"/>
        <w:spacing w:after="0"/>
        <w:tabs>
          <w:tab w:leader="none" w:pos="8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of $2.7 million from other tenant billings;</w:t>
      </w:r>
    </w:p>
    <w:p>
      <w:pPr>
        <w:spacing w:after="0" w:line="1" w:lineRule="exact"/>
        <w:rPr>
          <w:rFonts w:ascii="Times New Roman" w:cs="Times New Roman" w:eastAsia="Times New Roman" w:hAnsi="Times New Roman"/>
          <w:sz w:val="18"/>
          <w:szCs w:val="18"/>
          <w:color w:val="auto"/>
        </w:rPr>
      </w:pPr>
    </w:p>
    <w:p>
      <w:pPr>
        <w:ind w:left="640" w:hanging="318"/>
        <w:spacing w:after="0" w:line="244" w:lineRule="auto"/>
        <w:tabs>
          <w:tab w:leader="none" w:pos="5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$20.8 million in other revenue, primarily due to the impact of incremental capital contributions, which are amortized over the term of the lease; and</w:t>
      </w:r>
    </w:p>
    <w:p>
      <w:pPr>
        <w:ind w:left="540" w:hanging="21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$9.5 million in pass-through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revenue growth included an increase of $30.4 million attributable to the positive impact of foreign currency translation related to fluctuations in EUR.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Latin America property segment revenue growth of $176.6 million was attributable to:</w:t>
      </w:r>
    </w:p>
    <w:p>
      <w:pPr>
        <w:spacing w:after="0" w:line="21" w:lineRule="exact"/>
        <w:rPr>
          <w:sz w:val="20"/>
          <w:szCs w:val="20"/>
          <w:color w:val="auto"/>
        </w:rPr>
      </w:pPr>
    </w:p>
    <w:p>
      <w:pPr>
        <w:ind w:left="320"/>
        <w:spacing w:after="0"/>
        <w:tabs>
          <w:tab w:leader="none" w:pos="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An increase of $127.7 million attributable to the impact of foreign currency translation, which included, among others, positive impacts of</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$54.3 million related to fluctuations in BRL, $43.9 million related to fluctuations in MXN and $16.7 million related to fluctuations in COP;</w:t>
      </w:r>
    </w:p>
    <w:p>
      <w:pPr>
        <w:spacing w:after="0" w:line="4" w:lineRule="exact"/>
        <w:rPr>
          <w:sz w:val="20"/>
          <w:szCs w:val="20"/>
          <w:color w:val="auto"/>
        </w:rPr>
      </w:pPr>
    </w:p>
    <w:p>
      <w:pPr>
        <w:ind w:left="640" w:right="140" w:hanging="318"/>
        <w:spacing w:after="0" w:line="244" w:lineRule="auto"/>
        <w:tabs>
          <w:tab w:leader="none" w:pos="5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$59.1 million in other revenue, primarily due to an increase of $25.7 million from straight-line accounting resulting largely from tenant settlements in Brazil and a decrease in revenue reserves; and</w:t>
      </w:r>
    </w:p>
    <w:p>
      <w:pPr>
        <w:ind w:left="540" w:hanging="218"/>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$9.0 million in pass-through revenue;</w:t>
      </w:r>
    </w:p>
    <w:p>
      <w:pPr>
        <w:spacing w:after="0" w:line="3" w:lineRule="exact"/>
        <w:rPr>
          <w:rFonts w:ascii="Times New Roman" w:cs="Times New Roman" w:eastAsia="Times New Roman" w:hAnsi="Times New Roman"/>
          <w:sz w:val="18"/>
          <w:szCs w:val="18"/>
          <w:color w:val="auto"/>
        </w:rPr>
      </w:pPr>
    </w:p>
    <w:p>
      <w:pPr>
        <w:ind w:left="540" w:hanging="218"/>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in tenant billings of $19.2 million, which was driven by:</w:t>
      </w:r>
    </w:p>
    <w:p>
      <w:pPr>
        <w:spacing w:after="0" w:line="3" w:lineRule="exact"/>
        <w:rPr>
          <w:rFonts w:ascii="Times New Roman" w:cs="Times New Roman" w:eastAsia="Times New Roman" w:hAnsi="Times New Roman"/>
          <w:sz w:val="18"/>
          <w:szCs w:val="18"/>
          <w:color w:val="auto"/>
        </w:rPr>
      </w:pPr>
    </w:p>
    <w:p>
      <w:pPr>
        <w:ind w:left="1180" w:hanging="226"/>
        <w:spacing w:after="0"/>
        <w:tabs>
          <w:tab w:leader="none" w:pos="11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 million from churn in excess of contractual escalations, primarily related to customer cancellations in Brazil; and</w:t>
      </w:r>
    </w:p>
    <w:p>
      <w:pPr>
        <w:spacing w:after="0" w:line="3" w:lineRule="exact"/>
        <w:rPr>
          <w:rFonts w:ascii="Times New Roman" w:cs="Times New Roman" w:eastAsia="Times New Roman" w:hAnsi="Times New Roman"/>
          <w:sz w:val="18"/>
          <w:szCs w:val="18"/>
          <w:color w:val="auto"/>
        </w:rPr>
      </w:pPr>
    </w:p>
    <w:p>
      <w:pPr>
        <w:ind w:left="1180" w:hanging="226"/>
        <w:spacing w:after="0"/>
        <w:tabs>
          <w:tab w:leader="none" w:pos="11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from other tenant billings;</w:t>
      </w:r>
    </w:p>
    <w:p>
      <w:pPr>
        <w:spacing w:after="0" w:line="3" w:lineRule="exact"/>
        <w:rPr>
          <w:rFonts w:ascii="Times New Roman" w:cs="Times New Roman" w:eastAsia="Times New Roman" w:hAnsi="Times New Roman"/>
          <w:sz w:val="18"/>
          <w:szCs w:val="18"/>
          <w:color w:val="auto"/>
        </w:rPr>
      </w:pPr>
    </w:p>
    <w:p>
      <w:pPr>
        <w:ind w:left="1180" w:hanging="226"/>
        <w:spacing w:after="0"/>
        <w:tabs>
          <w:tab w:leader="none" w:pos="11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an increase of $19.1 million due to colocations and amendments.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Centers segment revenue growth of $126.4 million was attributable to:</w:t>
      </w:r>
    </w:p>
    <w:p>
      <w:pPr>
        <w:spacing w:after="0" w:line="11" w:lineRule="exact"/>
        <w:rPr>
          <w:sz w:val="20"/>
          <w:szCs w:val="20"/>
          <w:color w:val="auto"/>
        </w:rPr>
      </w:pPr>
    </w:p>
    <w:p>
      <w:pPr>
        <w:ind w:left="640" w:right="80" w:hanging="318"/>
        <w:spacing w:after="0" w:line="229"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$75.4 million in rental, related and other revenue, primarily due to new lease commencements, customer expansions and rent increases upon customer renewals;</w:t>
      </w:r>
    </w:p>
    <w:p>
      <w:pPr>
        <w:ind w:left="640" w:right="300" w:hanging="318"/>
        <w:spacing w:after="0" w:line="229"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$28.9 million in power revenue from new lease commencements, increased power consumption and pricing increases from existing customers;</w:t>
      </w:r>
    </w:p>
    <w:p>
      <w:pPr>
        <w:ind w:left="640" w:hanging="318"/>
        <w:spacing w:after="0" w:line="229"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$11.1 million in straight-line revenue; and</w:t>
      </w:r>
    </w:p>
    <w:p>
      <w:pPr>
        <w:ind w:left="640" w:right="180" w:hanging="318"/>
        <w:spacing w:after="0" w:line="235"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$11.0 million in interconnection revenue, primarily due to customer interconnection net additions and pricing increases from existing cross connects.</w:t>
      </w:r>
    </w:p>
    <w:p>
      <w:pPr>
        <w:spacing w:after="0" w:line="207"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8"/>
          <w:szCs w:val="18"/>
          <w:color w:val="auto"/>
        </w:rPr>
        <w:t>Services segment revenue decrease of $94.9 million was primarily attributable to decreases in site application, zoning and permitting services, structural and mount analyses services, and construction management services.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&amp; Canada</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3,159.8</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Africa &amp; APAC</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Data Centers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24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26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1"/>
        </w:trPr>
        <w:tc>
          <w:tcPr>
            <w:tcW w:w="4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property</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1,959.3</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5,734.7</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w:t>
      </w:r>
    </w:p>
    <w:p>
      <w:pPr>
        <w:spacing w:after="0" w:line="151" w:lineRule="exact"/>
        <w:rPr>
          <w:sz w:val="20"/>
          <w:szCs w:val="20"/>
          <w:color w:val="auto"/>
        </w:rPr>
      </w:pPr>
    </w:p>
    <w:p>
      <w:pPr>
        <w:ind w:left="640" w:right="140" w:hanging="318"/>
        <w:spacing w:after="0" w:line="303" w:lineRule="auto"/>
        <w:tabs>
          <w:tab w:leader="none" w:pos="63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U.S. &amp; Canada property segment gross margin was primarily attributable to the decrease in revenue described above and an increase in direct expenses of $7.2 million, primarily due to an increase in land rent costs and property taxes, partially offset by a decrease in repair and maintenance spending. Direct expenses were also negatively impacted by $0.1 million from the impact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7" w:name="page38"/>
    <w:bookmarkEnd w:id="37"/>
    <w:p>
      <w:pPr>
        <w:ind w:left="640" w:right="100" w:hanging="318"/>
        <w:spacing w:after="0" w:line="25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Africa &amp; APAC property segment gross margin was primarily attributable to the increase in revenue described above, partially offset by an increase in direct expenses of $31.6 million, primarily due to an increase in costs associated with pass-through revenue, including fuel and utility costs. Direct expenses were also negatively impacted by $6.0 million from the impact of foreign currency translation.</w:t>
      </w:r>
    </w:p>
    <w:p>
      <w:pPr>
        <w:spacing w:after="0" w:line="114" w:lineRule="exact"/>
        <w:rPr>
          <w:rFonts w:ascii="Times New Roman" w:cs="Times New Roman" w:eastAsia="Times New Roman" w:hAnsi="Times New Roman"/>
          <w:sz w:val="18"/>
          <w:szCs w:val="18"/>
          <w:color w:val="auto"/>
        </w:rPr>
      </w:pPr>
    </w:p>
    <w:p>
      <w:pPr>
        <w:jc w:val="both"/>
        <w:ind w:left="640" w:right="280" w:hanging="318"/>
        <w:spacing w:after="0" w:line="25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Europe property segment gross margin was primarily attributable to the increase in revenue described above, partially offset by an increase in direct expenses of $8.0 million, primarily due to an increase in land rent costs. Direct expenses also benefited by $1.5 million from the impact of foreign currency translation.</w:t>
      </w:r>
    </w:p>
    <w:p>
      <w:pPr>
        <w:spacing w:after="0" w:line="101" w:lineRule="exact"/>
        <w:rPr>
          <w:rFonts w:ascii="Times New Roman" w:cs="Times New Roman" w:eastAsia="Times New Roman" w:hAnsi="Times New Roman"/>
          <w:sz w:val="18"/>
          <w:szCs w:val="18"/>
          <w:color w:val="auto"/>
        </w:rPr>
      </w:pPr>
    </w:p>
    <w:p>
      <w:pPr>
        <w:ind w:left="640" w:hanging="318"/>
        <w:spacing w:after="0" w:line="25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Latin America property segment gross margin was primarily attributable to the increase in revenue described above and a decrease in direct expenses of $8.6 million, primarily due to a decrease in land rent costs. Direct expenses were also negatively impacted by $9.6 million from the impact of foreign currency translation.</w:t>
      </w:r>
    </w:p>
    <w:p>
      <w:pPr>
        <w:spacing w:after="0" w:line="114" w:lineRule="exact"/>
        <w:rPr>
          <w:rFonts w:ascii="Times New Roman" w:cs="Times New Roman" w:eastAsia="Times New Roman" w:hAnsi="Times New Roman"/>
          <w:sz w:val="18"/>
          <w:szCs w:val="18"/>
          <w:color w:val="auto"/>
        </w:rPr>
      </w:pPr>
    </w:p>
    <w:p>
      <w:pPr>
        <w:jc w:val="both"/>
        <w:ind w:left="640" w:right="500" w:hanging="318"/>
        <w:spacing w:after="0" w:line="256"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Data Centers segment gross margin was primarily attributable to the increase in revenue described above, partially offset by an increase in direct expenses of $15.5 million, primarily due to an increase in costs associated with power revenue, including utility costs, and an increase in property taxes.</w:t>
      </w:r>
    </w:p>
    <w:p>
      <w:pPr>
        <w:spacing w:after="0" w:line="114" w:lineRule="exact"/>
        <w:rPr>
          <w:rFonts w:ascii="Times New Roman" w:cs="Times New Roman" w:eastAsia="Times New Roman" w:hAnsi="Times New Roman"/>
          <w:sz w:val="18"/>
          <w:szCs w:val="18"/>
          <w:color w:val="auto"/>
        </w:rPr>
      </w:pPr>
    </w:p>
    <w:p>
      <w:pPr>
        <w:ind w:left="640" w:right="40" w:hanging="318"/>
        <w:spacing w:after="0" w:line="269" w:lineRule="auto"/>
        <w:tabs>
          <w:tab w:leader="none" w:pos="635"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decrease in Services segment gross margin was primarily attributable to the decrease in revenue described above, partially offset by a decrease in direct expenses of $21.8 million.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2026</w:t>
      </w:r>
    </w:p>
    <w:p>
      <w:pPr>
        <w:spacing w:after="0" w:line="151" w:lineRule="exact"/>
        <w:rPr>
          <w:sz w:val="20"/>
          <w:szCs w:val="20"/>
          <w:color w:val="auto"/>
        </w:rPr>
      </w:pPr>
    </w:p>
    <w:p>
      <w:pPr>
        <w:jc w:val="both"/>
        <w:ind w:left="640" w:right="40" w:hanging="318"/>
        <w:spacing w:after="0" w:line="256" w:lineRule="auto"/>
        <w:tabs>
          <w:tab w:leader="none" w:pos="63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decrease in U.S. &amp; Canada property segment gross margin was primarily attributable to the decrease in revenue described above and an increase in direct expenses of $9.4 million, primarily due to an increase in repair and maintenance spending and an increase in property taxes. Direct expenses were also negatively impacted by $0.1 million from the impact of foreign currency translation.</w:t>
      </w:r>
    </w:p>
    <w:p>
      <w:pPr>
        <w:spacing w:after="0" w:line="114" w:lineRule="exact"/>
        <w:rPr>
          <w:rFonts w:ascii="Times New Roman" w:cs="Times New Roman" w:eastAsia="Times New Roman" w:hAnsi="Times New Roman"/>
          <w:sz w:val="18"/>
          <w:szCs w:val="18"/>
          <w:i w:val="1"/>
          <w:iCs w:val="1"/>
          <w:color w:val="auto"/>
        </w:rPr>
      </w:pPr>
    </w:p>
    <w:p>
      <w:pPr>
        <w:ind w:left="640" w:right="100" w:hanging="318"/>
        <w:spacing w:after="0" w:line="256"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Africa &amp; APAC property segment gross margin was primarily attributable to the increase in revenue described above, partially offset by an increase in direct expenses of $72.1 million, primarily due to an increase in costs associated with pass-through revenue, including fuel and utility costs. Direct expenses were also negatively impacted by $28.6 million from the impact of foreign currency translation.</w:t>
      </w:r>
    </w:p>
    <w:p>
      <w:pPr>
        <w:spacing w:after="0" w:line="101" w:lineRule="exact"/>
        <w:rPr>
          <w:rFonts w:ascii="Times New Roman" w:cs="Times New Roman" w:eastAsia="Times New Roman" w:hAnsi="Times New Roman"/>
          <w:sz w:val="18"/>
          <w:szCs w:val="18"/>
          <w:color w:val="auto"/>
        </w:rPr>
      </w:pPr>
    </w:p>
    <w:p>
      <w:pPr>
        <w:ind w:left="640" w:right="280" w:hanging="318"/>
        <w:spacing w:after="0" w:line="303" w:lineRule="auto"/>
        <w:tabs>
          <w:tab w:leader="none" w:pos="63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Europe property segment gross margin was primarily attributable to the increase in revenue described above, partially offset by an increase in direct expenses of $21.7 million, primarily due to an increase in land rent costs and an increase in costs associated with pass-through revenue, including energy costs. Direct expenses were also negatively impacted by $10.8 million from the impact of foreign currency translation.</w:t>
      </w:r>
    </w:p>
    <w:p>
      <w:pPr>
        <w:spacing w:after="0" w:line="80" w:lineRule="exact"/>
        <w:rPr>
          <w:rFonts w:ascii="Times New Roman" w:cs="Times New Roman" w:eastAsia="Times New Roman" w:hAnsi="Times New Roman"/>
          <w:sz w:val="16"/>
          <w:szCs w:val="16"/>
          <w:color w:val="auto"/>
        </w:rPr>
      </w:pPr>
    </w:p>
    <w:p>
      <w:pPr>
        <w:jc w:val="both"/>
        <w:ind w:left="640" w:right="60" w:hanging="318"/>
        <w:spacing w:after="0" w:line="256"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Latin America property segment gross margin was primarily attributable to the increase in revenue described above and a decrease in direct expenses of $17.1 million, primarily due to a decrease in land rent costs. Direct expenses were also negatively impacted by $35.6 million from the impact of foreign currency translation.</w:t>
      </w:r>
    </w:p>
    <w:p>
      <w:pPr>
        <w:spacing w:after="0" w:line="114" w:lineRule="exact"/>
        <w:rPr>
          <w:rFonts w:ascii="Times New Roman" w:cs="Times New Roman" w:eastAsia="Times New Roman" w:hAnsi="Times New Roman"/>
          <w:sz w:val="18"/>
          <w:szCs w:val="18"/>
          <w:color w:val="auto"/>
        </w:rPr>
      </w:pPr>
    </w:p>
    <w:p>
      <w:pPr>
        <w:jc w:val="both"/>
        <w:ind w:left="640" w:right="500" w:hanging="318"/>
        <w:spacing w:after="0" w:line="256"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Data Centers segment gross margin was primarily attributable to the increase in revenue described above, partially offset by an increase in direct expenses of $39.2 million, primarily due to an increase in costs associated with power revenue, including utility costs, and an increase in property taxes.</w:t>
      </w:r>
    </w:p>
    <w:p>
      <w:pPr>
        <w:spacing w:after="0" w:line="101" w:lineRule="exact"/>
        <w:rPr>
          <w:rFonts w:ascii="Times New Roman" w:cs="Times New Roman" w:eastAsia="Times New Roman" w:hAnsi="Times New Roman"/>
          <w:sz w:val="18"/>
          <w:szCs w:val="18"/>
          <w:color w:val="auto"/>
        </w:rPr>
      </w:pPr>
    </w:p>
    <w:p>
      <w:pPr>
        <w:ind w:left="640" w:right="40" w:hanging="318"/>
        <w:spacing w:after="0" w:line="269" w:lineRule="auto"/>
        <w:tabs>
          <w:tab w:leader="none" w:pos="63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decrease in Services segment gross margin was primarily attributable to the decrease in revenue described above, partially offset by a decrease in direct expenses of $32.9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Selling, General, Administrative and Development Expense (“SG&amp;A”)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1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2"/>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2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&amp; Canada</w:t>
            </w: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Africa &amp; APAC</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Data Centers</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4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6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1"/>
        </w:trPr>
        <w:tc>
          <w:tcPr>
            <w:tcW w:w="4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property</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64"/>
        </w:trPr>
        <w:tc>
          <w:tcPr>
            <w:tcW w:w="4420" w:type="dxa"/>
            <w:vAlign w:val="bottom"/>
          </w:tcPr>
          <w:p>
            <w:pPr>
              <w:ind w:left="660"/>
              <w:spacing w:after="0" w:line="164" w:lineRule="exact"/>
              <w:rPr>
                <w:sz w:val="20"/>
                <w:szCs w:val="20"/>
                <w:color w:val="auto"/>
              </w:rPr>
            </w:pPr>
            <w:r>
              <w:rPr>
                <w:rFonts w:ascii="Times New Roman" w:cs="Times New Roman" w:eastAsia="Times New Roman" w:hAnsi="Times New Roman"/>
                <w:sz w:val="18"/>
                <w:szCs w:val="18"/>
                <w:color w:val="auto"/>
              </w:rPr>
              <w:t>Total selling, general, administrative and</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development expense</w:t>
            </w: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w:t>
      </w:r>
    </w:p>
    <w:p>
      <w:pPr>
        <w:spacing w:after="0" w:line="151" w:lineRule="exact"/>
        <w:rPr>
          <w:sz w:val="20"/>
          <w:szCs w:val="20"/>
          <w:color w:val="auto"/>
        </w:rPr>
      </w:pPr>
    </w:p>
    <w:p>
      <w:pPr>
        <w:ind w:left="640" w:right="520" w:hanging="318"/>
        <w:spacing w:after="0" w:line="269" w:lineRule="auto"/>
        <w:tabs>
          <w:tab w:leader="none" w:pos="63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decrease in our U.S. &amp; Canada property segment SG&amp;A was primarily driven by decreased personnel and related costs and lower canceled construction costs.</w:t>
      </w:r>
    </w:p>
    <w:p>
      <w:pPr>
        <w:spacing w:after="0" w:line="102" w:lineRule="exact"/>
        <w:rPr>
          <w:rFonts w:ascii="Times New Roman" w:cs="Times New Roman" w:eastAsia="Times New Roman" w:hAnsi="Times New Roman"/>
          <w:sz w:val="18"/>
          <w:szCs w:val="18"/>
          <w:i w:val="1"/>
          <w:iCs w:val="1"/>
          <w:color w:val="auto"/>
        </w:rPr>
      </w:pPr>
    </w:p>
    <w:p>
      <w:pPr>
        <w:ind w:left="640" w:right="200" w:hanging="318"/>
        <w:spacing w:after="0" w:line="332" w:lineRule="auto"/>
        <w:tabs>
          <w:tab w:leader="none" w:pos="635" w:val="left"/>
        </w:tabs>
        <w:numPr>
          <w:ilvl w:val="0"/>
          <w:numId w:val="4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increase in our Africa &amp; APAC property segment SG&amp;A was primarily driven by increased personnel and related costs to support our business, higher canceled construction costs and the negative impact of foreign currency translation, partially offset by decreased professional services costs.</w:t>
      </w:r>
    </w:p>
    <w:p>
      <w:pPr>
        <w:spacing w:after="0" w:line="44" w:lineRule="exact"/>
        <w:rPr>
          <w:rFonts w:ascii="Times New Roman" w:cs="Times New Roman" w:eastAsia="Times New Roman" w:hAnsi="Times New Roman"/>
          <w:sz w:val="16"/>
          <w:szCs w:val="16"/>
          <w:i w:val="1"/>
          <w:iCs w:val="1"/>
          <w:color w:val="auto"/>
        </w:rPr>
      </w:pPr>
    </w:p>
    <w:p>
      <w:pPr>
        <w:ind w:left="640" w:right="20" w:hanging="318"/>
        <w:spacing w:after="0" w:line="269" w:lineRule="auto"/>
        <w:tabs>
          <w:tab w:leader="none" w:pos="63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decrease in our Europe property segment SG&amp;A was primarily driven by decreased personnel and related costs, lower canceled construction costs and a benefit from the impact of foreign currency translation.</w:t>
      </w:r>
    </w:p>
    <w:p>
      <w:pPr>
        <w:spacing w:after="0" w:line="102" w:lineRule="exact"/>
        <w:rPr>
          <w:rFonts w:ascii="Times New Roman" w:cs="Times New Roman" w:eastAsia="Times New Roman" w:hAnsi="Times New Roman"/>
          <w:sz w:val="18"/>
          <w:szCs w:val="18"/>
          <w:i w:val="1"/>
          <w:iCs w:val="1"/>
          <w:color w:val="auto"/>
        </w:rPr>
      </w:pPr>
    </w:p>
    <w:p>
      <w:pPr>
        <w:ind w:left="640" w:right="500" w:hanging="318"/>
        <w:spacing w:after="0" w:line="269" w:lineRule="auto"/>
        <w:tabs>
          <w:tab w:leader="none" w:pos="63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decrease in our Latin America property segment SG&amp;A was primarily driven by a decrease in bad debt expense and decreased professional services costs, partially offset by the negative impact of foreign currency translation.</w:t>
      </w:r>
    </w:p>
    <w:p>
      <w:pPr>
        <w:spacing w:after="0" w:line="102" w:lineRule="exact"/>
        <w:rPr>
          <w:rFonts w:ascii="Times New Roman" w:cs="Times New Roman" w:eastAsia="Times New Roman" w:hAnsi="Times New Roman"/>
          <w:sz w:val="18"/>
          <w:szCs w:val="18"/>
          <w:i w:val="1"/>
          <w:iCs w:val="1"/>
          <w:color w:val="auto"/>
        </w:rPr>
      </w:pPr>
    </w:p>
    <w:p>
      <w:pPr>
        <w:ind w:left="640" w:right="100" w:hanging="318"/>
        <w:spacing w:after="0" w:line="269" w:lineRule="auto"/>
        <w:tabs>
          <w:tab w:leader="none" w:pos="63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our Data Centers segment SG&amp;A was primarily driven by increased personnel and related costs to support our business and increased professional services costs.</w:t>
      </w:r>
    </w:p>
    <w:p>
      <w:pPr>
        <w:spacing w:after="0" w:line="89" w:lineRule="exact"/>
        <w:rPr>
          <w:rFonts w:ascii="Times New Roman" w:cs="Times New Roman" w:eastAsia="Times New Roman" w:hAnsi="Times New Roman"/>
          <w:sz w:val="18"/>
          <w:szCs w:val="18"/>
          <w:i w:val="1"/>
          <w:iCs w:val="1"/>
          <w:color w:val="auto"/>
        </w:rPr>
      </w:pPr>
    </w:p>
    <w:p>
      <w:pPr>
        <w:ind w:left="640" w:hanging="31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Services segment SG&amp;A did not have a meaningful change as compared to the prior-year period.</w:t>
      </w:r>
    </w:p>
    <w:p>
      <w:pPr>
        <w:spacing w:after="0" w:line="148" w:lineRule="exact"/>
        <w:rPr>
          <w:rFonts w:ascii="Times New Roman" w:cs="Times New Roman" w:eastAsia="Times New Roman" w:hAnsi="Times New Roman"/>
          <w:sz w:val="18"/>
          <w:szCs w:val="18"/>
          <w:color w:val="auto"/>
        </w:rPr>
      </w:pPr>
    </w:p>
    <w:p>
      <w:pPr>
        <w:ind w:left="640" w:right="360" w:hanging="318"/>
        <w:spacing w:after="0" w:line="269"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other SG&amp;A was primarily attributable to a decrease in stock-based compensation expense of $10.4 million, partially offset by an increase in corporate SG&amp;A.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2026</w:t>
      </w:r>
    </w:p>
    <w:p>
      <w:pPr>
        <w:spacing w:after="0" w:line="138" w:lineRule="exact"/>
        <w:rPr>
          <w:sz w:val="20"/>
          <w:szCs w:val="20"/>
          <w:color w:val="auto"/>
        </w:rPr>
      </w:pPr>
    </w:p>
    <w:p>
      <w:pPr>
        <w:ind w:left="640" w:right="20" w:hanging="318"/>
        <w:spacing w:after="0" w:line="269" w:lineRule="auto"/>
        <w:tabs>
          <w:tab w:leader="none" w:pos="63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decrease in our U.S. &amp; Canada property segment SG&amp;A was primarily driven by decreased personnel and related costs and a decrease in bad debt expense, partially offset by increased professional services costs and higher canceled construction costs.</w:t>
      </w:r>
    </w:p>
    <w:p>
      <w:pPr>
        <w:spacing w:after="0" w:line="102" w:lineRule="exact"/>
        <w:rPr>
          <w:rFonts w:ascii="Times New Roman" w:cs="Times New Roman" w:eastAsia="Times New Roman" w:hAnsi="Times New Roman"/>
          <w:sz w:val="18"/>
          <w:szCs w:val="18"/>
          <w:i w:val="1"/>
          <w:iCs w:val="1"/>
          <w:color w:val="auto"/>
        </w:rPr>
      </w:pPr>
    </w:p>
    <w:p>
      <w:pPr>
        <w:ind w:left="640" w:right="240" w:hanging="318"/>
        <w:spacing w:after="0" w:line="269" w:lineRule="auto"/>
        <w:tabs>
          <w:tab w:leader="none" w:pos="63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our Africa &amp; APAC property segment SG&amp;A was primarily driven by increased personnel and related costs to support our business and the negative impact of foreign currency translation, partially offset by decreased professional services costs.</w:t>
      </w:r>
    </w:p>
    <w:p>
      <w:pPr>
        <w:spacing w:after="0" w:line="102" w:lineRule="exact"/>
        <w:rPr>
          <w:rFonts w:ascii="Times New Roman" w:cs="Times New Roman" w:eastAsia="Times New Roman" w:hAnsi="Times New Roman"/>
          <w:sz w:val="18"/>
          <w:szCs w:val="18"/>
          <w:i w:val="1"/>
          <w:iCs w:val="1"/>
          <w:color w:val="auto"/>
        </w:rPr>
      </w:pPr>
    </w:p>
    <w:p>
      <w:pPr>
        <w:ind w:left="640" w:right="300" w:hanging="318"/>
        <w:spacing w:after="0" w:line="269" w:lineRule="auto"/>
        <w:tabs>
          <w:tab w:leader="none" w:pos="63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our Europe property segment SG&amp;A was primarily driven by increased personnel and related costs to support our business and the negative impact of foreign currency translation, partially offset by decreased professional services costs.</w:t>
      </w:r>
    </w:p>
    <w:p>
      <w:pPr>
        <w:spacing w:after="0" w:line="89" w:lineRule="exact"/>
        <w:rPr>
          <w:rFonts w:ascii="Times New Roman" w:cs="Times New Roman" w:eastAsia="Times New Roman" w:hAnsi="Times New Roman"/>
          <w:sz w:val="18"/>
          <w:szCs w:val="18"/>
          <w:i w:val="1"/>
          <w:iCs w:val="1"/>
          <w:color w:val="auto"/>
        </w:rPr>
      </w:pPr>
    </w:p>
    <w:p>
      <w:pPr>
        <w:jc w:val="both"/>
        <w:ind w:left="640" w:right="260" w:hanging="318"/>
        <w:spacing w:after="0" w:line="256" w:lineRule="auto"/>
        <w:tabs>
          <w:tab w:leader="none" w:pos="635"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our Latin America property segment SG&amp;A was primarily driven by higher canceled construction costs and the negative impact of foreign currency translation, partially offset by a decrease in bad debt expense of $6.7 million, decreased personnel and related costs and decreased professional services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39" w:name="page40"/>
    <w:bookmarkEnd w:id="39"/>
    <w:p>
      <w:pPr>
        <w:ind w:left="640" w:right="100" w:hanging="318"/>
        <w:spacing w:after="0" w:line="269" w:lineRule="auto"/>
        <w:tabs>
          <w:tab w:leader="none" w:pos="63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in our Data Centers segment SG&amp;A was primarily driven by increased personnel and related costs to support our business and increased legal and professional services costs.</w:t>
      </w:r>
    </w:p>
    <w:p>
      <w:pPr>
        <w:spacing w:after="0" w:line="102" w:lineRule="exact"/>
        <w:rPr>
          <w:rFonts w:ascii="Times New Roman" w:cs="Times New Roman" w:eastAsia="Times New Roman" w:hAnsi="Times New Roman"/>
          <w:sz w:val="18"/>
          <w:szCs w:val="18"/>
          <w:i w:val="1"/>
          <w:iCs w:val="1"/>
          <w:color w:val="auto"/>
        </w:rPr>
      </w:pPr>
    </w:p>
    <w:p>
      <w:pPr>
        <w:ind w:left="640" w:right="480" w:hanging="318"/>
        <w:spacing w:after="0" w:line="269"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our Services segment SG&amp;A was primarily driven by a decrease in bad debt expense, decreased personnel and related costs and decreased professional services costs.</w:t>
      </w:r>
    </w:p>
    <w:p>
      <w:pPr>
        <w:spacing w:after="0" w:line="89" w:lineRule="exact"/>
        <w:rPr>
          <w:rFonts w:ascii="Times New Roman" w:cs="Times New Roman" w:eastAsia="Times New Roman" w:hAnsi="Times New Roman"/>
          <w:sz w:val="18"/>
          <w:szCs w:val="18"/>
          <w:color w:val="auto"/>
        </w:rPr>
      </w:pPr>
    </w:p>
    <w:p>
      <w:pPr>
        <w:ind w:left="640" w:right="360" w:hanging="318"/>
        <w:spacing w:after="0" w:line="269"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other SG&amp;A was primarily attributable to a decrease in stock-based compensation expense of $18.5 million, partially offset by an increase in corporate SG&amp;A, including an increase in personnel and related costs to support our business.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&amp; Canada</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3,038.9</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Africa &amp; APAC</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Data Centers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4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26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1"/>
        </w:trPr>
        <w:tc>
          <w:tcPr>
            <w:tcW w:w="4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property</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5,366.7</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40" w:right="280" w:hanging="318"/>
        <w:spacing w:after="0" w:line="269" w:lineRule="auto"/>
        <w:tabs>
          <w:tab w:leader="none" w:pos="63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decreases in operating profit for the three and nine months ended September 30, 2026 for our U.S. &amp; Canada property segment were primarily attributable to decreases in our segment gross margin, partially offset by decreases in our segment SG&amp;A.</w:t>
      </w:r>
    </w:p>
    <w:p>
      <w:pPr>
        <w:spacing w:after="0" w:line="102" w:lineRule="exact"/>
        <w:rPr>
          <w:rFonts w:ascii="Times New Roman" w:cs="Times New Roman" w:eastAsia="Times New Roman" w:hAnsi="Times New Roman"/>
          <w:sz w:val="18"/>
          <w:szCs w:val="18"/>
          <w:i w:val="1"/>
          <w:iCs w:val="1"/>
          <w:color w:val="auto"/>
        </w:rPr>
      </w:pPr>
    </w:p>
    <w:p>
      <w:pPr>
        <w:ind w:left="640" w:right="380" w:hanging="318"/>
        <w:spacing w:after="0" w:line="332" w:lineRule="auto"/>
        <w:tabs>
          <w:tab w:leader="none" w:pos="635" w:val="left"/>
        </w:tabs>
        <w:numPr>
          <w:ilvl w:val="0"/>
          <w:numId w:val="4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increases in operating profit for the three and nine months ended September 30, 2026 for our Africa &amp; APAC property segment and our Data Centers segment were primarily attributable to increases in our segment gross margin, partially offset by increases in our segment SG&amp;A.</w:t>
      </w:r>
    </w:p>
    <w:p>
      <w:pPr>
        <w:spacing w:after="0" w:line="57" w:lineRule="exact"/>
        <w:rPr>
          <w:rFonts w:ascii="Times New Roman" w:cs="Times New Roman" w:eastAsia="Times New Roman" w:hAnsi="Times New Roman"/>
          <w:sz w:val="16"/>
          <w:szCs w:val="16"/>
          <w:i w:val="1"/>
          <w:iCs w:val="1"/>
          <w:color w:val="auto"/>
        </w:rPr>
      </w:pPr>
    </w:p>
    <w:p>
      <w:pPr>
        <w:ind w:left="640" w:right="140" w:hanging="318"/>
        <w:spacing w:after="0" w:line="252"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operating profit for the three months ended September 30, 2026 for our Europe property segment and our Latin America property segment were primarily attributable to increases in our segment gross margin and decreases in our segment SG&amp;A. The increases in operating profit for the nine months ended September 30, 2026 for our Europe property segment and our Latin America property segment were primarily attributable to increases in our segment gross margin, partially offset by increases in our segment SG&amp;A.</w:t>
      </w:r>
    </w:p>
    <w:p>
      <w:pPr>
        <w:spacing w:after="0" w:line="105" w:lineRule="exact"/>
        <w:rPr>
          <w:rFonts w:ascii="Times New Roman" w:cs="Times New Roman" w:eastAsia="Times New Roman" w:hAnsi="Times New Roman"/>
          <w:sz w:val="18"/>
          <w:szCs w:val="18"/>
          <w:color w:val="auto"/>
        </w:rPr>
      </w:pPr>
    </w:p>
    <w:p>
      <w:pPr>
        <w:ind w:left="640" w:right="200" w:hanging="318"/>
        <w:spacing w:after="0" w:line="256" w:lineRule="auto"/>
        <w:tabs>
          <w:tab w:leader="none" w:pos="63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decrease in operating profit for the three months ended September 30, 2026 for our Services segment was primarily attributable to a decrease in our segment gross margin. The decrease in operating profit for the nine months ended September 30, 2026 for our Services segment was primarily attributable to a decrease in our segment gross margin, partially offset by a decrease in our segment SG&amp;A.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Amortization and Accretion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21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1,525.7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The decrease in depreciation, amortization and accretion expense for the three months ended September 30, 2026 was primarily attributable to decreases in property and equipment and intangible assets subject to amortization as a result of accelerated amortization, impairments taken and disposals since the beginning of the prior-year period, partially offset by foreign currency exchange rate fluctuations.</w:t>
      </w:r>
    </w:p>
    <w:p>
      <w:pPr>
        <w:spacing w:after="0" w:line="11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The increase in depreciation, amortization and accretion expense for the nine months ended September 30, 2026 was primarily attributable to foreign currency 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Other Operating Expense (Income)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100" w:type="dxa"/>
            <w:vAlign w:val="bottom"/>
            <w:gridSpan w:val="6"/>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3"/>
        </w:trPr>
        <w:tc>
          <w:tcPr>
            <w:tcW w:w="4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17.4</w:t>
            </w:r>
          </w:p>
        </w:tc>
        <w:tc>
          <w:tcPr>
            <w:tcW w:w="1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color w:val="auto"/>
        </w:rPr>
        <w:t>The decrease in other operating expense (income) during the three months ended September 30, 2026 was primarily attributable to registration fees included in the prior-year period related to our acquisition of Eaton Towers Holdings Limited in 2019 and a decrease in losses on sales or disposals of assets, partially offset by an increase in integration and acquisition related costs, including benefits related to pre-acquisition contingencies and settlements.</w:t>
      </w:r>
    </w:p>
    <w:p>
      <w:pPr>
        <w:spacing w:after="0" w:line="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change in other operating expense (income) during the nine months ended September 30, 2026 was primarily attributable to a decrease in gains on sales or disposals of assets and an increase in impairment charges, primarily related to DISH in the United States. Operating expense (income) during the nine months ended September 30, 2026 and 2025 includes a net gain on the sales of our APAC operations of $20.4 million and a gain on the sale of our fiber assets in South Africa (“South Africa Fiber”) of $53.6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Expense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21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1,605.8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Total other expense consists primarily of interest expense and realized and unrealized foreign currency gains or losses as a result of foreign currency exchange rate fluctuations primarily associated with our EUR denominated senior unsecured notes, our intercompany notes and similar unaffiliated balances denominated in a currency other than the subsidiaries’ functional currencies.</w:t>
      </w:r>
    </w:p>
    <w:p>
      <w:pPr>
        <w:spacing w:after="0" w:line="102"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8"/>
          <w:szCs w:val="18"/>
          <w:color w:val="auto"/>
        </w:rPr>
        <w:t>The increase in total other expense during the three months ended September 30, 2026 was primarily due to unrealized losses from equity securities in the United States of $71.5 million as compared to gains of $10.9 million during the prior-year period.</w:t>
      </w:r>
    </w:p>
    <w:p>
      <w:pPr>
        <w:spacing w:after="0" w:line="102"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6"/>
          <w:szCs w:val="16"/>
          <w:color w:val="auto"/>
        </w:rPr>
        <w:t>The decrease in total other expense during the nine months ended September 30, 2026 was primarily due to foreign currency gains of $137.2 million in the current period, as compared to foreign currency losses of $811.7 million in the prior-year period. Total other expense during the nine months ended September 30, 2026 and 2025 also includes unrealized (losses) gains from equity securities in the United States of $(35.1) million and $129.2 million,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100" w:type="dxa"/>
            <w:vAlign w:val="bottom"/>
          </w:tcPr>
          <w:p>
            <w:pPr>
              <w:spacing w:after="0"/>
              <w:rPr>
                <w:sz w:val="16"/>
                <w:szCs w:val="16"/>
                <w:color w:val="auto"/>
              </w:rPr>
            </w:pPr>
          </w:p>
        </w:tc>
        <w:tc>
          <w:tcPr>
            <w:tcW w:w="2220" w:type="dxa"/>
            <w:vAlign w:val="bottom"/>
            <w:gridSpan w:val="4"/>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 Increase</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0" w:type="dxa"/>
            <w:vAlign w:val="bottom"/>
          </w:tcPr>
          <w:p>
            <w:pPr>
              <w:spacing w:after="0"/>
              <w:rPr>
                <w:sz w:val="1"/>
                <w:szCs w:val="1"/>
                <w:color w:val="auto"/>
              </w:rPr>
            </w:pPr>
          </w:p>
        </w:tc>
      </w:tr>
      <w:tr>
        <w:trPr>
          <w:trHeight w:val="23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37.4</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  $</w:t>
            </w:r>
          </w:p>
        </w:tc>
        <w:tc>
          <w:tcPr>
            <w:tcW w:w="10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379.0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287.6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a real estate investment trust for U.S. federal income tax purposes (“REIT”), we may deduct earnings distributed to stockholders against the income generated by our REIT operations. Consequently, the effective tax rate on income from continuing operations for the three and nine months ended September 30, 2026 and 2025 differs from the federal statutory rate.</w:t>
      </w:r>
    </w:p>
    <w:p>
      <w:pPr>
        <w:spacing w:after="0" w:line="11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6"/>
          <w:szCs w:val="16"/>
          <w:color w:val="auto"/>
        </w:rPr>
        <w:t>As of January 1, 2024, we and our subsidiaries, in principle, became subject to the Organization for Economic Cooperation and Development (the “OECD”) Global Anti-Base Erosion Rules (the “Pillar 2 Rules”) as promulgated by jurisdictions. The Pillar 2 Rules can potentially lead to additional taxes (“Top-Up Tax”) when the effective tax rate (as defined by the Pillar 2 Rules) in a jurisdiction is below 15%. The Pillar 2 Rules, however, do not apply to “Excluded Entities” and certain subsidiaries of Excluded Entities. We believe we qualify as an Excluded Entity as a “Real Estate Investment Vehicle.” In the event certain subsidiaries do not qualify as Excluded Entities, available “Safe Harbor” rules could apply that would exempt the entities from any Top-Up Tax. Substantially all of our non-excluded, non-U.S. jurisdictions qualify for one or more of the Safe Harbor rules. The remaining non-U.S. jurisdictions that may not qualify could have immaterial Top-Up Tax. Beginning in fiscal year 2026, the U.S. income of non-excluded U.S. domiciled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41" w:name="page42"/>
    <w:bookmarkEnd w:id="41"/>
    <w:p>
      <w:pPr>
        <w:spacing w:after="0" w:line="252" w:lineRule="auto"/>
        <w:rPr>
          <w:sz w:val="20"/>
          <w:szCs w:val="20"/>
          <w:color w:val="auto"/>
        </w:rPr>
      </w:pPr>
      <w:r>
        <w:rPr>
          <w:rFonts w:ascii="Times New Roman" w:cs="Times New Roman" w:eastAsia="Times New Roman" w:hAnsi="Times New Roman"/>
          <w:sz w:val="18"/>
          <w:szCs w:val="18"/>
          <w:color w:val="auto"/>
        </w:rPr>
        <w:t>entities may result in immaterial Top-Up Tax; however, on January 5, 2026, the OECD announced a comprehensive Side-by-Side Safe Harbor that, if enacted, would exempt U.S.-parented multinational companies from certain Top-Up Taxes under the Pillar 2 Rules beginning January 1, 2026. While the Side-by-Side Safe Harbor has yet to be enacted in any jurisdiction in which we operate, there is an expectation the Side-by-Side Safe Harbor may be adopted prior to year end. The amount of Top-Up Tax from our U.S. income is immaterial.</w:t>
      </w:r>
    </w:p>
    <w:p>
      <w:pPr>
        <w:spacing w:after="0" w:line="106"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6"/>
          <w:szCs w:val="16"/>
          <w:color w:val="auto"/>
        </w:rPr>
        <w:t>The increases in the income tax provision during the three and nine months ended September 30, 2026 were primarily attributable to increases in earnings in certain foreign jurisdictions in the current year periods and a benefit from the application of a tax law change in Germany in the prior-year periods. These increases were partially offset by (i) unrealized losses from equity securities in the United States during the three and nine months ended September 30, 2026 and (ii) taxes related to the sale of South Africa Fiber and additions to reserves for uncertain tax positions, each during the prior-year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15" w:right="459" w:bottom="1440" w:gutter="0" w:footer="0" w:header="0"/>
        </w:sectPr>
      </w:pPr>
    </w:p>
    <w:bookmarkStart w:id="42" w:name="page43"/>
    <w:bookmarkEnd w:id="42"/>
    <w:p>
      <w:pPr>
        <w:ind w:right="520"/>
        <w:spacing w:after="0" w:line="271" w:lineRule="auto"/>
        <w:rPr>
          <w:sz w:val="20"/>
          <w:szCs w:val="20"/>
          <w:color w:val="auto"/>
        </w:rPr>
      </w:pPr>
      <w:r>
        <w:rPr>
          <w:rFonts w:ascii="Times New Roman" w:cs="Times New Roman" w:eastAsia="Times New Roman" w:hAnsi="Times New Roman"/>
          <w:sz w:val="18"/>
          <w:szCs w:val="18"/>
          <w:i w:val="1"/>
          <w:iCs w:val="1"/>
          <w:color w:val="auto"/>
        </w:rPr>
        <w:t>Net Income / Adjusted EBITDA and Net Income / Nareit FFO attributable to American Tower Corporation common stockholders / AFFO attributable to American Tower Corporation common stockholders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53"/>
        </w:trPr>
        <w:tc>
          <w:tcPr>
            <w:tcW w:w="4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3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60" w:type="dxa"/>
            <w:vAlign w:val="bottom"/>
            <w:gridSpan w:val="4"/>
          </w:tcPr>
          <w:p>
            <w:pPr>
              <w:jc w:val="right"/>
              <w:ind w:right="144"/>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60" w:type="dxa"/>
            <w:vAlign w:val="bottom"/>
            <w:gridSpan w:val="4"/>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retirement of long-term obligations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260" w:type="dxa"/>
            <w:vAlign w:val="bottom"/>
            <w:gridSpan w:val="4"/>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60" w:type="dxa"/>
            <w:vAlign w:val="bottom"/>
            <w:gridSpan w:val="4"/>
          </w:tcPr>
          <w:p>
            <w:pPr>
              <w:jc w:val="right"/>
              <w:ind w:right="144"/>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60" w:type="dxa"/>
            <w:vAlign w:val="bottom"/>
            <w:gridSpan w:val="4"/>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260" w:type="dxa"/>
            <w:vAlign w:val="bottom"/>
            <w:gridSpan w:val="4"/>
          </w:tcPr>
          <w:p>
            <w:pPr>
              <w:jc w:val="right"/>
              <w:ind w:right="104"/>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60" w:type="dxa"/>
            <w:vAlign w:val="bottom"/>
            <w:gridSpan w:val="4"/>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1,831.8</w:t>
            </w: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516"/>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05"/>
        </w:trPr>
        <w:tc>
          <w:tcPr>
            <w:tcW w:w="43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related depreciation, amortization and accretion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260" w:type="dxa"/>
            <w:vAlign w:val="bottom"/>
            <w:gridSpan w:val="4"/>
          </w:tcPr>
          <w:p>
            <w:pPr>
              <w:jc w:val="right"/>
              <w:ind w:right="144"/>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Losses (gains) from sale or disposal of real estate and real</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related impairment charges (1)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6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192"/>
        </w:trPr>
        <w:tc>
          <w:tcPr>
            <w:tcW w:w="438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Adjustments and distributions for unconsolidated affiliates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noncontrolling interests (2)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60" w:type="dxa"/>
            <w:vAlign w:val="bottom"/>
            <w:gridSpan w:val="4"/>
          </w:tcPr>
          <w:p>
            <w:pPr>
              <w:jc w:val="right"/>
              <w:ind w:right="84"/>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3"/>
        </w:trPr>
        <w:tc>
          <w:tcPr>
            <w:tcW w:w="4380" w:type="dxa"/>
            <w:vAlign w:val="bottom"/>
            <w:tcBorders>
              <w:top w:val="single" w:sz="8" w:color="CCEEFF"/>
            </w:tcBorders>
            <w:shd w:val="clear" w:color="auto" w:fill="CCEEFF"/>
          </w:tcPr>
          <w:p>
            <w:pPr>
              <w:ind w:left="340"/>
              <w:spacing w:after="0" w:line="173" w:lineRule="exact"/>
              <w:rPr>
                <w:sz w:val="20"/>
                <w:szCs w:val="20"/>
                <w:color w:val="auto"/>
              </w:rPr>
            </w:pPr>
            <w:r>
              <w:rPr>
                <w:rFonts w:ascii="Times New Roman" w:cs="Times New Roman" w:eastAsia="Times New Roman" w:hAnsi="Times New Roman"/>
                <w:sz w:val="18"/>
                <w:szCs w:val="18"/>
                <w:color w:val="auto"/>
              </w:rPr>
              <w:t>Nareit FFO attributable to American Tower</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Corporation common stockholders</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revenue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60" w:type="dxa"/>
            <w:vAlign w:val="bottom"/>
            <w:gridSpan w:val="4"/>
          </w:tcPr>
          <w:p>
            <w:pPr>
              <w:jc w:val="right"/>
              <w:ind w:right="84"/>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6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60" w:type="dxa"/>
            <w:vAlign w:val="bottom"/>
            <w:gridSpan w:val="4"/>
          </w:tcPr>
          <w:p>
            <w:pPr>
              <w:jc w:val="right"/>
              <w:ind w:right="84"/>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Deferred portion of income tax and other income tax</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2"/>
        </w:trPr>
        <w:tc>
          <w:tcPr>
            <w:tcW w:w="438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Non-real estate related depreciation, amortization and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60" w:type="dxa"/>
            <w:vAlign w:val="bottom"/>
            <w:gridSpan w:val="4"/>
          </w:tcPr>
          <w:p>
            <w:pPr>
              <w:jc w:val="right"/>
              <w:ind w:right="84"/>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Amortization of deferred financing costs, capitalized</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debt discounts and premiums and long-term</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60" w:type="dxa"/>
            <w:vAlign w:val="bottom"/>
            <w:gridSpan w:val="4"/>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6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interest charges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60" w:type="dxa"/>
            <w:vAlign w:val="bottom"/>
            <w:gridSpan w:val="4"/>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60" w:type="dxa"/>
            <w:vAlign w:val="bottom"/>
            <w:gridSpan w:val="4"/>
          </w:tcPr>
          <w:p>
            <w:pPr>
              <w:jc w:val="right"/>
              <w:ind w:right="84"/>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retirement of long-term obligations</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60" w:type="dxa"/>
            <w:vAlign w:val="bottom"/>
            <w:gridSpan w:val="4"/>
          </w:tcPr>
          <w:p>
            <w:pPr>
              <w:jc w:val="right"/>
              <w:ind w:right="84"/>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improvement capital expenditures</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6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capital expenditures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60" w:type="dxa"/>
            <w:vAlign w:val="bottom"/>
            <w:gridSpan w:val="4"/>
          </w:tcPr>
          <w:p>
            <w:pPr>
              <w:jc w:val="right"/>
              <w:ind w:right="84"/>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Adjustments and distributions for unconsolidated affiliates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noncontrolling interests (6)</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Borders>
              <w:bottom w:val="single" w:sz="8" w:color="auto"/>
            </w:tcBorders>
            <w:shd w:val="clear" w:color="auto" w:fill="CCEEFF"/>
          </w:tcPr>
          <w:p>
            <w:pPr>
              <w:spacing w:after="0"/>
              <w:rPr>
                <w:sz w:val="19"/>
                <w:szCs w:val="19"/>
                <w:color w:val="auto"/>
              </w:rPr>
            </w:pPr>
          </w:p>
        </w:tc>
        <w:tc>
          <w:tcPr>
            <w:tcW w:w="124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72"/>
        </w:trPr>
        <w:tc>
          <w:tcPr>
            <w:tcW w:w="4380" w:type="dxa"/>
            <w:vAlign w:val="bottom"/>
          </w:tcPr>
          <w:p>
            <w:pPr>
              <w:ind w:left="340"/>
              <w:spacing w:after="0" w:line="172" w:lineRule="exact"/>
              <w:rPr>
                <w:sz w:val="20"/>
                <w:szCs w:val="20"/>
                <w:color w:val="auto"/>
              </w:rPr>
            </w:pPr>
            <w:r>
              <w:rPr>
                <w:rFonts w:ascii="Times New Roman" w:cs="Times New Roman" w:eastAsia="Times New Roman" w:hAnsi="Times New Roman"/>
                <w:sz w:val="18"/>
                <w:szCs w:val="18"/>
                <w:color w:val="auto"/>
              </w:rPr>
              <w:t>AFFO attributable to American Tower Corporation</w:t>
            </w:r>
          </w:p>
        </w:tc>
        <w:tc>
          <w:tcPr>
            <w:tcW w:w="2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80" w:type="dxa"/>
            <w:vAlign w:val="bottom"/>
          </w:tcPr>
          <w:p>
            <w:pPr>
              <w:spacing w:after="0"/>
              <w:rPr>
                <w:sz w:val="14"/>
                <w:szCs w:val="14"/>
                <w:color w:val="auto"/>
              </w:rPr>
            </w:pP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3,923.2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common stockholders</w:t>
            </w:r>
          </w:p>
        </w:tc>
        <w:tc>
          <w:tcPr>
            <w:tcW w:w="24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60" w:type="dxa"/>
            <w:vAlign w:val="bottom"/>
            <w:gridSpan w:val="4"/>
          </w:tcPr>
          <w:p>
            <w:pPr>
              <w:jc w:val="right"/>
              <w:spacing w:after="0" w:line="203" w:lineRule="exact"/>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right="100" w:hanging="315"/>
        <w:spacing w:after="0" w:line="243" w:lineRule="auto"/>
        <w:tabs>
          <w:tab w:leader="none" w:pos="31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2026, includes a net gain on the sales of our APAC operations of $20.4 million. For the nine months ended September 30, 2025, includes a gain on the sale of South Africa Fiber of $53.6 million.</w:t>
      </w:r>
    </w:p>
    <w:p>
      <w:pPr>
        <w:ind w:left="320" w:right="500" w:hanging="315"/>
        <w:spacing w:after="0" w:line="255" w:lineRule="auto"/>
        <w:tabs>
          <w:tab w:leader="none" w:pos="31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distributions to noncontrolling interest holders, distributions related to the outstanding mandatorily convertible preferred equity in connection with our agreements with certain investment vehicles affiliated with Stonepeak Partners LP and adjustments for the impact of noncontrolling interests on Nareit FFO attributable to American Tower Corporation common stockholders.</w:t>
      </w:r>
    </w:p>
    <w:p>
      <w:pPr>
        <w:ind w:left="320" w:right="60" w:hanging="315"/>
        <w:spacing w:after="0" w:line="250" w:lineRule="auto"/>
        <w:tabs>
          <w:tab w:leader="none" w:pos="31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nine months ended September 30, 2026, includes adjustments for refunds in Germany of $0.5 million. For the three and nine months ended September 30, 2025, includes adjustments for taxes paid in Singapore of $0.3 million related to the ATC TIPL Transaction. For the nine months ended September 30, 2025 also includes adjustments for taxes paid in South Africa of $19.6 million, which were incurred as a result of the sale of South Africa Fiber. We believe that these tax adjustments are nonrecurring, and do not believe these are an indication of our operating performance. Accordingly, we believe it is more meaningful to present AFFO attributable to American Tower Corporation common stockholders excluding these amounts.</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(gains) losses on foreign currency exchange rate fluctuations of $(27.0) million, $(18.0) million, $(137.2) million and $811.7 million, respectively.</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acquisition-related costs, integration costs and disposition costs.</w:t>
      </w:r>
    </w:p>
    <w:p>
      <w:pPr>
        <w:spacing w:after="0" w:line="1" w:lineRule="exact"/>
        <w:rPr>
          <w:rFonts w:ascii="Times New Roman" w:cs="Times New Roman" w:eastAsia="Times New Roman" w:hAnsi="Times New Roman"/>
          <w:sz w:val="14"/>
          <w:szCs w:val="14"/>
          <w:color w:val="auto"/>
        </w:rPr>
      </w:pPr>
    </w:p>
    <w:p>
      <w:pPr>
        <w:ind w:left="320" w:right="360" w:hanging="315"/>
        <w:spacing w:after="0" w:line="244" w:lineRule="auto"/>
        <w:tabs>
          <w:tab w:leader="none" w:pos="31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adjustments for the impact of noncontrolling interests on other line items, excluding those already adjusted for in Nareit FFO attributable to American Tower Corporation common stockholders.</w:t>
      </w:r>
    </w:p>
    <w:p>
      <w:pPr>
        <w:spacing w:after="0" w:line="122"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18"/>
          <w:szCs w:val="18"/>
          <w:color w:val="auto"/>
        </w:rPr>
        <w:t>The decrease in net income for the three months ended September 30, 2026 was primarily due to (i) changes in other (expense) income, primarily due to unrealized losses from equity securities in the United States in the current year period and (ii) an increase in the income tax provision, partially offset by an increase in segment operating profit.</w:t>
      </w:r>
    </w:p>
    <w:p>
      <w:pPr>
        <w:spacing w:after="0" w:line="107"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The increase in net income for the nine months ended September 30, 2026 was primarily due to (i) changes in other (expense) income, primarily due to foreign currency exchange rate fluctuations, partially offset by unrealized losses from equity securities in the United States in the current year period, and (ii) an increase in segment operating profit, partially offset by (w) an increase in the income tax provision, (x) changes in other operating expense (income), which included the net gain on the sales of our APAC operations during the nine months ended September 30, 2026 and the gain on the sale of South Africa Fiber during the nine months ended September 30, 2025, (y) an increase in interest expense and (z) an increase in depreciation, amortization and accretion expense.</w:t>
      </w:r>
    </w:p>
    <w:p>
      <w:pPr>
        <w:spacing w:after="0" w:line="88" w:lineRule="exact"/>
        <w:rPr>
          <w:sz w:val="20"/>
          <w:szCs w:val="20"/>
          <w:color w:val="auto"/>
        </w:rPr>
      </w:pPr>
    </w:p>
    <w:p>
      <w:pPr>
        <w:ind w:right="460"/>
        <w:spacing w:after="0" w:line="332" w:lineRule="auto"/>
        <w:rPr>
          <w:sz w:val="20"/>
          <w:szCs w:val="20"/>
          <w:color w:val="auto"/>
        </w:rPr>
      </w:pPr>
      <w:r>
        <w:rPr>
          <w:rFonts w:ascii="Times New Roman" w:cs="Times New Roman" w:eastAsia="Times New Roman" w:hAnsi="Times New Roman"/>
          <w:sz w:val="16"/>
          <w:szCs w:val="16"/>
          <w:color w:val="auto"/>
        </w:rPr>
        <w:t>The increases in Adjusted EBITDA for the three and nine months ended September 30, 2026 were primarily attributable to increases in our gross margin, partially offset by increases in SG&amp;A, excluding the impact of stock-based compensation expense, of $5.6 million and $33.7 million, respectively.</w:t>
      </w:r>
    </w:p>
    <w:p>
      <w:pPr>
        <w:spacing w:after="0" w:line="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increase in AFFO attributable to American Tower Corporation common stockholders for the three months ended September 30, 2026 was primarily attributable to an increase in our operating profit, excluding the impact of straight-line accounting, partially offset by increases in cash paid for interest and cash paid for income taxes.</w:t>
      </w:r>
    </w:p>
    <w:p>
      <w:pPr>
        <w:spacing w:after="0" w:line="11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increase in AFFO attributable to American Tower Corporation common stockholders for the nine months ended September 30, 2026 was primarily attributable to an increase in our operating profit, excluding the impact of straight-line accounting, partially offset by (i) increases in cash paid for interest and cash paid for income taxes, (ii) increases in distributions and adjustments for noncontrolling interests, including distributions to noncontrolling interest holders in our Europe property segment and Data Centers segment, and (iii) increases in capital improvement and corporate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Segment Gross Margin Reconciliations</w:t>
      </w:r>
    </w:p>
    <w:p>
      <w:pPr>
        <w:spacing w:after="0" w:line="138"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18"/>
          <w:szCs w:val="18"/>
          <w:color w:val="auto"/>
        </w:rPr>
        <w:t>Gross margin is defined as revenue less costs of operations inclusive of real estate related depreciation, amortization and accretion. Segment gross margin excludes depreciation, amortization and accretion.</w:t>
      </w:r>
    </w:p>
    <w:p>
      <w:pPr>
        <w:sectPr>
          <w:pgSz w:w="11900" w:h="16838" w:orient="portrait"/>
          <w:cols w:equalWidth="0" w:num="1">
            <w:col w:w="11240"/>
          </w:cols>
          <w:pgMar w:left="320" w:top="1213"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 w:right="60"/>
        <w:spacing w:after="0" w:line="335" w:lineRule="auto"/>
        <w:rPr>
          <w:sz w:val="20"/>
          <w:szCs w:val="20"/>
          <w:color w:val="auto"/>
        </w:rPr>
      </w:pPr>
      <w:r>
        <w:rPr>
          <w:rFonts w:ascii="Times New Roman" w:cs="Times New Roman" w:eastAsia="Times New Roman" w:hAnsi="Times New Roman"/>
          <w:sz w:val="14"/>
          <w:szCs w:val="14"/>
          <w:b w:val="1"/>
          <w:bCs w:val="1"/>
          <w:color w:val="auto"/>
        </w:rPr>
        <w:t xml:space="preserve">Three Months Ended September 30, 2026 </w:t>
      </w:r>
      <w:r>
        <w:rPr>
          <w:rFonts w:ascii="Times New Roman" w:cs="Times New Roman" w:eastAsia="Times New Roman" w:hAnsi="Times New Roman"/>
          <w:sz w:val="14"/>
          <w:szCs w:val="14"/>
          <w:color w:val="auto"/>
        </w:rPr>
        <w:t>Gross margin</w:t>
      </w:r>
    </w:p>
    <w:p>
      <w:pPr>
        <w:ind w:left="20"/>
        <w:spacing w:after="0" w:line="249" w:lineRule="auto"/>
        <w:rPr>
          <w:sz w:val="20"/>
          <w:szCs w:val="20"/>
          <w:color w:val="auto"/>
        </w:rPr>
      </w:pPr>
      <w:r>
        <w:rPr>
          <w:rFonts w:ascii="Times New Roman" w:cs="Times New Roman" w:eastAsia="Times New Roman" w:hAnsi="Times New Roman"/>
          <w:sz w:val="14"/>
          <w:szCs w:val="14"/>
          <w:color w:val="auto"/>
        </w:rPr>
        <w:t>Real estate related depreciation, amortization and accretion</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gross margin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right="60"/>
        <w:spacing w:after="0" w:line="335" w:lineRule="auto"/>
        <w:rPr>
          <w:sz w:val="20"/>
          <w:szCs w:val="20"/>
          <w:color w:val="auto"/>
        </w:rPr>
      </w:pPr>
      <w:r>
        <w:rPr>
          <w:rFonts w:ascii="Times New Roman" w:cs="Times New Roman" w:eastAsia="Times New Roman" w:hAnsi="Times New Roman"/>
          <w:sz w:val="14"/>
          <w:szCs w:val="14"/>
          <w:b w:val="1"/>
          <w:bCs w:val="1"/>
          <w:color w:val="auto"/>
        </w:rPr>
        <w:t xml:space="preserve">Three Months Ended September 30, 2025 </w:t>
      </w:r>
      <w:r>
        <w:rPr>
          <w:rFonts w:ascii="Times New Roman" w:cs="Times New Roman" w:eastAsia="Times New Roman" w:hAnsi="Times New Roman"/>
          <w:sz w:val="14"/>
          <w:szCs w:val="14"/>
          <w:color w:val="auto"/>
        </w:rPr>
        <w:t>Gross margin</w:t>
      </w:r>
    </w:p>
    <w:p>
      <w:pPr>
        <w:ind w:left="20"/>
        <w:spacing w:after="0" w:line="249" w:lineRule="auto"/>
        <w:rPr>
          <w:sz w:val="20"/>
          <w:szCs w:val="20"/>
          <w:color w:val="auto"/>
        </w:rPr>
      </w:pPr>
      <w:r>
        <w:rPr>
          <w:rFonts w:ascii="Times New Roman" w:cs="Times New Roman" w:eastAsia="Times New Roman" w:hAnsi="Times New Roman"/>
          <w:sz w:val="14"/>
          <w:szCs w:val="14"/>
          <w:color w:val="auto"/>
        </w:rPr>
        <w:t>Real estate related depreciation, amortization and accretion</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gross margin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right="120"/>
        <w:spacing w:after="0" w:line="335" w:lineRule="auto"/>
        <w:rPr>
          <w:sz w:val="20"/>
          <w:szCs w:val="20"/>
          <w:color w:val="auto"/>
        </w:rPr>
      </w:pPr>
      <w:r>
        <w:rPr>
          <w:rFonts w:ascii="Times New Roman" w:cs="Times New Roman" w:eastAsia="Times New Roman" w:hAnsi="Times New Roman"/>
          <w:sz w:val="14"/>
          <w:szCs w:val="14"/>
          <w:b w:val="1"/>
          <w:bCs w:val="1"/>
          <w:color w:val="auto"/>
        </w:rPr>
        <w:t xml:space="preserve">Nine Months Ended September 30, 2026 </w:t>
      </w:r>
      <w:r>
        <w:rPr>
          <w:rFonts w:ascii="Times New Roman" w:cs="Times New Roman" w:eastAsia="Times New Roman" w:hAnsi="Times New Roman"/>
          <w:sz w:val="14"/>
          <w:szCs w:val="14"/>
          <w:color w:val="auto"/>
        </w:rPr>
        <w:t>Gross margin</w:t>
      </w:r>
    </w:p>
    <w:p>
      <w:pPr>
        <w:ind w:left="20"/>
        <w:spacing w:after="0" w:line="234" w:lineRule="auto"/>
        <w:rPr>
          <w:sz w:val="20"/>
          <w:szCs w:val="20"/>
          <w:color w:val="auto"/>
        </w:rPr>
      </w:pPr>
      <w:r>
        <w:rPr>
          <w:rFonts w:ascii="Times New Roman" w:cs="Times New Roman" w:eastAsia="Times New Roman" w:hAnsi="Times New Roman"/>
          <w:sz w:val="14"/>
          <w:szCs w:val="14"/>
          <w:color w:val="auto"/>
        </w:rPr>
        <w:t>Real estate related depreciation, amortization and accretion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gross margin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right="120"/>
        <w:spacing w:after="0" w:line="335" w:lineRule="auto"/>
        <w:rPr>
          <w:sz w:val="20"/>
          <w:szCs w:val="20"/>
          <w:color w:val="auto"/>
        </w:rPr>
      </w:pPr>
      <w:r>
        <w:rPr>
          <w:rFonts w:ascii="Times New Roman" w:cs="Times New Roman" w:eastAsia="Times New Roman" w:hAnsi="Times New Roman"/>
          <w:sz w:val="14"/>
          <w:szCs w:val="14"/>
          <w:b w:val="1"/>
          <w:bCs w:val="1"/>
          <w:color w:val="auto"/>
        </w:rPr>
        <w:t xml:space="preserve">Nine Months Ended September 30, 2025 </w:t>
      </w:r>
      <w:r>
        <w:rPr>
          <w:rFonts w:ascii="Times New Roman" w:cs="Times New Roman" w:eastAsia="Times New Roman" w:hAnsi="Times New Roman"/>
          <w:sz w:val="14"/>
          <w:szCs w:val="14"/>
          <w:color w:val="auto"/>
        </w:rPr>
        <w:t>Gross margin</w:t>
      </w:r>
    </w:p>
    <w:p>
      <w:pPr>
        <w:ind w:left="20"/>
        <w:spacing w:after="0" w:line="249" w:lineRule="auto"/>
        <w:rPr>
          <w:sz w:val="20"/>
          <w:szCs w:val="20"/>
          <w:color w:val="auto"/>
        </w:rPr>
      </w:pPr>
      <w:r>
        <w:rPr>
          <w:rFonts w:ascii="Times New Roman" w:cs="Times New Roman" w:eastAsia="Times New Roman" w:hAnsi="Times New Roman"/>
          <w:sz w:val="14"/>
          <w:szCs w:val="14"/>
          <w:color w:val="auto"/>
        </w:rPr>
        <w:t>Real estate related depreciation, amortization and accretion</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Segment gross margin</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rPr>
              <w:t>Africa &amp;</w:t>
            </w: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3"/>
                <w:szCs w:val="13"/>
                <w:color w:val="auto"/>
              </w:rPr>
            </w:pP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APAC</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Property</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903.6</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278.0</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0" w:type="dxa"/>
            <w:vAlign w:val="bottom"/>
          </w:tcPr>
          <w:p>
            <w:pPr>
              <w:spacing w:after="0"/>
              <w:rPr>
                <w:sz w:val="1"/>
                <w:szCs w:val="1"/>
                <w:color w:val="auto"/>
              </w:rPr>
            </w:pPr>
          </w:p>
        </w:tc>
      </w:tr>
      <w:tr>
        <w:trPr>
          <w:trHeight w:val="345"/>
        </w:trPr>
        <w:tc>
          <w:tcPr>
            <w:tcW w:w="2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0" w:type="dxa"/>
            <w:vAlign w:val="bottom"/>
          </w:tcPr>
          <w:p>
            <w:pPr>
              <w:spacing w:after="0"/>
              <w:rPr>
                <w:sz w:val="1"/>
                <w:szCs w:val="1"/>
                <w:color w:val="auto"/>
              </w:rPr>
            </w:pPr>
          </w:p>
        </w:tc>
      </w:tr>
      <w:tr>
        <w:trPr>
          <w:trHeight w:val="217"/>
        </w:trPr>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1,050.5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326.7</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2,028.5</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rPr>
              <w:t>Africa &amp;</w:t>
            </w: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3"/>
                <w:szCs w:val="13"/>
                <w:color w:val="auto"/>
              </w:rPr>
            </w:pP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APAC</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Property</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952.6</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234.0</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1,520.6</w:t>
            </w:r>
          </w:p>
        </w:tc>
        <w:tc>
          <w:tcPr>
            <w:tcW w:w="0" w:type="dxa"/>
            <w:vAlign w:val="bottom"/>
          </w:tcPr>
          <w:p>
            <w:pPr>
              <w:spacing w:after="0"/>
              <w:rPr>
                <w:sz w:val="1"/>
                <w:szCs w:val="1"/>
                <w:color w:val="auto"/>
              </w:rPr>
            </w:pPr>
          </w:p>
        </w:tc>
      </w:tr>
      <w:tr>
        <w:trPr>
          <w:trHeight w:val="345"/>
        </w:trPr>
        <w:tc>
          <w:tcPr>
            <w:tcW w:w="2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0" w:type="dxa"/>
            <w:vAlign w:val="bottom"/>
          </w:tcPr>
          <w:p>
            <w:pPr>
              <w:spacing w:after="0"/>
              <w:rPr>
                <w:sz w:val="1"/>
                <w:szCs w:val="1"/>
                <w:color w:val="auto"/>
              </w:rPr>
            </w:pPr>
          </w:p>
        </w:tc>
      </w:tr>
      <w:tr>
        <w:trPr>
          <w:trHeight w:val="217"/>
        </w:trPr>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1,101.4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284.2</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2,006.6</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Africa &amp;</w:t>
            </w: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3"/>
                <w:szCs w:val="13"/>
                <w:color w:val="auto"/>
              </w:rPr>
            </w:pP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APAC</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Property</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2,720.1</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840.2</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4,543.6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76.4</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4,620.0</w:t>
            </w:r>
          </w:p>
        </w:tc>
        <w:tc>
          <w:tcPr>
            <w:tcW w:w="0" w:type="dxa"/>
            <w:vAlign w:val="bottom"/>
          </w:tcPr>
          <w:p>
            <w:pPr>
              <w:spacing w:after="0"/>
              <w:rPr>
                <w:sz w:val="1"/>
                <w:szCs w:val="1"/>
                <w:color w:val="auto"/>
              </w:rPr>
            </w:pPr>
          </w:p>
        </w:tc>
      </w:tr>
      <w:tr>
        <w:trPr>
          <w:trHeight w:val="345"/>
        </w:trPr>
        <w:tc>
          <w:tcPr>
            <w:tcW w:w="2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439.7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143.6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0" w:type="dxa"/>
            <w:vAlign w:val="bottom"/>
          </w:tcPr>
          <w:p>
            <w:pPr>
              <w:spacing w:after="0"/>
              <w:rPr>
                <w:sz w:val="1"/>
                <w:szCs w:val="1"/>
                <w:color w:val="auto"/>
              </w:rPr>
            </w:pPr>
          </w:p>
        </w:tc>
      </w:tr>
      <w:tr>
        <w:trPr>
          <w:trHeight w:val="217"/>
        </w:trPr>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3,159.8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983.8</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76.4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6,070.5</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 &amp; Canada</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rPr>
              <w:t>Africa &amp;</w:t>
            </w: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3"/>
                <w:szCs w:val="13"/>
                <w:color w:val="auto"/>
              </w:rPr>
            </w:pPr>
          </w:p>
        </w:tc>
        <w:tc>
          <w:tcPr>
            <w:tcW w:w="76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APAC</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Property</w:t>
            </w: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2,837.0</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680.3</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4,316.0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138.4</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4,454.4</w:t>
            </w:r>
          </w:p>
        </w:tc>
        <w:tc>
          <w:tcPr>
            <w:tcW w:w="0" w:type="dxa"/>
            <w:vAlign w:val="bottom"/>
          </w:tcPr>
          <w:p>
            <w:pPr>
              <w:spacing w:after="0"/>
              <w:rPr>
                <w:sz w:val="1"/>
                <w:szCs w:val="1"/>
                <w:color w:val="auto"/>
              </w:rPr>
            </w:pPr>
          </w:p>
        </w:tc>
      </w:tr>
      <w:tr>
        <w:trPr>
          <w:trHeight w:val="345"/>
        </w:trPr>
        <w:tc>
          <w:tcPr>
            <w:tcW w:w="26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445.3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1,418.7</w:t>
            </w:r>
          </w:p>
        </w:tc>
        <w:tc>
          <w:tcPr>
            <w:tcW w:w="0" w:type="dxa"/>
            <w:vAlign w:val="bottom"/>
          </w:tcPr>
          <w:p>
            <w:pPr>
              <w:spacing w:after="0"/>
              <w:rPr>
                <w:sz w:val="1"/>
                <w:szCs w:val="1"/>
                <w:color w:val="auto"/>
              </w:rPr>
            </w:pPr>
          </w:p>
        </w:tc>
      </w:tr>
      <w:tr>
        <w:trPr>
          <w:trHeight w:val="217"/>
        </w:trPr>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3,282.3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825.7</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5,734.7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138.4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5,873.1</w:t>
            </w:r>
          </w:p>
        </w:tc>
        <w:tc>
          <w:tcPr>
            <w:tcW w:w="0" w:type="dxa"/>
            <w:vAlign w:val="bottom"/>
          </w:tcPr>
          <w:p>
            <w:pPr>
              <w:spacing w:after="0"/>
              <w:rPr>
                <w:sz w:val="1"/>
                <w:szCs w:val="1"/>
                <w:color w:val="auto"/>
              </w:rPr>
            </w:pP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-3797300</wp:posOffset>
            </wp:positionV>
            <wp:extent cx="7135495" cy="150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-3429000</wp:posOffset>
            </wp:positionV>
            <wp:extent cx="7135495" cy="167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5495" cy="167005"/>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-2717800</wp:posOffset>
            </wp:positionV>
            <wp:extent cx="7135495" cy="150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-2350135</wp:posOffset>
            </wp:positionV>
            <wp:extent cx="7135495" cy="167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5495" cy="167005"/>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-1630680</wp:posOffset>
            </wp:positionV>
            <wp:extent cx="7135495" cy="150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-1262380</wp:posOffset>
            </wp:positionV>
            <wp:extent cx="7135495" cy="167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5495" cy="167005"/>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-551180</wp:posOffset>
            </wp:positionV>
            <wp:extent cx="7135495" cy="150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-1774190</wp:posOffset>
            </wp:positionH>
            <wp:positionV relativeFrom="paragraph">
              <wp:posOffset>-183515</wp:posOffset>
            </wp:positionV>
            <wp:extent cx="7135495" cy="167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240"/>
            <w:col w:w="8440"/>
          </w:cols>
          <w:pgMar w:left="320" w:top="12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The information in this section updates as of September 30, 2026 the “Liquidity and Capital Resources” section of the 2025 Form 10-K and should be read in conjunction with that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our significant financing transactions included:</w:t>
      </w:r>
    </w:p>
    <w:p>
      <w:pPr>
        <w:spacing w:after="0" w:line="149" w:lineRule="exact"/>
        <w:rPr>
          <w:sz w:val="20"/>
          <w:szCs w:val="20"/>
          <w:color w:val="auto"/>
        </w:rPr>
      </w:pPr>
    </w:p>
    <w:p>
      <w:pPr>
        <w:ind w:left="640" w:right="180" w:hanging="318"/>
        <w:spacing w:after="0" w:line="251"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our 4.400% senior unsecured notes due 2026 (the “4.400% Notes”), our 1.600% senior unsecured notes due 2026 (the “1.600% Notes”), our 1.950% senior unsecured notes due 2026 (the “1.950% Notes”) and our 1.450% senior unsecured notes due 2026 (the “1.450% Notes”) upon their maturity dates;</w:t>
      </w:r>
    </w:p>
    <w:p>
      <w:pPr>
        <w:ind w:left="640" w:right="160" w:hanging="318"/>
        <w:spacing w:after="0" w:line="24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redemption of 250.0 million EUR of our 4.125% senior unsecured notes due 2027 (the “4.125% Notes”) for an aggregate redemption price of approximately 253.3 million EUR (approximately $290.2 million as of the repayment date);</w:t>
      </w:r>
    </w:p>
    <w:p>
      <w:pPr>
        <w:ind w:left="640" w:right="260" w:hanging="318"/>
        <w:spacing w:after="0" w:line="24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public offering in an aggregate principal amount of $2.5 billion, including 750.0 million EUR, of senior unsecured notes with maturities ranging from 2031 to 2036;</w:t>
      </w:r>
    </w:p>
    <w:p>
      <w:pPr>
        <w:ind w:left="640" w:right="340" w:hanging="318"/>
        <w:spacing w:after="0" w:line="24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the 2021 Multicurrency Credit Facility, the 2021 Credit Facility and the 2021 Term Loan (each as defined below) to, among other things, extend the maturity dates thereunder; and</w:t>
      </w:r>
    </w:p>
    <w:p>
      <w:pPr>
        <w:ind w:left="640" w:right="620" w:hanging="318"/>
        <w:spacing w:after="0" w:line="248"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2,969,052 shares of our common stock for an aggregate of $518.0 million, including commissions and fees, under the Buyback Program (as defined below).</w:t>
      </w:r>
    </w:p>
    <w:p>
      <w:pPr>
        <w:spacing w:after="0" w:line="10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As a holding company, our cash flows are derived primarily from the operations of, and distributions from, our operating subsidiaries or funds raised through borrowings under our credit facilities and debt or equity offerings.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our liquidity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r>
      <w:tr>
        <w:trPr>
          <w:trHeight w:val="24"/>
        </w:trPr>
        <w:tc>
          <w:tcPr>
            <w:tcW w:w="182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Available under the 2021</w:t>
            </w: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Multicurrency Credit Facility</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4,985.0</w:t>
            </w:r>
          </w:p>
        </w:tc>
      </w:tr>
      <w:tr>
        <w:trPr>
          <w:trHeight w:val="237"/>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Available under the 2021</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3,770.0</w:t>
            </w:r>
          </w:p>
        </w:tc>
      </w:tr>
      <w:tr>
        <w:trPr>
          <w:trHeight w:val="237"/>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7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9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available under credit facilities, net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8,715.6</w:t>
            </w:r>
          </w:p>
        </w:tc>
      </w:tr>
      <w:tr>
        <w:trPr>
          <w:trHeight w:val="237"/>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r>
      <w:tr>
        <w:trPr>
          <w:trHeight w:val="230"/>
        </w:trPr>
        <w:tc>
          <w:tcPr>
            <w:tcW w:w="1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liquidity</w:t>
            </w:r>
          </w:p>
        </w:tc>
        <w:tc>
          <w:tcPr>
            <w:tcW w:w="72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10,587.5</w:t>
            </w:r>
          </w:p>
        </w:tc>
      </w:tr>
      <w:tr>
        <w:trPr>
          <w:trHeight w:val="20"/>
        </w:trPr>
        <w:tc>
          <w:tcPr>
            <w:tcW w:w="18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8"/>
          <w:szCs w:val="18"/>
          <w:color w:val="auto"/>
        </w:rPr>
        <w:t>Subsequent to September 30, 2026, we made additional net borrowings of $675.0 million under the 2021 Multicurrency Credit Facility and borrowings of $965.0 million under the 2021 Credit Facility.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cash flow information is set forth below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Pr>
          <w:p>
            <w:pPr>
              <w:spacing w:after="0"/>
              <w:rPr>
                <w:sz w:val="16"/>
                <w:szCs w:val="16"/>
                <w:color w:val="auto"/>
              </w:rPr>
            </w:pPr>
          </w:p>
        </w:tc>
      </w:tr>
      <w:tr>
        <w:trPr>
          <w:trHeight w:val="24"/>
        </w:trPr>
        <w:tc>
          <w:tcPr>
            <w:tcW w:w="7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0"/>
        </w:trPr>
        <w:tc>
          <w:tcPr>
            <w:tcW w:w="7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5"/>
                <w:szCs w:val="15"/>
                <w:color w:val="auto"/>
              </w:rPr>
            </w:pPr>
          </w:p>
        </w:tc>
      </w:tr>
      <w:tr>
        <w:trPr>
          <w:trHeight w:val="24"/>
        </w:trPr>
        <w:tc>
          <w:tcPr>
            <w:tcW w:w="75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7"/>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4,280.2</w:t>
            </w:r>
          </w:p>
        </w:tc>
        <w:tc>
          <w:tcPr>
            <w:tcW w:w="100" w:type="dxa"/>
            <w:vAlign w:val="bottom"/>
          </w:tcPr>
          <w:p>
            <w:pPr>
              <w:spacing w:after="0"/>
              <w:rPr>
                <w:sz w:val="20"/>
                <w:szCs w:val="20"/>
                <w:color w:val="auto"/>
              </w:rPr>
            </w:pP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4,036.5</w:t>
            </w:r>
          </w:p>
        </w:tc>
      </w:tr>
      <w:tr>
        <w:trPr>
          <w:trHeight w:val="237"/>
        </w:trPr>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w:t>
            </w:r>
          </w:p>
        </w:tc>
      </w:tr>
      <w:tr>
        <w:trPr>
          <w:trHeight w:val="237"/>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w:t>
            </w:r>
          </w:p>
        </w:tc>
      </w:tr>
      <w:tr>
        <w:trPr>
          <w:trHeight w:val="2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Net effect of changes in foreign currency exchange rates on cash and cash equivalents, and restricted cash</w:t>
            </w:r>
          </w:p>
        </w:tc>
        <w:tc>
          <w:tcPr>
            <w:tcW w:w="10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08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7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use our cash flows to fund our operations and investments in our business, including maintenance and improvements, communications site and data center construction, managed network installations and acquisitions. Additionally, we use our cash flows to make distributions, including distributions of our REIT taxable income to maintain our qualification for taxation as a REIT under the Internal Revenue Code of 1986, as amended (the “Code”). We may also periodically repay or repurchase our existing indebtedness or equity. We typically fund our international expansion efforts primarily through a combination of cash on hand, intercompany debt and equity contributions.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46" w:name="page47"/>
    <w:bookmarkEnd w:id="46"/>
    <w:p>
      <w:pPr>
        <w:ind w:right="120"/>
        <w:spacing w:after="0" w:line="250" w:lineRule="auto"/>
        <w:rPr>
          <w:sz w:val="20"/>
          <w:szCs w:val="20"/>
          <w:color w:val="auto"/>
        </w:rPr>
      </w:pPr>
      <w:r>
        <w:rPr>
          <w:rFonts w:ascii="Times New Roman" w:cs="Times New Roman" w:eastAsia="Times New Roman" w:hAnsi="Times New Roman"/>
          <w:sz w:val="18"/>
          <w:szCs w:val="18"/>
          <w:color w:val="auto"/>
        </w:rPr>
        <w:t>As of September 30, 2026, we had total outstanding indebtedness of $37.8 billion, with a current portion of $5.4 billion. During the nine months ended September 30, 2026, we generated sufficient cash flow from operations, together with borrowings under our credit facilities, proceeds from our debt issuances and cash on hand, to fund our acquisitions, capital expenditures and debt service obligations, as well as our required distributions. We believe the cash generated by operating activities during the year ending December 31, 2026, together with our borrowing capacity under our credit facilities, will suffice to fund our required distributions, capital expenditures, debt service obligations (interest and principal repayments) and signed acquisitions.</w:t>
      </w:r>
    </w:p>
    <w:p>
      <w:pPr>
        <w:spacing w:after="0" w:line="10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We utilize notional cash pooling arrangements with financial institutions for cash management purposes. These arrangements allow for cash withdrawals based upon aggregate cash balances on deposit at the same financial institution.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r>
        <w:rPr>
          <w:rFonts w:ascii="Times New Roman" w:cs="Times New Roman" w:eastAsia="Times New Roman" w:hAnsi="Times New Roman"/>
          <w:sz w:val="18"/>
          <w:szCs w:val="18"/>
          <w:color w:val="auto"/>
        </w:rPr>
        <w:t>— There were no material changes to the Material Cash Requirements section of the 2025 Form 10-K.</w:t>
      </w:r>
    </w:p>
    <w:p>
      <w:pPr>
        <w:spacing w:after="0" w:line="15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As of September 30, 2026, we had $2.3 billion of cash and cash equivalents held by our foreign subsidiaries including balances subject to the notional cash pooling arrangements discussed above. As of September 30, 2026, we had $245.0 million of cash and cash equivalents held by our joint ventures, of which $196.1 million was held by our foreign joint ventures. Certain foreign subsidiaries may pay us interest or principal on intercompany debt. Additionally, in the event that we repatriate funds from our foreign subsidiaries, we may be required to accrue and pay certain taxes.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5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increase in cash provided by operating activities for the nine months ended September 30, 2026 was primarily attributable to an increase in our operating profit, including the impact of straight-line accounting, and a decrease in cash required for working capital, primarily as a result of changes in accounts receivable, partially offset by increases in cash paid for interest and cash paid for taxes.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investing activities during the nine months ended September 30, 2026 are highlighted below:</w:t>
      </w:r>
    </w:p>
    <w:p>
      <w:pPr>
        <w:spacing w:after="0" w:line="149" w:lineRule="exact"/>
        <w:rPr>
          <w:sz w:val="20"/>
          <w:szCs w:val="20"/>
          <w:color w:val="auto"/>
        </w:rPr>
      </w:pPr>
    </w:p>
    <w:p>
      <w:pPr>
        <w:ind w:left="640" w:hanging="239"/>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spent $263.1 million for acquisitions,</w:t>
      </w:r>
    </w:p>
    <w:p>
      <w:pPr>
        <w:spacing w:after="0" w:line="148" w:lineRule="exact"/>
        <w:rPr>
          <w:rFonts w:ascii="Times New Roman" w:cs="Times New Roman" w:eastAsia="Times New Roman" w:hAnsi="Times New Roman"/>
          <w:sz w:val="18"/>
          <w:szCs w:val="18"/>
          <w:color w:val="auto"/>
        </w:rPr>
      </w:pPr>
    </w:p>
    <w:p>
      <w:pPr>
        <w:ind w:left="640" w:hanging="239"/>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$82.5 million from the sales of our APAC operations, and</w:t>
      </w:r>
    </w:p>
    <w:p>
      <w:pPr>
        <w:spacing w:after="0" w:line="135" w:lineRule="exact"/>
        <w:rPr>
          <w:rFonts w:ascii="Times New Roman" w:cs="Times New Roman" w:eastAsia="Times New Roman" w:hAnsi="Times New Roman"/>
          <w:sz w:val="18"/>
          <w:szCs w:val="18"/>
          <w:color w:val="auto"/>
        </w:rPr>
      </w:pPr>
    </w:p>
    <w:p>
      <w:pPr>
        <w:ind w:left="640" w:hanging="239"/>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spent $1,195.2 million for capital expenditures,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Discretionary capital projects (1)</w:t>
            </w: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w:t>
            </w:r>
          </w:p>
        </w:tc>
      </w:tr>
      <w:tr>
        <w:trPr>
          <w:trHeight w:val="237"/>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 lease purchases (2)</w:t>
            </w:r>
          </w:p>
        </w:tc>
        <w:tc>
          <w:tcPr>
            <w:tcW w:w="6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3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improvements and corporate expenditures (3)</w:t>
            </w:r>
          </w:p>
        </w:tc>
        <w:tc>
          <w:tcPr>
            <w:tcW w:w="6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37"/>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Redevelopment</w:t>
            </w:r>
          </w:p>
        </w:tc>
        <w:tc>
          <w:tcPr>
            <w:tcW w:w="6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37"/>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Start-up capital projects</w:t>
            </w:r>
          </w:p>
        </w:tc>
        <w:tc>
          <w:tcPr>
            <w:tcW w:w="6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ind w:left="320" w:hanging="315"/>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construction of 1,083 communications sites globally and approximately $458.6 million of spend related to data center assets.</w:t>
      </w:r>
    </w:p>
    <w:p>
      <w:pPr>
        <w:spacing w:after="0" w:line="6" w:lineRule="exact"/>
        <w:rPr>
          <w:rFonts w:ascii="Times New Roman" w:cs="Times New Roman" w:eastAsia="Times New Roman" w:hAnsi="Times New Roman"/>
          <w:sz w:val="14"/>
          <w:szCs w:val="14"/>
          <w:color w:val="auto"/>
        </w:rPr>
      </w:pPr>
    </w:p>
    <w:p>
      <w:pPr>
        <w:ind w:left="320" w:right="420" w:hanging="315"/>
        <w:spacing w:after="0" w:line="255" w:lineRule="auto"/>
        <w:tabs>
          <w:tab w:leader="none" w:pos="31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$24.9 million of perpetual land easement payments reported in Deferred financing costs and other financing activities in the cash flows from financing activities in our condensed consolidated statements of cash flows.</w:t>
      </w:r>
    </w:p>
    <w:p>
      <w:pPr>
        <w:ind w:left="320" w:right="20" w:hanging="315"/>
        <w:spacing w:after="0" w:line="270" w:lineRule="auto"/>
        <w:tabs>
          <w:tab w:leader="none" w:pos="31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 million of finance lease payments reported in Repayments of notes payable, credit facilities, senior notes, secured debt and finance leases in the cash flows from financing activities in our condensed consolidated statements of cash flows.</w:t>
      </w:r>
    </w:p>
    <w:p>
      <w:pPr>
        <w:spacing w:after="0" w:line="10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6"/>
          <w:szCs w:val="16"/>
          <w:color w:val="auto"/>
        </w:rPr>
        <w:t>We plan to continue to allocate our available capital, after satisfying our distribution requirements, among investment alternatives that meet our return on investment criteria, while maintaining our commitment to our long-term financial policies. Accordingly, we expect to continue to deploy capital through our annual capital expenditure program, including land purchases and new site and data center facility construction, and through acquisitions. We</w:t>
      </w:r>
    </w:p>
    <w:p>
      <w:pPr>
        <w:spacing w:after="0" w:line="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also regularly review our portfolios as to capital expenditures required to upgrade our infrastructure to our structural standards or address capacity, structural or permitting issues.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We expect that our 2026 total capital expenditures will be as follows (in millions):</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96"/>
        </w:trPr>
        <w:tc>
          <w:tcPr>
            <w:tcW w:w="7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Discretionary capital projects (1)</w:t>
            </w: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 lease purchases</w:t>
            </w: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improvements and corporate expenditures</w:t>
            </w: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Redevelopment</w:t>
            </w: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Start-up capital projects</w:t>
            </w:r>
          </w:p>
        </w:tc>
        <w:tc>
          <w:tcPr>
            <w:tcW w:w="7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construction of approximately 1,300 to 1,900 communications sites globally and approximately $695 million of anticipated spend related to data center assets.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financing activities were as follows (in millions):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540" w:type="dxa"/>
            <w:vAlign w:val="bottom"/>
          </w:tcPr>
          <w:p>
            <w:pPr>
              <w:spacing w:after="0"/>
              <w:rPr>
                <w:sz w:val="16"/>
                <w:szCs w:val="16"/>
                <w:color w:val="auto"/>
              </w:rPr>
            </w:pPr>
          </w:p>
        </w:tc>
        <w:tc>
          <w:tcPr>
            <w:tcW w:w="2960" w:type="dxa"/>
            <w:vAlign w:val="bottom"/>
            <w:gridSpan w:val="4"/>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0"/>
        </w:trPr>
        <w:tc>
          <w:tcPr>
            <w:tcW w:w="7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5"/>
                <w:szCs w:val="15"/>
                <w:color w:val="auto"/>
              </w:rPr>
            </w:pPr>
          </w:p>
        </w:tc>
      </w:tr>
      <w:tr>
        <w:trPr>
          <w:trHeight w:val="24"/>
        </w:trPr>
        <w:tc>
          <w:tcPr>
            <w:tcW w:w="75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senior notes, net</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2,153.3</w:t>
            </w: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credit facilities, net</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r>
      <w:tr>
        <w:trPr>
          <w:trHeight w:val="23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securitized debt</w:t>
            </w:r>
          </w:p>
        </w:tc>
        <w:tc>
          <w:tcPr>
            <w:tcW w:w="10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senior notes</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(2,670.7)</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(3,206.2)</w:t>
            </w:r>
          </w:p>
        </w:tc>
      </w:tr>
      <w:tr>
        <w:trPr>
          <w:trHeight w:val="23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noncontrolling interest holders</w:t>
            </w: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3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3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paid on common stock</w:t>
            </w: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(2,475.6)</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(2,361.0)</w:t>
            </w:r>
          </w:p>
        </w:tc>
      </w:tr>
      <w:tr>
        <w:trPr>
          <w:trHeight w:val="23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Repayments of Senior Notes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Repayment of 4.400% Senior Notes</w:t>
      </w:r>
      <w:r>
        <w:rPr>
          <w:rFonts w:ascii="Times New Roman" w:cs="Times New Roman" w:eastAsia="Times New Roman" w:hAnsi="Times New Roman"/>
          <w:sz w:val="16"/>
          <w:szCs w:val="16"/>
          <w:color w:val="auto"/>
        </w:rPr>
        <w:t>—On February 13, 2026, we repaid $500.0 million aggregate principal amount of the 4.400% Notes upon their maturity.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4.400% Notes were repaid using borrowings under the 2021 Credit Facility and cash on hand. Upon completion of the repayment, none of the 4.400%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remained outstanding.</w:t>
      </w:r>
    </w:p>
    <w:p>
      <w:pPr>
        <w:spacing w:after="0" w:line="116"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1.600% Senior Notes—</w:t>
      </w:r>
      <w:r>
        <w:rPr>
          <w:rFonts w:ascii="Times New Roman" w:cs="Times New Roman" w:eastAsia="Times New Roman" w:hAnsi="Times New Roman"/>
          <w:sz w:val="18"/>
          <w:szCs w:val="18"/>
          <w:color w:val="auto"/>
        </w:rPr>
        <w:t>On April 14, 2026, we repaid $700.0 million aggregate principal amount of the 1.600% Notes upon their maturity.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1.600% Notes were repaid using borrowings under the 2021 Credit Facility and cash on hand. Upon completion of the repayment, none of the 1.600% Notes remained outstanding.</w:t>
      </w:r>
    </w:p>
    <w:p>
      <w:pPr>
        <w:spacing w:after="0" w:line="1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1.950% Senior Notes</w:t>
      </w:r>
      <w:r>
        <w:rPr>
          <w:rFonts w:ascii="Times New Roman" w:cs="Times New Roman" w:eastAsia="Times New Roman" w:hAnsi="Times New Roman"/>
          <w:sz w:val="18"/>
          <w:szCs w:val="18"/>
          <w:color w:val="auto"/>
        </w:rPr>
        <w:t>—On May 21, 2026, we repaid 500.0 million EUR aggregate principal amount of the 1.950% Notes upon their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1.950% Notes were repaid using borrowings under the 2021 Multicurrency Credit Facility. Upon completion of the repayment, none of the 1.950% Notes remained outstanding.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Partial Redemption of 4.125% Senior Notes</w:t>
      </w:r>
      <w:r>
        <w:rPr>
          <w:rFonts w:ascii="Times New Roman" w:cs="Times New Roman" w:eastAsia="Times New Roman" w:hAnsi="Times New Roman"/>
          <w:sz w:val="18"/>
          <w:szCs w:val="18"/>
          <w:color w:val="auto"/>
        </w:rPr>
        <w:t>—On June 18, 2026, we redeemed 250.0 million EUR of the 4.125% Notes at a price equal to 100.969%, plus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unpaid interest up to, but excluding June 18, 2026, for an aggregate redemption price of approximately 253.3 million EUR (approximately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$290.2 million as of the repayment date), including 0.9 million EUR (approximately $1.0 million as of the repayment date) in accrued and unpaid interest.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recorded a loss on retirement of long-term obligations of approximately $3.2 million, which included prepayment consideration of $2.8 million and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unamortized discount and deferred financing costs. The redemption was funded with proceeds from the issuance of the 4.000% Notes. Upon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of this partial redemption, 350.0 million EUR aggregate principal amount of the 4.125% Notes remained outstanding.</w:t>
      </w:r>
    </w:p>
    <w:p>
      <w:pPr>
        <w:spacing w:after="0" w:line="1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1.450% Senior Notes</w:t>
      </w:r>
      <w:r>
        <w:rPr>
          <w:rFonts w:ascii="Times New Roman" w:cs="Times New Roman" w:eastAsia="Times New Roman" w:hAnsi="Times New Roman"/>
          <w:sz w:val="18"/>
          <w:szCs w:val="18"/>
          <w:color w:val="auto"/>
        </w:rPr>
        <w:t>—On September 14, 2026, we repaid $600.0 million aggregate principal amount of the 1.450% Notes upon their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1.450% Notes were repaid using proceeds from the issuance of the 5.300% Notes, the 5.560% Notes and the 5.750% Notes. Upon completion of the repayment, none of the 1.450%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8" w:name="page49"/>
    <w:bookmarkEnd w:id="48"/>
    <w:p>
      <w:pPr>
        <w:jc w:val="both"/>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Repayment of 3.375% Senior Notes</w:t>
      </w:r>
      <w:r>
        <w:rPr>
          <w:rFonts w:ascii="Times New Roman" w:cs="Times New Roman" w:eastAsia="Times New Roman" w:hAnsi="Times New Roman"/>
          <w:sz w:val="18"/>
          <w:szCs w:val="18"/>
          <w:color w:val="auto"/>
        </w:rPr>
        <w:t>—On October 14, 2026, we repaid $1.0 billion aggregate principal amount of our 3.375% senior unsecured notes due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“3.375% Notes”) upon their maturity. The 3.375% Notes were repaid using borrowings under the 2021 Credit Facility and cash on hand. Upon completion of the repayment, none of the 3.375% Notes remained outstanding.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Offerings of Senior Notes</w:t>
      </w:r>
    </w:p>
    <w:p>
      <w:pPr>
        <w:spacing w:after="0" w:line="149"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6"/>
          <w:szCs w:val="16"/>
          <w:i w:val="1"/>
          <w:iCs w:val="1"/>
          <w:color w:val="auto"/>
        </w:rPr>
        <w:t>4.000% Senior Notes Offering—</w:t>
      </w:r>
      <w:r>
        <w:rPr>
          <w:rFonts w:ascii="Times New Roman" w:cs="Times New Roman" w:eastAsia="Times New Roman" w:hAnsi="Times New Roman"/>
          <w:sz w:val="16"/>
          <w:szCs w:val="16"/>
          <w:color w:val="auto"/>
        </w:rPr>
        <w:t>On May 27, 2026, we completed a registered public offering of 750.0 million EUR (approximately $872.0 million at the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issuance) aggregate principal amount of 4.000% senior unsecured notes due 2033 (the “4.000% Notes”). The net proceeds from this offering were approximately 742.7 million EUR (approximately $863.5 million at the date of issuance), after deducting commissions and estimated expenses. We used the net proceeds to repay existing indebtedness under the 2021 Multicurrency Credit Facility and to partially redeem the 4.125% Notes (as discussed above).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5.300% Senior Notes, 5.560% Senior Notes and 5.750% Senior Notes Offering—</w:t>
      </w:r>
      <w:r>
        <w:rPr>
          <w:rFonts w:ascii="Times New Roman" w:cs="Times New Roman" w:eastAsia="Times New Roman" w:hAnsi="Times New Roman"/>
          <w:sz w:val="18"/>
          <w:szCs w:val="18"/>
          <w:color w:val="auto"/>
        </w:rPr>
        <w:t>On September 14, 2026, we completed a registered public offering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$500.0 million aggregate principal amount of 5.300% senior unsecured notes due 2031 (the “5.300% Notes”), $500.0 million aggregate principal amount of</w:t>
      </w:r>
    </w:p>
    <w:p>
      <w:pPr>
        <w:spacing w:after="0" w:line="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5.560% senior unsecured notes due 2033 (the “5.560% Notes”) and $600.0 million aggregate principal amount of 5.750% senior unsecured notes due 2036 (the “5.750% Notes” and, collectively with the 4.000% Notes, the 5.300% Notes and the 5.560% Notes, the “Notes”). The net proceeds from this offering were approximately $1.6 billion, after deducting commissions and estimated expenses. We used the net proceeds to repay the 1.450% Notes, to repay existing indebtedness under the 2021 Multicurrency Credit Facility and for general corporate purposes.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terms of the Notes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Issue Date and</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Principal</w:t>
            </w:r>
          </w:p>
        </w:tc>
        <w:tc>
          <w:tcPr>
            <w:tcW w:w="138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Interest Payments Due</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Amount (in</w:t>
            </w:r>
          </w:p>
        </w:tc>
        <w:tc>
          <w:tcPr>
            <w:tcW w:w="138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Interest Accrual</w:t>
            </w:r>
          </w:p>
        </w:tc>
        <w:tc>
          <w:tcPr>
            <w:tcW w:w="13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0" w:type="dxa"/>
            <w:vAlign w:val="bottom"/>
            <w:vMerge w:val="restart"/>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First Interest Payment</w:t>
            </w:r>
          </w:p>
        </w:tc>
        <w:tc>
          <w:tcPr>
            <w:tcW w:w="10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3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Par Call Date (2)</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4.000%</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100" w:type="dxa"/>
            <w:vAlign w:val="bottom"/>
            <w:shd w:val="clear" w:color="auto" w:fill="CCEEFF"/>
          </w:tcPr>
          <w:p>
            <w:pPr>
              <w:spacing w:after="0"/>
              <w:rPr>
                <w:sz w:val="24"/>
                <w:szCs w:val="24"/>
                <w:color w:val="auto"/>
              </w:rPr>
            </w:pPr>
          </w:p>
        </w:tc>
        <w:tc>
          <w:tcPr>
            <w:tcW w:w="1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27, 2026</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4"/>
                <w:szCs w:val="24"/>
                <w:color w:val="auto"/>
              </w:rPr>
            </w:pPr>
          </w:p>
        </w:tc>
        <w:tc>
          <w:tcPr>
            <w:tcW w:w="1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1, 2026</w:t>
            </w:r>
          </w:p>
        </w:tc>
        <w:tc>
          <w:tcPr>
            <w:tcW w:w="1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1</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 2033</w:t>
            </w:r>
          </w:p>
        </w:tc>
        <w:tc>
          <w:tcPr>
            <w:tcW w:w="0" w:type="dxa"/>
            <w:vAlign w:val="bottom"/>
          </w:tcPr>
          <w:p>
            <w:pPr>
              <w:spacing w:after="0"/>
              <w:rPr>
                <w:sz w:val="1"/>
                <w:szCs w:val="1"/>
                <w:color w:val="auto"/>
              </w:rPr>
            </w:pPr>
          </w:p>
        </w:tc>
      </w:tr>
      <w:tr>
        <w:trPr>
          <w:trHeight w:val="198"/>
        </w:trPr>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2033</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158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14,</w:t>
            </w:r>
          </w:p>
        </w:tc>
        <w:tc>
          <w:tcPr>
            <w:tcW w:w="13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March 15 and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5.300%</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15, 2027</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15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15, 2031</w:t>
            </w:r>
          </w:p>
        </w:tc>
        <w:tc>
          <w:tcPr>
            <w:tcW w:w="0" w:type="dxa"/>
            <w:vAlign w:val="bottom"/>
          </w:tcPr>
          <w:p>
            <w:pPr>
              <w:spacing w:after="0"/>
              <w:rPr>
                <w:sz w:val="1"/>
                <w:szCs w:val="1"/>
                <w:color w:val="auto"/>
              </w:rPr>
            </w:pPr>
          </w:p>
        </w:tc>
      </w:tr>
      <w:tr>
        <w:trPr>
          <w:trHeight w:val="193"/>
        </w:trPr>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14,</w:t>
            </w:r>
          </w:p>
        </w:tc>
        <w:tc>
          <w:tcPr>
            <w:tcW w:w="1380" w:type="dxa"/>
            <w:vAlign w:val="bottom"/>
            <w:gridSpan w:val="2"/>
            <w:shd w:val="clear" w:color="auto" w:fill="CCEEFF"/>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15,</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March 15 and</w:t>
            </w: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5.560%</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15, 2027</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September 15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15, 2033</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14,</w:t>
            </w:r>
          </w:p>
        </w:tc>
        <w:tc>
          <w:tcPr>
            <w:tcW w:w="13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September 15,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March 15 and</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5.750%</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15, 2027</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15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2036</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w:t>
      </w:r>
    </w:p>
    <w:p>
      <w:pPr>
        <w:spacing w:after="0" w:line="11" w:lineRule="exact"/>
        <w:rPr>
          <w:sz w:val="20"/>
          <w:szCs w:val="20"/>
          <w:color w:val="auto"/>
        </w:rPr>
      </w:pPr>
    </w:p>
    <w:p>
      <w:pPr>
        <w:ind w:left="320" w:right="140" w:hanging="315"/>
        <w:spacing w:after="0" w:line="247" w:lineRule="auto"/>
        <w:tabs>
          <w:tab w:leader="none" w:pos="31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and unpaid interest on U.S. Dollar (“USD”) denominated notes is payable in USD semi-annually in arrears and will be computed from the issue date on the basis of a 360-day year comprised of twelve 30-day months. Interest on EUR denominated notes is payable in EUR annually in arrears and will be computed on the basis of the actual number of days in the period for which interest is being calculated and the actual number of days from and including the last date on which interest was paid on the notes, beginning on the issue date.</w:t>
      </w:r>
    </w:p>
    <w:p>
      <w:pPr>
        <w:ind w:left="320" w:right="120" w:hanging="315"/>
        <w:spacing w:after="0" w:line="255" w:lineRule="auto"/>
        <w:tabs>
          <w:tab w:leader="none" w:pos="31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 Notes at any time, in whole or in part, at a redemption price equal to 100% of the principal amount of the Notes plus a make-whole premium, together with accrued interest to the redemption date. If we redeem the Notes on or after the par call date, we will not be required to pay a make-whole premium.</w:t>
      </w:r>
    </w:p>
    <w:p>
      <w:pPr>
        <w:ind w:left="320" w:hanging="315"/>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4.000% Notes are denominated in EUR; dollar amounts represent the aggregate principal amount at the issuance date.</w:t>
      </w:r>
    </w:p>
    <w:p>
      <w:pPr>
        <w:spacing w:after="0" w:line="134"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6"/>
          <w:szCs w:val="16"/>
          <w:color w:val="auto"/>
        </w:rPr>
        <w:t>If we undergo a change of control and corresponding ratings decline, each as defined in the supplemental indenture for the Notes, we may be required to repurchase all of the Notes at a purchase price equal to 101% of the aggregate principal amount of the Notes repurchased, plus accrued and unpaid interest (including additional interest, if any), up to but not including the repurchase date. The Notes rank equally in right of payment with all of our other senior unsecured debt obligations and are structurally subordinated to all existing and future indebtedness and other obligations of our subsidiaries.</w:t>
      </w:r>
    </w:p>
    <w:p>
      <w:pPr>
        <w:spacing w:after="0" w:line="8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Each applicable supplemental indenture contains certain covenants that restrict our ability to merge, consolidate or sell assets and our (together with our subsidiaries’) ability to incur liens. These covenants are subject to a number of exceptions, including that we and our subsidiaries may incur certain liens on assets, mortgages or other liens securing indebtedness if the aggregate amount of indebtedness secured by such liens does not exceed 3.5x Adjusted EBITDA, as defined in the applicable supplemental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Facilities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3" w:right="359" w:bottom="1440" w:gutter="0" w:footer="0" w:header="0"/>
        </w:sectPr>
      </w:pPr>
    </w:p>
    <w:bookmarkStart w:id="49" w:name="page50"/>
    <w:bookmarkEnd w:id="49"/>
    <w:p>
      <w:pPr>
        <w:ind w:right="280"/>
        <w:spacing w:after="0" w:line="251" w:lineRule="auto"/>
        <w:rPr>
          <w:sz w:val="20"/>
          <w:szCs w:val="20"/>
          <w:color w:val="auto"/>
        </w:rPr>
      </w:pPr>
      <w:r>
        <w:rPr>
          <w:rFonts w:ascii="Times New Roman" w:cs="Times New Roman" w:eastAsia="Times New Roman" w:hAnsi="Times New Roman"/>
          <w:sz w:val="18"/>
          <w:szCs w:val="18"/>
          <w:i w:val="1"/>
          <w:iCs w:val="1"/>
          <w:color w:val="auto"/>
        </w:rPr>
        <w:t>Amendments to Bank Facilities—</w:t>
      </w:r>
      <w:r>
        <w:rPr>
          <w:rFonts w:ascii="Times New Roman" w:cs="Times New Roman" w:eastAsia="Times New Roman" w:hAnsi="Times New Roman"/>
          <w:sz w:val="18"/>
          <w:szCs w:val="18"/>
          <w:color w:val="auto"/>
        </w:rPr>
        <w:t>On May 7, 2026, we amended our (i) $6.0 billion senior unsecured multicurrency revolving credit facility, as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on December 8, 2021, as further amended, (the “2021 Multicurrency Credit Facility”), (ii) $4.0 billion senior unsecured revolving credit facility, as amended and restated on December 8, 2021, as further amended, (the “2021 Credit Facility”) and (iii) $1.0 billion unsecured term loan, as amended and restated on December 8, 2021, as further amended, (the “2021 Term Loan” collectively with the 2021 Multicurrency Credit Facility and the 2021 Credit Facility, the “Loans”).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amendments, among other things,</w:t>
      </w:r>
    </w:p>
    <w:p>
      <w:pPr>
        <w:spacing w:after="0" w:line="149" w:lineRule="exact"/>
        <w:rPr>
          <w:sz w:val="20"/>
          <w:szCs w:val="20"/>
          <w:color w:val="auto"/>
        </w:rPr>
      </w:pPr>
    </w:p>
    <w:p>
      <w:pPr>
        <w:ind w:left="640" w:right="280" w:hanging="318"/>
        <w:spacing w:after="0" w:line="269" w:lineRule="auto"/>
        <w:tabs>
          <w:tab w:leader="none" w:pos="62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dates of the 2021 Multicurrency Credit Facility, the 2021 Credit Facility and the 2021 Term Loan to May 1, 2029, May 1, 2031 and May 1, 2029, respectively;</w:t>
      </w:r>
    </w:p>
    <w:p>
      <w:pPr>
        <w:spacing w:after="0" w:line="102" w:lineRule="exact"/>
        <w:rPr>
          <w:rFonts w:ascii="Times New Roman" w:cs="Times New Roman" w:eastAsia="Times New Roman" w:hAnsi="Times New Roman"/>
          <w:sz w:val="18"/>
          <w:szCs w:val="18"/>
          <w:color w:val="auto"/>
        </w:rPr>
      </w:pPr>
    </w:p>
    <w:p>
      <w:pPr>
        <w:ind w:left="640" w:right="460" w:hanging="318"/>
        <w:spacing w:after="0" w:line="269" w:lineRule="auto"/>
        <w:tabs>
          <w:tab w:leader="none" w:pos="6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limited conditionality provisions in the 2021 Multicurrency Credit Facility, permitting us to borrow up to $5.0 billion in connection with certain acquisitions subject to such limited conditionality provisions;</w:t>
      </w:r>
    </w:p>
    <w:p>
      <w:pPr>
        <w:spacing w:after="0" w:line="89" w:lineRule="exact"/>
        <w:rPr>
          <w:rFonts w:ascii="Times New Roman" w:cs="Times New Roman" w:eastAsia="Times New Roman" w:hAnsi="Times New Roman"/>
          <w:sz w:val="18"/>
          <w:szCs w:val="18"/>
          <w:color w:val="auto"/>
        </w:rPr>
      </w:pPr>
    </w:p>
    <w:p>
      <w:pPr>
        <w:ind w:left="640" w:right="1100" w:hanging="318"/>
        <w:spacing w:after="0" w:line="269" w:lineRule="auto"/>
        <w:tabs>
          <w:tab w:leader="none" w:pos="6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swingline sublimit under each of the 2021 Multicurrency Credit Facility and the 2021 Credit Facility from $50.0 million to $100.0 million;</w:t>
      </w:r>
    </w:p>
    <w:p>
      <w:pPr>
        <w:spacing w:after="0" w:line="102" w:lineRule="exact"/>
        <w:rPr>
          <w:rFonts w:ascii="Times New Roman" w:cs="Times New Roman" w:eastAsia="Times New Roman" w:hAnsi="Times New Roman"/>
          <w:sz w:val="18"/>
          <w:szCs w:val="18"/>
          <w:color w:val="auto"/>
        </w:rPr>
      </w:pPr>
    </w:p>
    <w:p>
      <w:pPr>
        <w:ind w:left="640" w:right="120" w:hanging="318"/>
        <w:spacing w:after="0" w:line="269" w:lineRule="auto"/>
        <w:tabs>
          <w:tab w:leader="none" w:pos="6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covenant governing the incurrence of liens under each of the Loans to permit the incurrence of liens securing indebtedness in an aggregate amount not to exceed the 3.5x ratio of Senior Secured Debt to Adjusted EBITDA (each as defined in each of the Loans); and</w:t>
      </w:r>
    </w:p>
    <w:p>
      <w:pPr>
        <w:spacing w:after="0" w:line="102" w:lineRule="exact"/>
        <w:rPr>
          <w:rFonts w:ascii="Times New Roman" w:cs="Times New Roman" w:eastAsia="Times New Roman" w:hAnsi="Times New Roman"/>
          <w:sz w:val="18"/>
          <w:szCs w:val="18"/>
          <w:color w:val="auto"/>
        </w:rPr>
      </w:pPr>
    </w:p>
    <w:p>
      <w:pPr>
        <w:ind w:left="640" w:right="320" w:hanging="318"/>
        <w:spacing w:after="0" w:line="269" w:lineRule="auto"/>
        <w:tabs>
          <w:tab w:leader="none" w:pos="6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covenant governing the incurrence of indebtedness under each of the Loans to restrict the incurrence of indebtedness to our subsidiaries only.</w:t>
      </w:r>
    </w:p>
    <w:p>
      <w:pPr>
        <w:spacing w:after="0" w:line="8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i w:val="1"/>
          <w:iCs w:val="1"/>
          <w:color w:val="auto"/>
        </w:rPr>
        <w:t>2021 Multicurrency Credit Facility—</w:t>
      </w:r>
      <w:r>
        <w:rPr>
          <w:rFonts w:ascii="Times New Roman" w:cs="Times New Roman" w:eastAsia="Times New Roman" w:hAnsi="Times New Roman"/>
          <w:sz w:val="18"/>
          <w:szCs w:val="18"/>
          <w:color w:val="auto"/>
        </w:rPr>
        <w:t>During the nine months ended September 30, 2026, we borrowed an aggregate of $3.2 billion, including 500.0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 ($581.1 million as of the borrowing date) and repaid an aggregate of $2.6 billion, including 500.0 million EUR ($581.1 million as of the repayment date) of revolving indebtedness under the 2021 Multicurrency Credit Facility. We used the borrowings to repay outstanding indebtedness, including the 1.950% Notes, and for general corporate purposes. We currently have $18.7 million of undrawn letters of credit and maintain the ability to draw down and repay amounts under the 2021 Multicurrency Credit Facility in the ordinary course.</w:t>
      </w:r>
    </w:p>
    <w:p>
      <w:pPr>
        <w:spacing w:after="0" w:line="1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2021 Credit Facility—</w:t>
      </w:r>
      <w:r>
        <w:rPr>
          <w:rFonts w:ascii="Times New Roman" w:cs="Times New Roman" w:eastAsia="Times New Roman" w:hAnsi="Times New Roman"/>
          <w:sz w:val="18"/>
          <w:szCs w:val="18"/>
          <w:color w:val="auto"/>
        </w:rPr>
        <w:t>During the nine months ended September 30, 2026, we borrowed an aggregate of $1.3 billion and repaid an aggregate of $1.1 billion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indebtedness under the 2021 Credit Facility. We used the borrowings to repay outstanding indebtedness, including the 4.400% Notes and the 1.600% Notes, and for general corporate purposes. We currently have $20.7 million of undrawn letters of credit and maintain the ability to draw down and repay amounts under the 2021 Credit Facility in the ordinary course.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key terms under the Loans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SOFR or EURIBOR</w:t>
            </w: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Base rate borrowing interest</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margin over SOFR or</w:t>
            </w:r>
          </w:p>
        </w:tc>
        <w:tc>
          <w:tcPr>
            <w:tcW w:w="0" w:type="dxa"/>
            <w:vAlign w:val="bottom"/>
          </w:tcPr>
          <w:p>
            <w:pPr>
              <w:spacing w:after="0"/>
              <w:rPr>
                <w:sz w:val="1"/>
                <w:szCs w:val="1"/>
                <w:color w:val="auto"/>
              </w:rPr>
            </w:pPr>
          </w:p>
        </w:tc>
      </w:tr>
      <w:tr>
        <w:trPr>
          <w:trHeight w:val="145"/>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Bank Facility</w:t>
            </w:r>
          </w:p>
        </w:tc>
        <w:tc>
          <w:tcPr>
            <w:tcW w:w="380" w:type="dxa"/>
            <w:vAlign w:val="bottom"/>
          </w:tcPr>
          <w:p>
            <w:pPr>
              <w:spacing w:after="0"/>
              <w:rPr>
                <w:sz w:val="12"/>
                <w:szCs w:val="12"/>
                <w:color w:val="auto"/>
              </w:rPr>
            </w:pPr>
          </w:p>
        </w:tc>
        <w:tc>
          <w:tcPr>
            <w:tcW w:w="1400" w:type="dxa"/>
            <w:vAlign w:val="bottom"/>
            <w:gridSpan w:val="2"/>
          </w:tcPr>
          <w:p>
            <w:pPr>
              <w:jc w:val="center"/>
              <w:ind w:right="99"/>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Principal Balance</w:t>
            </w:r>
          </w:p>
        </w:tc>
        <w:tc>
          <w:tcPr>
            <w:tcW w:w="16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80" w:type="dxa"/>
            <w:vAlign w:val="bottom"/>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borrowing interest rate</w:t>
            </w:r>
          </w:p>
        </w:tc>
        <w:tc>
          <w:tcPr>
            <w:tcW w:w="1780" w:type="dxa"/>
            <w:vAlign w:val="bottom"/>
            <w:vMerge w:val="continue"/>
          </w:tcPr>
          <w:p>
            <w:pPr>
              <w:spacing w:after="0"/>
              <w:rPr>
                <w:sz w:val="12"/>
                <w:szCs w:val="12"/>
                <w:color w:val="auto"/>
              </w:rPr>
            </w:pPr>
          </w:p>
        </w:tc>
        <w:tc>
          <w:tcPr>
            <w:tcW w:w="1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EURIBOR and the base rate,</w:t>
            </w:r>
          </w:p>
        </w:tc>
        <w:tc>
          <w:tcPr>
            <w:tcW w:w="0" w:type="dxa"/>
            <w:vAlign w:val="bottom"/>
          </w:tcPr>
          <w:p>
            <w:pPr>
              <w:spacing w:after="0"/>
              <w:rPr>
                <w:sz w:val="1"/>
                <w:szCs w:val="1"/>
                <w:color w:val="auto"/>
              </w:rPr>
            </w:pPr>
          </w:p>
        </w:tc>
      </w:tr>
      <w:tr>
        <w:trPr>
          <w:trHeight w:val="191"/>
        </w:trPr>
        <w:tc>
          <w:tcPr>
            <w:tcW w:w="2000" w:type="dxa"/>
            <w:vAlign w:val="bottom"/>
            <w:tcBorders>
              <w:bottom w:val="single" w:sz="8" w:color="CCEEFF"/>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 in millions)</w:t>
            </w:r>
          </w:p>
        </w:tc>
        <w:tc>
          <w:tcPr>
            <w:tcW w:w="16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9"/>
              </w:rPr>
              <w:t>range (1)</w:t>
            </w:r>
          </w:p>
        </w:tc>
        <w:tc>
          <w:tcPr>
            <w:tcW w:w="17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rate range (1)</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respectively</w:t>
            </w:r>
          </w:p>
        </w:tc>
        <w:tc>
          <w:tcPr>
            <w:tcW w:w="0" w:type="dxa"/>
            <w:vAlign w:val="bottom"/>
          </w:tcPr>
          <w:p>
            <w:pPr>
              <w:spacing w:after="0"/>
              <w:rPr>
                <w:sz w:val="1"/>
                <w:szCs w:val="1"/>
                <w:color w:val="auto"/>
              </w:rPr>
            </w:pPr>
          </w:p>
        </w:tc>
      </w:tr>
      <w:tr>
        <w:trPr>
          <w:trHeight w:val="171"/>
        </w:trPr>
        <w:tc>
          <w:tcPr>
            <w:tcW w:w="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w w:val="99"/>
              </w:rPr>
              <w:t>2021</w:t>
            </w:r>
          </w:p>
        </w:tc>
        <w:tc>
          <w:tcPr>
            <w:tcW w:w="16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Multicurrency Credit</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1,015.0</w:t>
            </w:r>
          </w:p>
        </w:tc>
        <w:tc>
          <w:tcPr>
            <w:tcW w:w="1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May 1, 2029</w:t>
            </w:r>
          </w:p>
        </w:tc>
        <w:tc>
          <w:tcPr>
            <w:tcW w:w="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 - 1.125%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 - 0.125%</w:t>
            </w:r>
          </w:p>
        </w:tc>
        <w:tc>
          <w:tcPr>
            <w:tcW w:w="1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7"/>
              </w:rPr>
              <w:t>0.875% and 0.000%</w:t>
            </w:r>
          </w:p>
        </w:tc>
        <w:tc>
          <w:tcPr>
            <w:tcW w:w="0" w:type="dxa"/>
            <w:vAlign w:val="bottom"/>
          </w:tcPr>
          <w:p>
            <w:pPr>
              <w:spacing w:after="0"/>
              <w:rPr>
                <w:sz w:val="1"/>
                <w:szCs w:val="1"/>
                <w:color w:val="auto"/>
              </w:rPr>
            </w:pPr>
          </w:p>
        </w:tc>
      </w:tr>
      <w:tr>
        <w:trPr>
          <w:trHeight w:val="237"/>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230.0</w:t>
            </w:r>
          </w:p>
        </w:tc>
        <w:tc>
          <w:tcPr>
            <w:tcW w:w="16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May 1, 2031</w:t>
            </w: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 - 1.125%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 - 0.125%</w:t>
            </w:r>
          </w:p>
        </w:tc>
        <w:tc>
          <w:tcPr>
            <w:tcW w:w="19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7"/>
              </w:rPr>
              <w:t>0.875% and 0.000%</w:t>
            </w:r>
          </w:p>
        </w:tc>
        <w:tc>
          <w:tcPr>
            <w:tcW w:w="0" w:type="dxa"/>
            <w:vAlign w:val="bottom"/>
          </w:tcPr>
          <w:p>
            <w:pPr>
              <w:spacing w:after="0"/>
              <w:rPr>
                <w:sz w:val="1"/>
                <w:szCs w:val="1"/>
                <w:color w:val="auto"/>
              </w:rPr>
            </w:pPr>
          </w:p>
        </w:tc>
      </w:tr>
      <w:tr>
        <w:trPr>
          <w:trHeight w:val="237"/>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1,000.0</w:t>
            </w:r>
          </w:p>
        </w:tc>
        <w:tc>
          <w:tcPr>
            <w:tcW w:w="1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May 1, 2029</w:t>
            </w:r>
          </w:p>
        </w:tc>
        <w:tc>
          <w:tcPr>
            <w:tcW w:w="3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 - 1.125%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 - 0.125%</w:t>
            </w:r>
          </w:p>
        </w:tc>
        <w:tc>
          <w:tcPr>
            <w:tcW w:w="1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7"/>
              </w:rPr>
              <w:t>0.875% and 0.000%</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w:t>
      </w:r>
    </w:p>
    <w:p>
      <w:pPr>
        <w:spacing w:after="0" w:line="11" w:lineRule="exact"/>
        <w:rPr>
          <w:sz w:val="20"/>
          <w:szCs w:val="20"/>
          <w:color w:val="auto"/>
        </w:rPr>
      </w:pPr>
    </w:p>
    <w:p>
      <w:pPr>
        <w:ind w:left="320" w:hanging="315"/>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interest rate above: (a) Secured Overnight Financing Rate (“SOFR”) for SOFR based borrowings, (b) Euro Interbank Offer Rate (“EURIBOR”) for EURIBOR based borrowings and</w:t>
      </w:r>
    </w:p>
    <w:p>
      <w:pPr>
        <w:spacing w:after="0" w:line="7"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the defined base rate for base rate borrowings, in each case based on our debt ratings.</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Currently borrowed at SOFR.</w:t>
      </w:r>
    </w:p>
    <w:p>
      <w:pPr>
        <w:spacing w:after="0" w:line="6"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two optional renewal periods.</w:t>
      </w:r>
    </w:p>
    <w:p>
      <w:pPr>
        <w:spacing w:after="0" w:line="1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We must pay a quarterly commitment fee on the undrawn portion of each of the 2021 Multicurrency Credit Facility and the 2021 Credit Facility. The commitment fee for the 2021 Multicurrency Credit Facility and the 2021 Credit Facility ranges from 0.060% to 0.150% per annum, based upon our debt ratings, and is currently 0.100%.</w:t>
      </w:r>
    </w:p>
    <w:p>
      <w:pPr>
        <w:spacing w:after="0" w:line="102"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 2021 Multicurrency Credit Facility, the 2021 Credit Facility and the 2021 Term Loan and the associated loan agreements (the “Bank Loan Agreements”) do not require amortization of principal and may be paid prior to maturity in whole or in part at our option without penalty or premium. We have the option of choosing either a defined base rate, SOFR or EURIBOR as the applicable base rate for borrowings under these bank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50" w:name="page51"/>
    <w:bookmarkEnd w:id="50"/>
    <w:p>
      <w:pPr>
        <w:ind w:right="40"/>
        <w:spacing w:after="0" w:line="250" w:lineRule="auto"/>
        <w:rPr>
          <w:sz w:val="20"/>
          <w:szCs w:val="20"/>
          <w:color w:val="auto"/>
        </w:rPr>
      </w:pPr>
      <w:r>
        <w:rPr>
          <w:rFonts w:ascii="Times New Roman" w:cs="Times New Roman" w:eastAsia="Times New Roman" w:hAnsi="Times New Roman"/>
          <w:sz w:val="18"/>
          <w:szCs w:val="18"/>
          <w:color w:val="auto"/>
        </w:rPr>
        <w:t>Each Bank Loan Agreement contains certain reporting, information, financial and operating covenants and other restrictions (including limitations on additional debt, guaranties, sales of assets and liens) with which we must comply. Failure to comply with the financial and operating covenants of the loan agreements could not only prevent us from being able to borrow additional funds under the revolving credit facilities, but may constitute a default, which could result in, among other things, the amounts outstanding under the applicable agreement, including all accrued interest and unpaid fees, becoming immediately due and payable.</w:t>
      </w:r>
    </w:p>
    <w:p>
      <w:pPr>
        <w:spacing w:after="0" w:line="119"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i w:val="1"/>
          <w:iCs w:val="1"/>
          <w:color w:val="auto"/>
        </w:rPr>
        <w:t>Stock Repurchase Program</w:t>
      </w:r>
      <w:r>
        <w:rPr>
          <w:rFonts w:ascii="Times New Roman" w:cs="Times New Roman" w:eastAsia="Times New Roman" w:hAnsi="Times New Roman"/>
          <w:sz w:val="18"/>
          <w:szCs w:val="18"/>
          <w:color w:val="auto"/>
        </w:rPr>
        <w:t>—In December 2017, our Board of Directors approved a stock repurchase program, pursuant to which we are authorized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up to $2.0 billion of our common stock (the “Buyback Program”).</w:t>
      </w:r>
    </w:p>
    <w:p>
      <w:pPr>
        <w:spacing w:after="0" w:line="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we repurchased 2,969,052 shares of our common stock for an aggregate of $518.0 million, including commissions and fees. Subsequent to September 30, 2026, through October 20, 2026, we repurchased 416,186 shares of our common stock for an aggregate of approximately $67.8 million, including commissions and fees.</w:t>
      </w:r>
    </w:p>
    <w:p>
      <w:pPr>
        <w:spacing w:after="0" w:line="11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 further discussed in Item 5, on October 23, 2026, our Board of Directors approved an increase to the Buyback Program. We expect to continue managing the pacing of the remaining approximately $3.1 billion under the Buyback Program (including the approved increase) in response to general market conditions and other relevant factors. We expect to fund any further repurchases of our common stock through a combination of cash on hand, cash generated by operations and borrowings under our credit facilities. Repurchases under the Buyback Program are subject to, among other things, us having available cash to fund the repurchases.</w:t>
      </w:r>
    </w:p>
    <w:p>
      <w:pPr>
        <w:spacing w:after="0" w:line="11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6"/>
          <w:szCs w:val="16"/>
          <w:i w:val="1"/>
          <w:iCs w:val="1"/>
          <w:color w:val="auto"/>
        </w:rPr>
        <w:t>Summary of Stock-Based Compensation Plans</w:t>
      </w:r>
      <w:r>
        <w:rPr>
          <w:rFonts w:ascii="Times New Roman" w:cs="Times New Roman" w:eastAsia="Times New Roman" w:hAnsi="Times New Roman"/>
          <w:sz w:val="16"/>
          <w:szCs w:val="16"/>
          <w:color w:val="auto"/>
        </w:rPr>
        <w:t>—We maintain an equity incentive plan that provides for the grant of stock-based awards to our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officers and employees. Until May 20, 2026, the American Tower Corporation 2007 Equity Incentive Plan, as amended (the “2007 Plan”), provided for the grant of non-qualified and incentive stock options, as well as restricted stock units, restricted stock and other stock-based awards. The American Tower Corporation 2026 Equity Incentive Plan (the “2026 Plan”) was approved by our stockholders on May 20, 2026, replacing the 2007 Plan, and provides for the grant of equity and equity-based awards, including options (including nonqualified stock options and incentive stock options), restricted stock, restricted stock units and other equity-based awards and cash awards, to employees, directors, consultants and advisors of the Company and its majority-owned subsidiaries.</w:t>
      </w:r>
    </w:p>
    <w:p>
      <w:pPr>
        <w:spacing w:after="0" w:line="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Sales of Equity Securities—</w:t>
      </w:r>
      <w:r>
        <w:rPr>
          <w:rFonts w:ascii="Times New Roman" w:cs="Times New Roman" w:eastAsia="Times New Roman" w:hAnsi="Times New Roman"/>
          <w:sz w:val="18"/>
          <w:szCs w:val="18"/>
          <w:color w:val="auto"/>
        </w:rPr>
        <w:t>We receive proceeds from sales of our equity securities pursuant to our employee stock purchase plan and upon exercise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granted under the 2007 Plan. During the nine months ended September 30, 2026, we received an aggregate of $21.0 million in proceeds upon exercises of stock options and sales pursuant to our employee stock purchase plan.</w:t>
      </w:r>
    </w:p>
    <w:p>
      <w:pPr>
        <w:spacing w:after="0" w:line="1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Future Financing Transactions</w:t>
      </w:r>
      <w:r>
        <w:rPr>
          <w:rFonts w:ascii="Times New Roman" w:cs="Times New Roman" w:eastAsia="Times New Roman" w:hAnsi="Times New Roman"/>
          <w:sz w:val="18"/>
          <w:szCs w:val="18"/>
          <w:color w:val="auto"/>
        </w:rPr>
        <w:t>—We regularly consider various options to obtain financing and access the capital markets, subject to market conditions,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our funding needs. Such capital raising alternatives, in addition to those noted above, may include amendments and extensions of our bank facilities, entry into new bank facilities, transactions with private equity funds or partnerships, additional senior note and equity offerings and securitization transactions. No assurance can be given as to whether any such financing transactions will be completed or as to the timing or terms thereof.</w:t>
      </w:r>
    </w:p>
    <w:p>
      <w:pPr>
        <w:spacing w:after="0" w:line="11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As a REIT, we must annually distribute to our stockholders an amount equal to at least 90% of our REIT taxable income (determined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 for distributed earnings and excluding any net capital gain). Generally, we have distributed, and expect to continue to distribute, all or substantially all of our REIT taxable income after taking into consideration our utilization of net operating losses (“NOLs”). We have distributed an aggregate of approximately $26.2 billion to our common stockholders, including the dividend paid in October 2026, primarily classified as ordinary income that may be treated as qualified REIT dividends under Section 199A of the Code.</w:t>
      </w:r>
    </w:p>
    <w:p>
      <w:pPr>
        <w:spacing w:after="0" w:line="1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we paid $5.28 per share, or $2.5 billion, to our common stockholders of record. In addition, we declared a distribution of $1.79 per share, or $831.0 million, paid on October 20, 2026 to our common stockholders of record at the close of business on September 30, 2026.</w:t>
      </w:r>
    </w:p>
    <w:p>
      <w:pPr>
        <w:spacing w:after="0" w:line="115"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color w:val="auto"/>
        </w:rPr>
        <w:t>The amount, timing and frequency of future distributions will be at the sole discretion of our Board of Directors and will depend on various factors, a number of which may be beyond our control, including our financial condition and operating cash flows, the amount required to maintain our qualification for taxation as a REIT and reduce any income and excise taxes that we otherwise would be required to pay, limitations on distributions in our existing and future debt and preferred equity instruments, our ability to utilize NOLs to offset our distribution requirements, limitations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ability to fund distributions using cash generated through our taxable REIT subsidiaries and other factors that our Board of Directors may deem relevant.</w:t>
      </w:r>
    </w:p>
    <w:p>
      <w:pPr>
        <w:spacing w:after="0" w:line="14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accrue distributions on unvested restricted stock units, which are payable upon vesting. As of September 30, 2026, the amount accrued for distributions payable related to unvested restricted stock units was $13.9 million. During the nine months ended September 30, 2026, we paid $14.7 million of distributions upon the vesting of restricted stock units.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1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discussed in the “Liquidity and Capital Resources” section of the 2025 Form 10-K, our liquidity depends on our ability to generate cash flow from operating activities, borrow funds under our credit facilities and maintain compliance with the contractual agreements governing our indebtedness. We believe that the debt agreements discussed below represent our material debt agreements that contain covenants, our compliance with which would be material to an investor’s understanding of our financial results and the impact of those results on our liquidity.</w:t>
      </w:r>
    </w:p>
    <w:p>
      <w:pPr>
        <w:spacing w:after="0" w:line="117"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6"/>
          <w:szCs w:val="16"/>
          <w:i w:val="1"/>
          <w:iCs w:val="1"/>
          <w:color w:val="auto"/>
        </w:rPr>
        <w:t>Restrictions Under Loan Agreements Relating to Our Credit Facilities—</w:t>
      </w:r>
      <w:r>
        <w:rPr>
          <w:rFonts w:ascii="Times New Roman" w:cs="Times New Roman" w:eastAsia="Times New Roman" w:hAnsi="Times New Roman"/>
          <w:sz w:val="16"/>
          <w:szCs w:val="16"/>
          <w:color w:val="auto"/>
        </w:rPr>
        <w:t>Each Bank Loan Agreement contains certain financial and operating covenants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restrictions applicable to us and our subsidiaries that are not designated as unrestricted subsidiaries on a consolidated basis. These restrictions include limitations on additional debt, distributions and dividends, guaranties, sales of assets and liens. These covenants are subject to a number of exceptions, including that the aggregate amount of indebtedness secured by such liens does not exceed 3.5x Adjusted EBITDA (as defined in each of the Loans).</w:t>
      </w:r>
    </w:p>
    <w:p>
      <w:pPr>
        <w:spacing w:after="0" w:line="178"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8"/>
          <w:szCs w:val="18"/>
          <w:color w:val="auto"/>
        </w:rPr>
        <w:t>The Bank Loan Agreements also contain covenants that establish financial tests with which we and our restricted subsidiaries must comply related to total leverage, as set forth in the table below. As of September 30, 2026, we were in compliance with each of these covenants.</w:t>
      </w:r>
    </w:p>
    <w:p>
      <w:pPr>
        <w:jc w:val="center"/>
        <w:ind w:left="7520"/>
        <w:spacing w:after="0" w:line="229" w:lineRule="auto"/>
        <w:rPr>
          <w:sz w:val="20"/>
          <w:szCs w:val="20"/>
          <w:color w:val="auto"/>
        </w:rPr>
      </w:pPr>
      <w:r>
        <w:rPr>
          <w:rFonts w:ascii="Times New Roman" w:cs="Times New Roman" w:eastAsia="Times New Roman" w:hAnsi="Times New Roman"/>
          <w:sz w:val="14"/>
          <w:szCs w:val="14"/>
          <w:b w:val="1"/>
          <w:bCs w:val="1"/>
          <w:color w:val="auto"/>
        </w:rPr>
        <w:t>Compliance Tests For The 12 Months Ended</w:t>
      </w:r>
    </w:p>
    <w:p>
      <w:pPr>
        <w:jc w:val="center"/>
        <w:ind w:left="7540"/>
        <w:spacing w:after="0" w:line="216" w:lineRule="auto"/>
        <w:rPr>
          <w:sz w:val="20"/>
          <w:szCs w:val="20"/>
          <w:color w:val="auto"/>
        </w:rPr>
      </w:pPr>
      <w:r>
        <w:rPr>
          <w:rFonts w:ascii="Times New Roman" w:cs="Times New Roman" w:eastAsia="Times New Roman" w:hAnsi="Times New Roman"/>
          <w:sz w:val="14"/>
          <w:szCs w:val="14"/>
          <w:b w:val="1"/>
          <w:bCs w:val="1"/>
          <w:color w:val="auto"/>
        </w:rPr>
        <w:t>September 30, 2026</w:t>
      </w:r>
    </w:p>
    <w:p>
      <w:pPr>
        <w:ind w:left="9020"/>
        <w:spacing w:after="0"/>
        <w:rPr>
          <w:sz w:val="20"/>
          <w:szCs w:val="20"/>
          <w:color w:val="auto"/>
        </w:rPr>
      </w:pPr>
      <w:r>
        <w:rPr>
          <w:rFonts w:ascii="Times New Roman" w:cs="Times New Roman" w:eastAsia="Times New Roman" w:hAnsi="Times New Roman"/>
          <w:sz w:val="14"/>
          <w:szCs w:val="14"/>
          <w:b w:val="1"/>
          <w:bCs w:val="1"/>
          <w:color w:val="auto"/>
        </w:rPr>
        <w:t>($ in billions)</w:t>
      </w:r>
    </w:p>
    <w:p>
      <w:pPr>
        <w:sectPr>
          <w:pgSz w:w="11900" w:h="16838" w:orient="portrait"/>
          <w:cols w:equalWidth="0" w:num="1">
            <w:col w:w="11240"/>
          </w:cols>
          <w:pgMar w:left="320" w:top="1070" w:right="339" w:bottom="1440" w:gutter="0" w:footer="0" w:header="0"/>
        </w:sectPr>
      </w:pPr>
    </w:p>
    <w:p>
      <w:pPr>
        <w:spacing w:after="0" w:line="32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Ratio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2260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5495" cy="22606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60" w:type="dxa"/>
            <w:vAlign w:val="bottom"/>
            <w:tcBorders>
              <w:top w:val="single" w:sz="8" w:color="auto"/>
            </w:tcBorders>
            <w:vMerge w:val="restart"/>
          </w:tcPr>
          <w:p>
            <w:pPr>
              <w:jc w:val="right"/>
              <w:ind w:right="1499"/>
              <w:spacing w:after="0"/>
              <w:rPr>
                <w:sz w:val="20"/>
                <w:szCs w:val="20"/>
                <w:color w:val="auto"/>
              </w:rPr>
            </w:pPr>
            <w:r>
              <w:rPr>
                <w:rFonts w:ascii="Times New Roman" w:cs="Times New Roman" w:eastAsia="Times New Roman" w:hAnsi="Times New Roman"/>
                <w:sz w:val="14"/>
                <w:szCs w:val="14"/>
                <w:b w:val="1"/>
                <w:bCs w:val="1"/>
                <w:color w:val="auto"/>
                <w:w w:val="99"/>
              </w:rPr>
              <w:t>Consolidated Total Leverage Ratio</w:t>
            </w:r>
          </w:p>
        </w:tc>
        <w:tc>
          <w:tcPr>
            <w:tcW w:w="80" w:type="dxa"/>
            <w:vAlign w:val="bottom"/>
            <w:vMerge w:val="restart"/>
          </w:tcPr>
          <w:p>
            <w:pPr>
              <w:spacing w:after="0"/>
              <w:rPr>
                <w:sz w:val="13"/>
                <w:szCs w:val="13"/>
                <w:color w:val="auto"/>
              </w:rPr>
            </w:pPr>
          </w:p>
        </w:tc>
        <w:tc>
          <w:tcPr>
            <w:tcW w:w="374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4"/>
                <w:szCs w:val="14"/>
                <w:color w:val="auto"/>
              </w:rPr>
              <w:t>Total Debt to Adjusted EBITDA</w:t>
            </w: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6.00:1.00</w:t>
            </w:r>
          </w:p>
        </w:tc>
        <w:tc>
          <w:tcPr>
            <w:tcW w:w="0" w:type="dxa"/>
            <w:vAlign w:val="bottom"/>
          </w:tcPr>
          <w:p>
            <w:pPr>
              <w:spacing w:after="0"/>
              <w:rPr>
                <w:sz w:val="1"/>
                <w:szCs w:val="1"/>
                <w:color w:val="auto"/>
              </w:rPr>
            </w:pPr>
          </w:p>
        </w:tc>
      </w:tr>
      <w:tr>
        <w:trPr>
          <w:trHeight w:val="75"/>
        </w:trPr>
        <w:tc>
          <w:tcPr>
            <w:tcW w:w="366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660" w:type="dxa"/>
            <w:vAlign w:val="bottom"/>
          </w:tcPr>
          <w:p>
            <w:pPr>
              <w:jc w:val="right"/>
              <w:ind w:right="2799"/>
              <w:spacing w:after="0"/>
              <w:rPr>
                <w:sz w:val="20"/>
                <w:szCs w:val="20"/>
                <w:color w:val="auto"/>
              </w:rPr>
            </w:pPr>
            <w:r>
              <w:rPr>
                <w:rFonts w:ascii="Times New Roman" w:cs="Times New Roman" w:eastAsia="Times New Roman" w:hAnsi="Times New Roman"/>
                <w:sz w:val="11"/>
                <w:szCs w:val="11"/>
                <w:color w:val="auto"/>
                <w:w w:val="94"/>
              </w:rPr>
              <w:t>_______________</w:t>
            </w:r>
          </w:p>
        </w:tc>
        <w:tc>
          <w:tcPr>
            <w:tcW w:w="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90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Debt Capacity</w:t>
            </w:r>
          </w:p>
        </w:tc>
        <w:tc>
          <w:tcPr>
            <w:tcW w:w="17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Capacity for Adjusted</w:t>
            </w:r>
          </w:p>
        </w:tc>
        <w:tc>
          <w:tcPr>
            <w:tcW w:w="0" w:type="dxa"/>
            <w:vAlign w:val="bottom"/>
          </w:tcPr>
          <w:p>
            <w:pPr>
              <w:spacing w:after="0"/>
              <w:rPr>
                <w:sz w:val="1"/>
                <w:szCs w:val="1"/>
                <w:color w:val="auto"/>
              </w:rPr>
            </w:pPr>
          </w:p>
        </w:tc>
      </w:tr>
      <w:tr>
        <w:trPr>
          <w:trHeight w:val="145"/>
        </w:trPr>
        <w:tc>
          <w:tcPr>
            <w:tcW w:w="1900" w:type="dxa"/>
            <w:vAlign w:val="bottom"/>
            <w:gridSpan w:val="2"/>
            <w:vMerge w:val="continue"/>
          </w:tcPr>
          <w:p>
            <w:pPr>
              <w:spacing w:after="0"/>
              <w:rPr>
                <w:sz w:val="12"/>
                <w:szCs w:val="12"/>
                <w:color w:val="auto"/>
              </w:rPr>
            </w:pPr>
          </w:p>
        </w:tc>
        <w:tc>
          <w:tcPr>
            <w:tcW w:w="17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EBITDA Decrease Under</w:t>
            </w:r>
          </w:p>
        </w:tc>
        <w:tc>
          <w:tcPr>
            <w:tcW w:w="0" w:type="dxa"/>
            <w:vAlign w:val="bottom"/>
          </w:tcPr>
          <w:p>
            <w:pPr>
              <w:spacing w:after="0"/>
              <w:rPr>
                <w:sz w:val="1"/>
                <w:szCs w:val="1"/>
                <w:color w:val="auto"/>
              </w:rPr>
            </w:pPr>
          </w:p>
        </w:tc>
      </w:tr>
      <w:tr>
        <w:trPr>
          <w:trHeight w:val="191"/>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Under Covenants (2)</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Covenants (3)</w:t>
            </w:r>
          </w:p>
        </w:tc>
        <w:tc>
          <w:tcPr>
            <w:tcW w:w="0" w:type="dxa"/>
            <w:vAlign w:val="bottom"/>
          </w:tcPr>
          <w:p>
            <w:pPr>
              <w:spacing w:after="0"/>
              <w:rPr>
                <w:sz w:val="1"/>
                <w:szCs w:val="1"/>
                <w:color w:val="auto"/>
              </w:rPr>
            </w:pPr>
          </w:p>
        </w:tc>
      </w:tr>
      <w:tr>
        <w:trPr>
          <w:trHeight w:val="252"/>
        </w:trPr>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 6.2</w:t>
            </w:r>
          </w:p>
        </w:tc>
        <w:tc>
          <w:tcPr>
            <w:tcW w:w="100" w:type="dxa"/>
            <w:vAlign w:val="bottom"/>
          </w:tcPr>
          <w:p>
            <w:pPr>
              <w:spacing w:after="0"/>
              <w:rPr>
                <w:sz w:val="21"/>
                <w:szCs w:val="21"/>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1.0</w:t>
            </w: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2">
            <w:col w:w="7480" w:space="80"/>
            <w:col w:w="3680"/>
          </w:cols>
          <w:pgMar w:left="320" w:top="1070" w:right="339" w:bottom="1440" w:gutter="0" w:footer="0" w:header="0"/>
          <w:type w:val="continuous"/>
        </w:sectPr>
      </w:pPr>
    </w:p>
    <w:p>
      <w:pPr>
        <w:ind w:left="320" w:hanging="315"/>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component of the ratio as defined in the applicable loan agreement.</w:t>
      </w:r>
    </w:p>
    <w:p>
      <w:pPr>
        <w:spacing w:after="0" w:line="7"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no change to Adjusted EBITDA.</w:t>
      </w:r>
    </w:p>
    <w:p>
      <w:pPr>
        <w:spacing w:after="0" w:line="1"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no change to our debt levels.</w:t>
      </w:r>
    </w:p>
    <w:p>
      <w:pPr>
        <w:spacing w:after="0" w:line="143"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8"/>
          <w:szCs w:val="18"/>
          <w:color w:val="auto"/>
        </w:rPr>
        <w:t>The Bank Loan Agreements also contain reporting and information covenants that require us to provide financial and operating information to the lenders within certain time periods. If we are unable to provide the required information on a timely basis, we would be in breach of these covenants.</w:t>
      </w:r>
    </w:p>
    <w:p>
      <w:pPr>
        <w:spacing w:after="0" w:line="10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6"/>
          <w:szCs w:val="16"/>
          <w:color w:val="auto"/>
        </w:rPr>
        <w:t>Failure to comply with the financial maintenance tests and certain other covenants of the Bank Loan Agreements could not only prevent us from being able to borrow additional funds under the revolving credit facilities, but may also constitute a default under these credit facilities, which could result in, among other things, the amounts outstanding, including all accrued interest and unpaid fees, becoming immediately due and payable. If this were to occur, we may not have sufficient cash on hand to repay such indebtedness. The key factors affecting our ability to comply with the debt covenants described above are our financial performance relative to the financial maintenance tests defined in the Bank Loan Agreements and our ability to fund our debt service obligations. Based upon our current expectations, we believe our operating results during the next 12 months will be sufficient to comply with these covenants.</w:t>
      </w:r>
    </w:p>
    <w:p>
      <w:pPr>
        <w:spacing w:after="0" w:line="7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i w:val="1"/>
          <w:iCs w:val="1"/>
          <w:color w:val="auto"/>
        </w:rPr>
        <w:t>Restrictions Under Agreements Relating to the Trust Securitization—</w:t>
      </w:r>
      <w:r>
        <w:rPr>
          <w:rFonts w:ascii="Times New Roman" w:cs="Times New Roman" w:eastAsia="Times New Roman" w:hAnsi="Times New Roman"/>
          <w:sz w:val="18"/>
          <w:szCs w:val="18"/>
          <w:color w:val="auto"/>
        </w:rPr>
        <w:t>The indenture and related supplemental indenture governing the loan agreement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securitization transactions completed in March 2018 (the “2018 Securitization”) and March 2023 (the “2023 Securitization” and, together with the 2018 Securitization, the “Trust Securitization”) (the “Securitization Loan Agreements”) include certain financial ratios and operating covenants and other restrictions customary for transactions subject to rated securitizations. Among other things, American Tower Asset Sub, LLC and American Tower Asset Sub II, LLC (together, the “AMT Asset Subs”) are prohibited from incurring other indebtedness for borrowed money or further encumbering their assets, subject to customary carve-outs for ordinary course trade payables and permitted encumbrances (as defined in the applicable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52" w:name="page53"/>
    <w:bookmarkEnd w:id="52"/>
    <w:p>
      <w:pPr>
        <w:spacing w:after="0" w:line="247" w:lineRule="auto"/>
        <w:rPr>
          <w:sz w:val="20"/>
          <w:szCs w:val="20"/>
          <w:color w:val="auto"/>
        </w:rPr>
      </w:pPr>
      <w:r>
        <w:rPr>
          <w:rFonts w:ascii="Times New Roman" w:cs="Times New Roman" w:eastAsia="Times New Roman" w:hAnsi="Times New Roman"/>
          <w:sz w:val="18"/>
          <w:szCs w:val="18"/>
          <w:color w:val="auto"/>
        </w:rPr>
        <w:t>Under the Securitization Loan Agreements, amounts due will be paid from the cash flows generated by the assets securing the nonrecourse loan that secures the Secured Tower Revenue Securities, Series 2018-1, Subclass A (the “Series 2018-1A Securities”), the Secured Tower Revenue Securities, Series 2018-1, Subclass R (the “Series 2018-1R Securities” and, together with the Series 2018-1A Securities, the “2018 Securities”), the Secured Tower Revenue Securities 2023-1, Subclass A (the “Series 2023-1A Securities”), the Secured Tower Revenue Securities, Series 2023-1, Subclass R (the “Series 2023-1R Securities” and, together with the Series 2023-1A Securities, the “2023 Securities”) issued in the Trust Securitization (the “Loan”), as applicable, which must be deposited into certain reserve accounts, and thereafter distributed, solely pursuant to the terms of the applicable agreement. On a monthly basis, after paying all required amounts under the applicable agreement, subject to the conditions described in the table below, the excess cash flows generated from the operation of these assets are released to the AMT Asset Subs, which can then be distributed to us for use. As of September 30, 2026, $70.9 million held in such reserve accounts was classified as restricted cash.</w:t>
      </w:r>
    </w:p>
    <w:p>
      <w:pPr>
        <w:spacing w:after="0" w:line="125"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Certain information with respect to the Trust Securitization is set forth below. The debt service coverage ratio (“DSCR”) is generally calculated as the ratio of the net cash flow (as defined in the applicable agreement) to the amount of interest, servicing fees and trustee fees required to be paid over the succeeding 12 months on the principal amount of the Loan that will be outstanding on the payment date following such date of determination.</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 Limiting Distributions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Excess Cash</w:t>
            </w:r>
          </w:p>
        </w:tc>
        <w:tc>
          <w:tcPr>
            <w:tcW w:w="126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 for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 for</w:t>
            </w: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1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Excess Cash</w:t>
            </w:r>
          </w:p>
        </w:tc>
        <w:tc>
          <w:tcPr>
            <w:tcW w:w="12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Decrease in Net</w:t>
            </w:r>
          </w:p>
        </w:tc>
        <w:tc>
          <w:tcPr>
            <w:tcW w:w="0" w:type="dxa"/>
            <w:vAlign w:val="bottom"/>
          </w:tcPr>
          <w:p>
            <w:pPr>
              <w:spacing w:after="0"/>
              <w:rPr>
                <w:sz w:val="1"/>
                <w:szCs w:val="1"/>
                <w:color w:val="auto"/>
              </w:rPr>
            </w:pPr>
          </w:p>
        </w:tc>
      </w:tr>
      <w:tr>
        <w:trPr>
          <w:trHeight w:val="53"/>
        </w:trPr>
        <w:tc>
          <w:tcPr>
            <w:tcW w:w="1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60" w:type="dxa"/>
            <w:vAlign w:val="bottom"/>
            <w:vMerge w:val="restart"/>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Distributed During</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DSCR</w:t>
            </w:r>
          </w:p>
        </w:tc>
        <w:tc>
          <w:tcPr>
            <w:tcW w:w="1240" w:type="dxa"/>
            <w:vAlign w:val="bottom"/>
            <w:vMerge w:val="restart"/>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Decrease in Net</w:t>
            </w:r>
          </w:p>
        </w:tc>
        <w:tc>
          <w:tcPr>
            <w:tcW w:w="1240" w:type="dxa"/>
            <w:vAlign w:val="bottom"/>
            <w:vMerge w:val="restart"/>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Cash Flow Before</w:t>
            </w:r>
          </w:p>
        </w:tc>
        <w:tc>
          <w:tcPr>
            <w:tcW w:w="0" w:type="dxa"/>
            <w:vAlign w:val="bottom"/>
          </w:tcPr>
          <w:p>
            <w:pPr>
              <w:spacing w:after="0"/>
              <w:rPr>
                <w:sz w:val="1"/>
                <w:szCs w:val="1"/>
                <w:color w:val="auto"/>
              </w:rPr>
            </w:pPr>
          </w:p>
        </w:tc>
      </w:tr>
      <w:tr>
        <w:trPr>
          <w:trHeight w:val="33"/>
        </w:trPr>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12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Issuer or</w:t>
            </w:r>
          </w:p>
        </w:tc>
        <w:tc>
          <w:tcPr>
            <w:tcW w:w="18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Cash Trap</w:t>
            </w:r>
          </w:p>
        </w:tc>
        <w:tc>
          <w:tcPr>
            <w:tcW w:w="1120" w:type="dxa"/>
            <w:vAlign w:val="bottom"/>
            <w:vMerge w:val="restart"/>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2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the Three Months</w:t>
            </w:r>
          </w:p>
        </w:tc>
        <w:tc>
          <w:tcPr>
            <w:tcW w:w="1260" w:type="dxa"/>
            <w:vAlign w:val="bottom"/>
            <w:vMerge w:val="continue"/>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Cash Flow Before</w:t>
            </w:r>
          </w:p>
        </w:tc>
        <w:tc>
          <w:tcPr>
            <w:tcW w:w="12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Triggering</w:t>
            </w: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Notes/Securities Issued</w:t>
            </w:r>
          </w:p>
        </w:tc>
        <w:tc>
          <w:tcPr>
            <w:tcW w:w="10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Ended September</w:t>
            </w:r>
          </w:p>
        </w:tc>
        <w:tc>
          <w:tcPr>
            <w:tcW w:w="12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as of September 30,</w:t>
            </w: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Triggering Cash</w:t>
            </w:r>
          </w:p>
        </w:tc>
        <w:tc>
          <w:tcPr>
            <w:tcW w:w="124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Minimum DSCR</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Borrower</w:t>
            </w:r>
          </w:p>
        </w:tc>
        <w:tc>
          <w:tcPr>
            <w:tcW w:w="18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DSCR</w:t>
            </w:r>
          </w:p>
        </w:tc>
        <w:tc>
          <w:tcPr>
            <w:tcW w:w="112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Trap DSCR (1)</w:t>
            </w: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2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0" w:type="dxa"/>
            <w:vAlign w:val="bottom"/>
          </w:tcPr>
          <w:p>
            <w:pPr>
              <w:spacing w:after="0"/>
              <w:rPr>
                <w:sz w:val="1"/>
                <w:szCs w:val="1"/>
                <w:color w:val="auto"/>
              </w:rPr>
            </w:pPr>
          </w:p>
        </w:tc>
      </w:tr>
      <w:tr>
        <w:trPr>
          <w:trHeight w:val="24"/>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Trust Securitization   </w:t>
            </w:r>
            <w:r>
              <w:rPr>
                <w:rFonts w:ascii="Times New Roman" w:cs="Times New Roman" w:eastAsia="Times New Roman" w:hAnsi="Times New Roman"/>
                <w:sz w:val="15"/>
                <w:szCs w:val="15"/>
                <w:color w:val="auto"/>
              </w:rPr>
              <w:t>AMT Asset</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Secured Tower Revenue</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1.30x, Tested</w:t>
            </w:r>
          </w:p>
        </w:tc>
        <w:tc>
          <w:tcPr>
            <w:tcW w:w="1120" w:type="dxa"/>
            <w:vAlign w:val="bottom"/>
            <w:vMerge w:val="restart"/>
          </w:tcPr>
          <w:p>
            <w:pPr>
              <w:jc w:val="center"/>
              <w:ind w:right="7"/>
              <w:spacing w:after="0"/>
              <w:rPr>
                <w:sz w:val="20"/>
                <w:szCs w:val="20"/>
                <w:color w:val="auto"/>
              </w:rPr>
            </w:pPr>
            <w:r>
              <w:rPr>
                <w:rFonts w:ascii="Times New Roman" w:cs="Times New Roman" w:eastAsia="Times New Roman" w:hAnsi="Times New Roman"/>
                <w:sz w:val="16"/>
                <w:szCs w:val="16"/>
                <w:color w:val="auto"/>
                <w:w w:val="96"/>
              </w:rPr>
              <w:t>(3)(4)</w:t>
            </w:r>
          </w:p>
        </w:tc>
        <w:tc>
          <w:tcPr>
            <w:tcW w:w="1260" w:type="dxa"/>
            <w:vAlign w:val="bottom"/>
            <w:tcBorders>
              <w:bottom w:val="single" w:sz="8" w:color="auto"/>
            </w:tcBorders>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6.52x</w:t>
            </w: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280" w:type="dxa"/>
            <w:vAlign w:val="bottom"/>
            <w:gridSpan w:val="2"/>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60" w:type="dxa"/>
            <w:vAlign w:val="bottom"/>
          </w:tcPr>
          <w:p>
            <w:pPr>
              <w:jc w:val="right"/>
              <w:ind w:right="350"/>
              <w:spacing w:after="0" w:line="165" w:lineRule="exact"/>
              <w:rPr>
                <w:sz w:val="20"/>
                <w:szCs w:val="20"/>
                <w:color w:val="auto"/>
              </w:rPr>
            </w:pPr>
            <w:r>
              <w:rPr>
                <w:rFonts w:ascii="Times New Roman" w:cs="Times New Roman" w:eastAsia="Times New Roman" w:hAnsi="Times New Roman"/>
                <w:sz w:val="16"/>
                <w:szCs w:val="16"/>
                <w:color w:val="auto"/>
              </w:rPr>
              <w:t>$372.5</w:t>
            </w:r>
          </w:p>
        </w:tc>
        <w:tc>
          <w:tcPr>
            <w:tcW w:w="1260" w:type="dxa"/>
            <w:vAlign w:val="bottom"/>
            <w:vMerge w:val="continue"/>
          </w:tcPr>
          <w:p>
            <w:pPr>
              <w:spacing w:after="0"/>
              <w:rPr>
                <w:sz w:val="14"/>
                <w:szCs w:val="14"/>
                <w:color w:val="auto"/>
              </w:rPr>
            </w:pPr>
          </w:p>
        </w:tc>
        <w:tc>
          <w:tcPr>
            <w:tcW w:w="12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$470.6</w:t>
            </w:r>
          </w:p>
        </w:tc>
        <w:tc>
          <w:tcPr>
            <w:tcW w:w="1240" w:type="dxa"/>
            <w:vAlign w:val="bottom"/>
          </w:tcPr>
          <w:p>
            <w:pPr>
              <w:jc w:val="right"/>
              <w:ind w:right="330"/>
              <w:spacing w:after="0" w:line="165" w:lineRule="exact"/>
              <w:rPr>
                <w:sz w:val="20"/>
                <w:szCs w:val="20"/>
                <w:color w:val="auto"/>
              </w:rPr>
            </w:pPr>
            <w:r>
              <w:rPr>
                <w:rFonts w:ascii="Times New Roman" w:cs="Times New Roman" w:eastAsia="Times New Roman" w:hAnsi="Times New Roman"/>
                <w:sz w:val="16"/>
                <w:szCs w:val="16"/>
                <w:color w:val="auto"/>
              </w:rPr>
              <w:t>$484.1</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6"/>
              </w:rPr>
              <w:t>Subs</w:t>
            </w:r>
          </w:p>
        </w:tc>
        <w:tc>
          <w:tcPr>
            <w:tcW w:w="1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Securities, Series 2023-1,</w:t>
            </w: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7"/>
              </w:rPr>
              <w:t>Quarterly (2)</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7135495" cy="1045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5495" cy="1045845"/>
                    </a:xfrm>
                    <a:prstGeom prst="rect">
                      <a:avLst/>
                    </a:prstGeom>
                    <a:noFill/>
                  </pic:spPr>
                </pic:pic>
              </a:graphicData>
            </a:graphic>
          </wp:anchor>
        </w:drawing>
      </w:r>
    </w:p>
    <w:p>
      <w:pPr>
        <w:jc w:val="center"/>
        <w:ind w:right="4740"/>
        <w:spacing w:after="0" w:line="206" w:lineRule="auto"/>
        <w:rPr>
          <w:sz w:val="20"/>
          <w:szCs w:val="20"/>
          <w:color w:val="auto"/>
        </w:rPr>
      </w:pPr>
      <w:r>
        <w:rPr>
          <w:rFonts w:ascii="Times New Roman" w:cs="Times New Roman" w:eastAsia="Times New Roman" w:hAnsi="Times New Roman"/>
          <w:sz w:val="16"/>
          <w:szCs w:val="16"/>
          <w:color w:val="auto"/>
        </w:rPr>
        <w:t>Subclass A, Secured</w:t>
      </w:r>
    </w:p>
    <w:p>
      <w:pPr>
        <w:jc w:val="center"/>
        <w:ind w:right="4740"/>
        <w:spacing w:after="0" w:line="206" w:lineRule="auto"/>
        <w:rPr>
          <w:sz w:val="20"/>
          <w:szCs w:val="20"/>
          <w:color w:val="auto"/>
        </w:rPr>
      </w:pPr>
      <w:r>
        <w:rPr>
          <w:rFonts w:ascii="Times New Roman" w:cs="Times New Roman" w:eastAsia="Times New Roman" w:hAnsi="Times New Roman"/>
          <w:sz w:val="16"/>
          <w:szCs w:val="16"/>
          <w:color w:val="auto"/>
        </w:rPr>
        <w:t>Tower Revenue Securities,</w:t>
      </w:r>
    </w:p>
    <w:p>
      <w:pPr>
        <w:jc w:val="center"/>
        <w:ind w:right="4740"/>
        <w:spacing w:after="0" w:line="206" w:lineRule="auto"/>
        <w:rPr>
          <w:sz w:val="20"/>
          <w:szCs w:val="20"/>
          <w:color w:val="auto"/>
        </w:rPr>
      </w:pPr>
      <w:r>
        <w:rPr>
          <w:rFonts w:ascii="Times New Roman" w:cs="Times New Roman" w:eastAsia="Times New Roman" w:hAnsi="Times New Roman"/>
          <w:sz w:val="16"/>
          <w:szCs w:val="16"/>
          <w:color w:val="auto"/>
        </w:rPr>
        <w:t>Series 2023-1, Subclass R,</w:t>
      </w:r>
    </w:p>
    <w:p>
      <w:pPr>
        <w:jc w:val="center"/>
        <w:ind w:right="4740"/>
        <w:spacing w:after="0" w:line="206" w:lineRule="auto"/>
        <w:rPr>
          <w:sz w:val="20"/>
          <w:szCs w:val="20"/>
          <w:color w:val="auto"/>
        </w:rPr>
      </w:pPr>
      <w:r>
        <w:rPr>
          <w:rFonts w:ascii="Times New Roman" w:cs="Times New Roman" w:eastAsia="Times New Roman" w:hAnsi="Times New Roman"/>
          <w:sz w:val="16"/>
          <w:szCs w:val="16"/>
          <w:color w:val="auto"/>
        </w:rPr>
        <w:t>Secured Tower Revenue</w:t>
      </w:r>
    </w:p>
    <w:p>
      <w:pPr>
        <w:jc w:val="center"/>
        <w:ind w:right="4740"/>
        <w:spacing w:after="0" w:line="207" w:lineRule="auto"/>
        <w:rPr>
          <w:sz w:val="20"/>
          <w:szCs w:val="20"/>
          <w:color w:val="auto"/>
        </w:rPr>
      </w:pPr>
      <w:r>
        <w:rPr>
          <w:rFonts w:ascii="Times New Roman" w:cs="Times New Roman" w:eastAsia="Times New Roman" w:hAnsi="Times New Roman"/>
          <w:sz w:val="16"/>
          <w:szCs w:val="16"/>
          <w:color w:val="auto"/>
        </w:rPr>
        <w:t>Securities, Series 2018-1,</w:t>
      </w:r>
    </w:p>
    <w:p>
      <w:pPr>
        <w:jc w:val="center"/>
        <w:ind w:right="4740"/>
        <w:spacing w:after="0" w:line="206" w:lineRule="auto"/>
        <w:rPr>
          <w:sz w:val="20"/>
          <w:szCs w:val="20"/>
          <w:color w:val="auto"/>
        </w:rPr>
      </w:pPr>
      <w:r>
        <w:rPr>
          <w:rFonts w:ascii="Times New Roman" w:cs="Times New Roman" w:eastAsia="Times New Roman" w:hAnsi="Times New Roman"/>
          <w:sz w:val="16"/>
          <w:szCs w:val="16"/>
          <w:color w:val="auto"/>
        </w:rPr>
        <w:t>Subclass A and Secured</w:t>
      </w:r>
    </w:p>
    <w:p>
      <w:pPr>
        <w:jc w:val="center"/>
        <w:ind w:right="4740"/>
        <w:spacing w:after="0" w:line="206" w:lineRule="auto"/>
        <w:rPr>
          <w:sz w:val="20"/>
          <w:szCs w:val="20"/>
          <w:color w:val="auto"/>
        </w:rPr>
      </w:pPr>
      <w:r>
        <w:rPr>
          <w:rFonts w:ascii="Times New Roman" w:cs="Times New Roman" w:eastAsia="Times New Roman" w:hAnsi="Times New Roman"/>
          <w:sz w:val="16"/>
          <w:szCs w:val="16"/>
          <w:color w:val="auto"/>
        </w:rPr>
        <w:t>Tower Revenue Securities,</w:t>
      </w:r>
    </w:p>
    <w:p>
      <w:pPr>
        <w:jc w:val="center"/>
        <w:ind w:right="4740"/>
        <w:spacing w:after="0"/>
        <w:rPr>
          <w:sz w:val="20"/>
          <w:szCs w:val="20"/>
          <w:color w:val="auto"/>
        </w:rPr>
      </w:pPr>
      <w:r>
        <w:rPr>
          <w:rFonts w:ascii="Times New Roman" w:cs="Times New Roman" w:eastAsia="Times New Roman" w:hAnsi="Times New Roman"/>
          <w:sz w:val="16"/>
          <w:szCs w:val="16"/>
          <w:color w:val="auto"/>
        </w:rPr>
        <w:t>Series 2018-1, Subclass 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w:t>
      </w:r>
    </w:p>
    <w:p>
      <w:pPr>
        <w:spacing w:after="0" w:line="9" w:lineRule="exact"/>
        <w:rPr>
          <w:sz w:val="20"/>
          <w:szCs w:val="20"/>
          <w:color w:val="auto"/>
        </w:rPr>
      </w:pPr>
    </w:p>
    <w:p>
      <w:pPr>
        <w:ind w:left="320" w:hanging="315"/>
        <w:spacing w:after="0"/>
        <w:tabs>
          <w:tab w:leader="none" w:pos="3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net cash flow of the issuer or borrower as of September 30, 2026 and the expenses payable over the next 12 months on the Loan.</w:t>
      </w:r>
    </w:p>
    <w:p>
      <w:pPr>
        <w:ind w:left="320" w:hanging="315"/>
        <w:spacing w:after="0" w:line="253" w:lineRule="auto"/>
        <w:tabs>
          <w:tab w:leader="none" w:pos="31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DSCR were equal to or below 1.30x (the “Cash Trap DSCR”) for any quarter, all cash flow in excess of amounts required to make debt service payments, fund required reserves, pay management fees and budgeted operating expenses and make other payments required under the applicable transaction documents, referred to as excess cash flow, will be deposited into a reserve account (the “Cash Trap Reserve Account”) instead of being released to the applicable issuer or borrower. Once triggered, a Cash Trap DSCR condition continues to exist until the DSCR exceeds the Cash Trap DSCR for two consecutive calendar quarters.</w:t>
      </w:r>
    </w:p>
    <w:p>
      <w:pPr>
        <w:spacing w:after="0" w:line="2" w:lineRule="exact"/>
        <w:rPr>
          <w:rFonts w:ascii="Times New Roman" w:cs="Times New Roman" w:eastAsia="Times New Roman" w:hAnsi="Times New Roman"/>
          <w:sz w:val="14"/>
          <w:szCs w:val="14"/>
          <w:color w:val="auto"/>
        </w:rPr>
      </w:pPr>
    </w:p>
    <w:p>
      <w:pPr>
        <w:ind w:left="320" w:right="520" w:hanging="315"/>
        <w:spacing w:after="0" w:line="245" w:lineRule="auto"/>
        <w:tabs>
          <w:tab w:leader="none" w:pos="31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amortization period commences if the DSCR is equal to or below 1.15x (the “Minimum DSCR”) at the end of any calendar quarter and continues to exist until the DSCR exceeds the Minimum DSCR for two consecutive calendar quarters.</w:t>
      </w:r>
    </w:p>
    <w:p>
      <w:pPr>
        <w:ind w:left="320" w:right="120" w:hanging="315"/>
        <w:spacing w:after="0" w:line="270" w:lineRule="auto"/>
        <w:tabs>
          <w:tab w:leader="none" w:pos="31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amortization period exists if the outstanding principal amount has not been paid in full on the applicable anticipated repayment date and continues to exist until the principal has been repaid in full.</w:t>
      </w:r>
    </w:p>
    <w:p>
      <w:pPr>
        <w:spacing w:after="0" w:line="21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 failure to meet the noted DSCR tests could prevent the AMT Asset Subs from distributing excess cash flow to us, which could affect our ability to fund our capital expenditures, including tower construction and acquisitions, and to meet REIT distribution requirements. During an “amortization period,” all excess cash flow and any amounts then in the applicable Cash Trap Reserve Account would be applied to pay the principal of the Loan on each monthly payment date, and so would not be available for distribution to us. Further, additional interest will begin to accrue with respect to the Loan from and after the anticipated repayment date at a per annum rate determined in accordance with the applicable agreement. Furthermore, if the AMT Asset Subs were to default on the Loan, the trustee may seek to foreclose upon or otherwise convert the ownership of all or any portion of the 5,017 broadcast and wireless communications towers and related assets that secure the Loan, in which case we could lose those sites and their associated revenue.</w:t>
      </w:r>
    </w:p>
    <w:p>
      <w:pPr>
        <w:spacing w:after="0" w:line="110"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8"/>
          <w:szCs w:val="18"/>
          <w:color w:val="auto"/>
        </w:rPr>
        <w:t>As discussed above, we use our available liquidity and seek new sources of liquidity to fund capital expenditures, future growth and expansion initiatives, satisfy our distribution requirements and repay or repurchase our debt or equity. If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3" w:name="page54"/>
    <w:bookmarkEnd w:id="53"/>
    <w:p>
      <w:pPr>
        <w:ind w:right="60"/>
        <w:spacing w:after="0" w:line="249" w:lineRule="auto"/>
        <w:rPr>
          <w:sz w:val="20"/>
          <w:szCs w:val="20"/>
          <w:color w:val="auto"/>
        </w:rPr>
      </w:pPr>
      <w:r>
        <w:rPr>
          <w:rFonts w:ascii="Times New Roman" w:cs="Times New Roman" w:eastAsia="Times New Roman" w:hAnsi="Times New Roman"/>
          <w:sz w:val="18"/>
          <w:szCs w:val="18"/>
          <w:color w:val="auto"/>
        </w:rPr>
        <w:t>determine that it is desirable or necessary to raise additional capital, we may be unable to do so, or such additional financing may be prohibitively expensive or restricted by the terms of our outstanding indebtedness. Additionally, as further discussed under the caption “Risk Factors” in Item 1A of the 2025 Form 10-K, market volatility and disruption caused by inflation, high interest rates and supply chain disruptions may impact our ability to raise additional capital through debt financing activities or our ability to repay or refinance maturing liabilities, or impact the terms of any new obligations. If we are unable to raise capital when our needs arise, we may not be able to fund capital expenditures, future growth and expansion initiatives, satisfy our REIT distribution requirements and debt service obligations, or refinance our existing indebtedness.</w:t>
      </w:r>
    </w:p>
    <w:p>
      <w:pPr>
        <w:spacing w:after="0" w:line="121"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In addition, our liquidity depends on our ability to generate cash flow from operating activities. As set forth under the caption “Risk Factors” in Item 1A of the 2025 Form 10-K, we derive a substantial portion of our current and projected future revenue from a small number of customers and, consequently, a failure by a significant customer to perform its contractual obligations to us could adversely affect our cash flow and liquidity.</w:t>
      </w:r>
    </w:p>
    <w:p>
      <w:pPr>
        <w:spacing w:after="0" w:line="1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For more information regarding the terms of our outstanding indebtedness, please see note 8 to our consolidated financial statements included in the 2025 Form 10-K.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 are based upon our consolidated and condensed consolidated financial statements, which have been prepared in accordance with GAAP. The preparation of these financial statements requires us to make estimates and assumptions that affect the reported amounts of assets, liabilities, revenues and expenses, as well as related disclosures of contingent assets and liabilities. We evaluate our policies and estimates on an ongoing basis, including those related to accounting and impairment of long-lived assets, revenue recognition, rent expense and income taxes, as further discussed in the 2025 Form 10-K. Management bases its estimates on historical experience and various other assumptions that are believed to be reasonable under the circumstances, the results of which form the basis for making judgments about the carrying amounts of assets and liabilities that are not readily apparent from other sources. Actual results may differ from these estimates under different assumptions or conditions.</w:t>
      </w:r>
    </w:p>
    <w:p>
      <w:pPr>
        <w:spacing w:after="0" w:line="83"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8"/>
          <w:szCs w:val="18"/>
          <w:color w:val="auto"/>
        </w:rPr>
        <w:t>We have reviewed our policies and estimates to determine our critical accounting policies for the nine months ended September 30, 2026. We have made no material changes to the critical accounting policies described in the 2025 Form 10-K.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w:t>
      </w:r>
    </w:p>
    <w:p>
      <w:pPr>
        <w:spacing w:after="0" w:line="151"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18"/>
          <w:szCs w:val="18"/>
          <w:color w:val="auto"/>
        </w:rPr>
        <w:t>For a discussion of recent accounting standards updates, see note 1 to our consolidated and condensed consolidated financial statements included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4" w:name="page55"/>
    <w:bookmarkEnd w:id="54"/>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5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Changes in interest rates can cause interest charges to fluctuate on our variable rate debt. Variable rate debt as of September 30, 2026 consisted of $1.0 billion under the 2021 Multicurrency Credit Facility, $230.0 million under the 2021 Credit Facility and $1.0 billion under the 2021 Term Loan and $2.8 million of debt entered into by our Data Centers business in connection with an acquisition of a multi-tenant data facility in Denver, Colorado, which is denominated in U.S. Dollars and is payable in monthly installments through March 31, 2028. A 10% increase in current interest rates would result in an additional $8.0 million of interest expense for the nine months ended September 30,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4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We are exposed to market risk from changes in foreign currency exchange rates primarily in connection with our foreign subsidiaries and joint ventures internationally. Any transaction denominated in a currency other than the U.S. Dollar is reported in U.S. Dollars at the applicable exchange rate. All assets and liabilities are translated into U.S. Dollars at exchange rates in effect at the end of the applicable fiscal reporting period and all revenues and expenses are translated at average rates for the period. The cumulative translation effect is included in equity as a component of Accumulated other comprehensive loss. We may enter into additional foreign currency financial instruments in anticipation of future transactions to minimize the impact of foreign currency exchange rate fluctuations. For the nine months ended September 30, 2026, 33% of our revenues and 41% of our total operating expenses were denominated in foreign currencies.</w:t>
      </w:r>
    </w:p>
    <w:p>
      <w:pPr>
        <w:spacing w:after="0" w:line="12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6"/>
          <w:szCs w:val="16"/>
          <w:color w:val="auto"/>
        </w:rPr>
        <w:t>As of September 30, 2026, we have incurred intercompany debt that is not considered to be permanently reinvested and similar unaffiliated balances that were denominated in a currency other than the functional currency of the subsidiary in which it is recorded. As this debt had not been designated as being a long-term investment in nature, any changes in the foreign currency exchange rates will result in unrealized gains or losses, which will be included in our determination of net income. An adverse change of 10% in the underlying exchange rates of our unsettled intercompany debt and similar unaffiliated balances would result in $40.0 million of unrealized losses that would be included in Other income (expense) in our consolidated statements of operations for the nine months ended September 30, 2026. As of September 30, 2026, we have 7.5 billion EUR (approximately $8.5 billion) denominated debt outstanding, of which approximately 4.7 billion EUR (approximately $5.3 billion) is designated as a non-derivative net investment hedge. An adverse change of 10% in the underlying exchange rates of our outstanding EUR debt not designated as a non-derivative net investment hedge would result in $0.4 billion of foreign currency losses that would be included in Other expense in our consolidated statements of operations for the nine months ended September 30, 2026.</w:t>
      </w:r>
    </w:p>
    <w:p>
      <w:pPr>
        <w:spacing w:after="0" w:line="14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5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We have established disclosure controls and procedures designed to ensure that material information relating to us, including our consolidated subsidiaries, is made known to the officers who certify our financial reports and to other members of senior management and the Board of Directors.</w:t>
      </w:r>
    </w:p>
    <w:p>
      <w:pPr>
        <w:spacing w:after="0" w:line="8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the design and operation of our disclosure controls and procedures (as defined in Rules 13a-15(e) and 15d-15(e) under the Exchange Act), as of the end of the period covered by this Quarterly Report. Based on this evaluation, our principal executive officer and principal financial officer concluded that these disclosure controls and procedures were effective as of September 30, 2026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38" w:lineRule="exact"/>
        <w:rPr>
          <w:sz w:val="20"/>
          <w:szCs w:val="20"/>
          <w:color w:val="auto"/>
        </w:rPr>
      </w:pPr>
    </w:p>
    <w:p>
      <w:pPr>
        <w:spacing w:after="0" w:line="332"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 13a-15(f) under the Exchange Act) during the fiscal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1213" w:right="69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56"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3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periodically become involved in various claims and lawsuits that are incidental to our business. While our management, after consultation with counsel, currently believes the ultimate outcome of these legal proceedings, individually and in the aggregate, will not have a material adverse impact on our consolidated financial position, results of operations or liquidity, litigation is subject to inherent uncertainties. Were an unfavorable ruling to occur, there exists the possibility of a material adverse impact on our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AT&amp;T Mexico Dispute</w:t>
      </w:r>
    </w:p>
    <w:p>
      <w:pPr>
        <w:spacing w:after="0" w:line="151"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8"/>
          <w:szCs w:val="18"/>
          <w:color w:val="auto"/>
        </w:rPr>
        <w:t>We are currently engaged in the Arbitration with AT&amp;T Mexico. AT&amp;T Mexico, which represented approximately $300 million of tenant revenue in 2025, is challenging the calculation of the monthly lease amount established under the MLA, as well as certain other provisions of the MLA, seeking rent abatement both retroactively and prospectively, and had been withholding tower rents since the start of 2025. We incurred approximately $30 million of reserves during the year ended December 31, 2025, and approximately $30 million of additional reserves during the nine months ended September 30, 2026, related to this customer. We expect to record future reserves until the Arbitration is settled. We believe we have meritorious defenses to the claims raised in this Arbitration, are vigorously defending the full enforceability of the MLA and remain confident in the terms and conditions of the MLA. The Arbitration hearing began in August 2026 and we expect a final ruling in 2027.</w:t>
      </w:r>
    </w:p>
    <w:p>
      <w:pPr>
        <w:spacing w:after="0" w:line="110"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On September 23, 2025, we and AT&amp;T Mexico reached an agreement pursuant to which AT&amp;T Mexico will remit payment of the majority of the withheld tower rents and will resume monthly payments of the majority of its owed tower rents. The remainder of the outstanding receivables and the future monthly tower rent amounts not remitted directly to us will be deposited into an irrevocable escrow account, overseen by an independent trustee, to be released in accordance with a final ruling in the Arbitration or by mutual consent of us and AT&amp;T Mexico.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DISH Dispute</w:t>
      </w:r>
    </w:p>
    <w:p>
      <w:pPr>
        <w:spacing w:after="0" w:line="15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On September 24, 2025, DISH delivered a notice purporting to be excused from its contractual obligations under the SCA. On October 20, 2025, we filed a complaint in the U.S. District Court for the District of Colorado seeking a declaratory judgment that DISH had not been excused from its obligations under the SCA, that the SCA remained in full force and effect, and that DISH remained required to perform all of its obligations under the SCA. Thereafter, DISH failed to meet its payment obligations, and as of January 2026, has been in default under the SCA. We remain confident that DISH was not excused from its obligations under the SCA. We delivered notices of termination, effective June 2, 2026, to DISH of the SCA and related agreements with DISH.</w:t>
      </w:r>
    </w:p>
    <w:p>
      <w:pPr>
        <w:spacing w:after="0" w:line="7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On June 15, 2026, we amended the complaint to (i) add claims seeking damages for DISH’s breaches of the SCA and other agreements, and (ii) add DISH’s parent company, EchoStar Corporation, as a party for tortious interference with such agreements. On June 30, 2026, DISH filed petitions for relief under chapter 11 of the United States Bankruptcy Code. Consistent with applicable law, we continue to seek relief in connection with DISH’s failure to comply with its obligations under the SCA and other agreements described in the amended complaint. DISH represented approximately 2% and 4% of our total annual property revenue and total annual U.S. &amp; Canada property revenue, respectively, for 2025.</w:t>
      </w:r>
    </w:p>
    <w:p>
      <w:pPr>
        <w:spacing w:after="0" w:line="264"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risk factors disclosed in Item 1A of the 2025 Form 10-K.</w:t>
      </w:r>
    </w:p>
    <w:p>
      <w:pPr>
        <w:spacing w:after="0" w:line="54"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we repurchased a total of 1,804,674 shares of our common stock for an aggregate of $315.1 million, including commissions and fees, pursuant to the Buyback Program. The table below sets forth details of our repurchases under the Buyback Program during the three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Average Price Paid</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 Purchased as</w:t>
            </w:r>
          </w:p>
        </w:tc>
        <w:tc>
          <w:tcPr>
            <w:tcW w:w="100" w:type="dxa"/>
            <w:vAlign w:val="bottom"/>
          </w:tcPr>
          <w:p>
            <w:pPr>
              <w:spacing w:after="0"/>
              <w:rPr>
                <w:sz w:val="13"/>
                <w:szCs w:val="13"/>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Approximate Dollar Value of Shares</w:t>
            </w:r>
          </w:p>
        </w:tc>
        <w:tc>
          <w:tcPr>
            <w:tcW w:w="0" w:type="dxa"/>
            <w:vAlign w:val="bottom"/>
          </w:tcPr>
          <w:p>
            <w:pPr>
              <w:spacing w:after="0"/>
              <w:rPr>
                <w:sz w:val="1"/>
                <w:szCs w:val="1"/>
                <w:color w:val="auto"/>
              </w:rPr>
            </w:pPr>
          </w:p>
        </w:tc>
      </w:tr>
      <w:tr>
        <w:trPr>
          <w:trHeight w:val="145"/>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Part of Publicly Announced Plans 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May Yet be Purchased Under</w:t>
            </w:r>
          </w:p>
        </w:tc>
        <w:tc>
          <w:tcPr>
            <w:tcW w:w="0" w:type="dxa"/>
            <w:vAlign w:val="bottom"/>
          </w:tcPr>
          <w:p>
            <w:pPr>
              <w:spacing w:after="0"/>
              <w:rPr>
                <w:sz w:val="1"/>
                <w:szCs w:val="1"/>
                <w:color w:val="auto"/>
              </w:rPr>
            </w:pPr>
          </w:p>
        </w:tc>
      </w:tr>
      <w:tr>
        <w:trPr>
          <w:trHeight w:val="191"/>
        </w:trPr>
        <w:tc>
          <w:tcPr>
            <w:tcW w:w="398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per Share (2)</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the Plans or Programs</w:t>
            </w:r>
          </w:p>
        </w:tc>
        <w:tc>
          <w:tcPr>
            <w:tcW w:w="0" w:type="dxa"/>
            <w:vAlign w:val="bottom"/>
          </w:tcPr>
          <w:p>
            <w:pPr>
              <w:spacing w:after="0"/>
              <w:rPr>
                <w:sz w:val="1"/>
                <w:szCs w:val="1"/>
                <w:color w:val="auto"/>
              </w:rPr>
            </w:pPr>
          </w:p>
        </w:tc>
      </w:tr>
      <w:tr>
        <w:trPr>
          <w:trHeight w:val="186"/>
        </w:trPr>
        <w:tc>
          <w:tcPr>
            <w:tcW w:w="3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 July 31, 2026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0" w:type="dxa"/>
            <w:vAlign w:val="bottom"/>
          </w:tcPr>
          <w:p>
            <w:pPr>
              <w:spacing w:after="0"/>
              <w:rPr>
                <w:sz w:val="1"/>
                <w:szCs w:val="1"/>
                <w:color w:val="auto"/>
              </w:rPr>
            </w:pPr>
          </w:p>
        </w:tc>
      </w:tr>
      <w:tr>
        <w:trPr>
          <w:trHeight w:val="23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2026 - August 31, 2026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1,032,630</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w:t>
            </w:r>
          </w:p>
        </w:tc>
        <w:tc>
          <w:tcPr>
            <w:tcW w:w="8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0" w:type="dxa"/>
            <w:vAlign w:val="bottom"/>
          </w:tcPr>
          <w:p>
            <w:pPr>
              <w:spacing w:after="0"/>
              <w:rPr>
                <w:sz w:val="1"/>
                <w:szCs w:val="1"/>
                <w:color w:val="auto"/>
              </w:rPr>
            </w:pPr>
          </w:p>
        </w:tc>
      </w:tr>
      <w:tr>
        <w:trPr>
          <w:trHeight w:val="237"/>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 September 30, 2026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772,044</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80" w:type="dxa"/>
            <w:vAlign w:val="bottom"/>
            <w:shd w:val="clear" w:color="auto" w:fill="CCEEFF"/>
          </w:tcPr>
          <w:p>
            <w:pPr>
              <w:spacing w:after="0"/>
              <w:rPr>
                <w:sz w:val="20"/>
                <w:szCs w:val="20"/>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0" w:type="dxa"/>
            <w:vAlign w:val="bottom"/>
          </w:tcPr>
          <w:p>
            <w:pPr>
              <w:spacing w:after="0"/>
              <w:rPr>
                <w:sz w:val="1"/>
                <w:szCs w:val="1"/>
                <w:color w:val="auto"/>
              </w:rPr>
            </w:pPr>
          </w:p>
        </w:tc>
      </w:tr>
      <w:tr>
        <w:trPr>
          <w:trHeight w:val="231"/>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Third Quarter</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1,804,674</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80" w:type="dxa"/>
            <w:vAlign w:val="bottom"/>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1,804,674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1" w:lineRule="exact"/>
        <w:rPr>
          <w:sz w:val="20"/>
          <w:szCs w:val="20"/>
          <w:color w:val="auto"/>
        </w:rPr>
      </w:pPr>
    </w:p>
    <w:p>
      <w:pPr>
        <w:ind w:left="320" w:hanging="315"/>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Repurchases made pursuant to the Buyback Program.</w:t>
      </w:r>
    </w:p>
    <w:p>
      <w:pPr>
        <w:spacing w:after="0" w:line="7"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is a weighted average calculation using the aggregate price, excluding commissions and fees.</w:t>
      </w:r>
    </w:p>
    <w:p>
      <w:pPr>
        <w:spacing w:after="0" w:line="13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Through October 20, 2026, we have repurchased a total of 5,326,550 shares of our common stock under the Buyback Program for an aggregate of $932.8 million, including commissions and fees. We expect to continue to manage the pacing of the remaining $1.1 billion under the Buyback Program in response to general market conditions and other relevant factors. We expect to fund any further repurchases of our common stock through a combination of cash on hand, cash generated by operations and borrowings under our credit facilities. Purchases under the Buyback Program are subject to our having available cash to fund repurchases.</w:t>
      </w:r>
    </w:p>
    <w:p>
      <w:pPr>
        <w:spacing w:after="0" w:line="12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Under the Buyback Program, our management is authorized to purchase shares from time to time through open market purchases or in privately negotiated transactions not to exceed market prices and subject to market conditions and other factors. With respect to open market purchases, we may use plans adopted in accordance with Rule 10b5-1 under the Exchange Act in accordance with securities laws and other legal requirements, which allows us to repurchase shares during periods when we otherwise might be prevented from doing so under insider trading laws or because of self-imposed trading blackout periods. These programs may be discontinued at any time.</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Other Events</w:t>
      </w:r>
    </w:p>
    <w:p>
      <w:pPr>
        <w:spacing w:after="0" w:line="138"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18"/>
          <w:szCs w:val="18"/>
          <w:color w:val="auto"/>
        </w:rPr>
        <w:t>On October 23, 2026, our Board of Directors approved an increase to the Buyback Program, pursuant to which we are authorized to repurchase up to an additional $2.0 billion of our outstanding common stock, in addition to the remaining available amount ($1.1 billion as of October 20, 2026).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Insider Trading Arrangements and Policies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620" w:type="dxa"/>
            <w:vAlign w:val="bottom"/>
          </w:tcPr>
          <w:p>
            <w:pPr>
              <w:jc w:val="center"/>
              <w:ind w:right="3021"/>
              <w:spacing w:after="0"/>
              <w:rPr>
                <w:sz w:val="20"/>
                <w:szCs w:val="20"/>
                <w:color w:val="auto"/>
              </w:rPr>
            </w:pPr>
            <w:r>
              <w:rPr>
                <w:rFonts w:ascii="Times New Roman" w:cs="Times New Roman" w:eastAsia="Times New Roman" w:hAnsi="Times New Roman"/>
                <w:sz w:val="18"/>
                <w:szCs w:val="18"/>
                <w:b w:val="1"/>
                <w:bCs w:val="1"/>
                <w:color w:val="auto"/>
                <w:w w:val="96"/>
              </w:rPr>
              <w:t>EXHIBITS</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20" w:type="dxa"/>
            <w:vAlign w:val="bottom"/>
            <w:vMerge w:val="restart"/>
          </w:tcPr>
          <w:p>
            <w:pPr>
              <w:jc w:val="center"/>
              <w:ind w:right="3001"/>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020" w:type="dxa"/>
            <w:vAlign w:val="bottom"/>
            <w:gridSpan w:val="2"/>
            <w:vMerge w:val="continue"/>
          </w:tcPr>
          <w:p>
            <w:pPr>
              <w:spacing w:after="0"/>
              <w:rPr>
                <w:sz w:val="13"/>
                <w:szCs w:val="13"/>
                <w:color w:val="auto"/>
              </w:rPr>
            </w:pPr>
          </w:p>
        </w:tc>
        <w:tc>
          <w:tcPr>
            <w:tcW w:w="4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Form</w:t>
            </w:r>
          </w:p>
        </w:tc>
        <w:tc>
          <w:tcPr>
            <w:tcW w:w="8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640" w:type="dxa"/>
            <w:vAlign w:val="bottom"/>
            <w:gridSpan w:val="3"/>
          </w:tcPr>
          <w:p>
            <w:pPr>
              <w:ind w:left="400"/>
              <w:spacing w:after="0" w:line="151" w:lineRule="exact"/>
              <w:rPr>
                <w:sz w:val="20"/>
                <w:szCs w:val="20"/>
                <w:color w:val="auto"/>
              </w:rPr>
            </w:pPr>
            <w:r>
              <w:rPr>
                <w:rFonts w:ascii="Times New Roman" w:cs="Times New Roman" w:eastAsia="Times New Roman" w:hAnsi="Times New Roman"/>
                <w:sz w:val="14"/>
                <w:szCs w:val="14"/>
                <w:b w:val="1"/>
                <w:bCs w:val="1"/>
                <w:color w:val="auto"/>
              </w:rPr>
              <w:t>Date of Filing</w:t>
            </w:r>
          </w:p>
        </w:tc>
        <w:tc>
          <w:tcPr>
            <w:tcW w:w="9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33"/>
        </w:trPr>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7135495" cy="3765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5495" cy="3765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3.1</w:t>
            </w:r>
          </w:p>
        </w:tc>
        <w:tc>
          <w:tcPr>
            <w:tcW w:w="4580" w:type="dxa"/>
            <w:vAlign w:val="bottom"/>
            <w:gridSpan w:val="10"/>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Restated Certificate of Incorporation of the Company as filed</w:t>
              </w:r>
            </w:hyperlink>
          </w:p>
        </w:tc>
      </w:tr>
      <w:tr>
        <w:trPr>
          <w:trHeight w:val="151"/>
        </w:trPr>
        <w:tc>
          <w:tcPr>
            <w:tcW w:w="1020" w:type="dxa"/>
            <w:vAlign w:val="bottom"/>
          </w:tcPr>
          <w:p>
            <w:pPr>
              <w:spacing w:after="0"/>
              <w:rPr>
                <w:sz w:val="13"/>
                <w:szCs w:val="13"/>
                <w:color w:val="auto"/>
              </w:rPr>
            </w:pPr>
          </w:p>
        </w:tc>
        <w:tc>
          <w:tcPr>
            <w:tcW w:w="430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with the Secretary of State of the State of Delaware, effective</w:t>
              </w:r>
            </w:hyperlink>
          </w:p>
        </w:tc>
        <w:tc>
          <w:tcPr>
            <w:tcW w:w="280" w:type="dxa"/>
            <w:vAlign w:val="bottom"/>
            <w:gridSpan w:val="4"/>
          </w:tcPr>
          <w:p>
            <w:pPr>
              <w:ind w:left="60"/>
              <w:spacing w:after="0" w:line="15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as</w:t>
              </w:r>
            </w:hyperlink>
          </w:p>
        </w:tc>
      </w:tr>
      <w:tr>
        <w:trPr>
          <w:trHeight w:val="151"/>
        </w:trPr>
        <w:tc>
          <w:tcPr>
            <w:tcW w:w="1020" w:type="dxa"/>
            <w:vAlign w:val="bottom"/>
          </w:tcPr>
          <w:p>
            <w:pPr>
              <w:spacing w:after="0"/>
              <w:rPr>
                <w:sz w:val="13"/>
                <w:szCs w:val="13"/>
                <w:color w:val="auto"/>
              </w:rPr>
            </w:pPr>
          </w:p>
        </w:tc>
        <w:tc>
          <w:tcPr>
            <w:tcW w:w="4500" w:type="dxa"/>
            <w:vAlign w:val="bottom"/>
            <w:tcBorders>
              <w:top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of December 31, 2011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3"/>
        </w:trPr>
        <w:tc>
          <w:tcPr>
            <w:tcW w:w="10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3.2</w:t>
            </w:r>
          </w:p>
        </w:tc>
        <w:tc>
          <w:tcPr>
            <w:tcW w:w="39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6"/>
              </w:rPr>
            </w:pPr>
            <w:hyperlink r:id="rId98">
              <w:r>
                <w:rPr>
                  <w:rFonts w:ascii="Times New Roman" w:cs="Times New Roman" w:eastAsia="Times New Roman" w:hAnsi="Times New Roman"/>
                  <w:sz w:val="18"/>
                  <w:szCs w:val="18"/>
                  <w:color w:val="0000FF"/>
                  <w:w w:val="96"/>
                </w:rPr>
                <w:t>Certificate of Merger, effective as of December 31, 2011</w:t>
              </w:r>
            </w:hyperlink>
          </w:p>
        </w:tc>
        <w:tc>
          <w:tcPr>
            <w:tcW w:w="600" w:type="dxa"/>
            <w:vAlign w:val="bottom"/>
            <w:gridSpan w:val="6"/>
          </w:tcPr>
          <w:p>
            <w:pPr>
              <w:spacing w:after="0"/>
              <w:rPr>
                <w:sz w:val="24"/>
                <w:szCs w:val="24"/>
                <w:color w:val="auto"/>
              </w:rPr>
            </w:pPr>
          </w:p>
        </w:tc>
      </w:tr>
      <w:tr>
        <w:trPr>
          <w:trHeight w:val="309"/>
        </w:trPr>
        <w:tc>
          <w:tcPr>
            <w:tcW w:w="10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3.3</w:t>
            </w:r>
          </w:p>
        </w:tc>
        <w:tc>
          <w:tcPr>
            <w:tcW w:w="4580" w:type="dxa"/>
            <w:vAlign w:val="bottom"/>
            <w:gridSpan w:val="10"/>
          </w:tcPr>
          <w:p>
            <w:pPr>
              <w:spacing w:after="0"/>
              <w:rPr>
                <w:rFonts w:ascii="Times New Roman" w:cs="Times New Roman" w:eastAsia="Times New Roman" w:hAnsi="Times New Roman"/>
                <w:sz w:val="18"/>
                <w:szCs w:val="18"/>
                <w:color w:val="0000FF"/>
                <w:w w:val="97"/>
              </w:rPr>
            </w:pPr>
            <w:hyperlink r:id="rId99">
              <w:r>
                <w:rPr>
                  <w:rFonts w:ascii="Times New Roman" w:cs="Times New Roman" w:eastAsia="Times New Roman" w:hAnsi="Times New Roman"/>
                  <w:sz w:val="18"/>
                  <w:szCs w:val="18"/>
                  <w:color w:val="0000FF"/>
                  <w:w w:val="97"/>
                </w:rPr>
                <w:t>Amended and Restated By-Laws of the Company, effective as of</w:t>
              </w:r>
            </w:hyperlink>
          </w:p>
        </w:tc>
      </w:tr>
      <w:tr>
        <w:trPr>
          <w:trHeight w:val="151"/>
        </w:trPr>
        <w:tc>
          <w:tcPr>
            <w:tcW w:w="1020" w:type="dxa"/>
            <w:vAlign w:val="bottom"/>
          </w:tcPr>
          <w:p>
            <w:pPr>
              <w:spacing w:after="0"/>
              <w:rPr>
                <w:sz w:val="13"/>
                <w:szCs w:val="13"/>
                <w:color w:val="auto"/>
              </w:rPr>
            </w:pPr>
          </w:p>
        </w:tc>
        <w:tc>
          <w:tcPr>
            <w:tcW w:w="112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January 3, 2025</w:t>
              </w:r>
            </w:hyperlink>
          </w:p>
        </w:tc>
        <w:tc>
          <w:tcPr>
            <w:tcW w:w="34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r>
      <w:tr>
        <w:trPr>
          <w:trHeight w:val="323"/>
        </w:trPr>
        <w:tc>
          <w:tcPr>
            <w:tcW w:w="10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4.1</w:t>
            </w:r>
          </w:p>
        </w:tc>
        <w:tc>
          <w:tcPr>
            <w:tcW w:w="4580" w:type="dxa"/>
            <w:vAlign w:val="bottom"/>
            <w:gridSpan w:val="10"/>
          </w:tcPr>
          <w:p>
            <w:pPr>
              <w:spacing w:after="0"/>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Supplemental Indenture No. 3, dated as of September 14, 2026,</w:t>
              </w:r>
            </w:hyperlink>
          </w:p>
        </w:tc>
      </w:tr>
      <w:tr>
        <w:trPr>
          <w:trHeight w:val="151"/>
        </w:trPr>
        <w:tc>
          <w:tcPr>
            <w:tcW w:w="1020" w:type="dxa"/>
            <w:vAlign w:val="bottom"/>
          </w:tcPr>
          <w:p>
            <w:pPr>
              <w:spacing w:after="0"/>
              <w:rPr>
                <w:sz w:val="13"/>
                <w:szCs w:val="13"/>
                <w:color w:val="auto"/>
              </w:rPr>
            </w:pPr>
          </w:p>
        </w:tc>
        <w:tc>
          <w:tcPr>
            <w:tcW w:w="4460" w:type="dxa"/>
            <w:vAlign w:val="bottom"/>
            <w:tcBorders>
              <w:top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by and between American Tower Corporation and U.S. Bank</w:t>
              </w:r>
            </w:hyperlink>
          </w:p>
        </w:tc>
        <w:tc>
          <w:tcPr>
            <w:tcW w:w="120" w:type="dxa"/>
            <w:vAlign w:val="bottom"/>
            <w:gridSpan w:val="3"/>
          </w:tcPr>
          <w:p>
            <w:pPr>
              <w:spacing w:after="0"/>
              <w:rPr>
                <w:sz w:val="13"/>
                <w:szCs w:val="13"/>
                <w:color w:val="auto"/>
              </w:rPr>
            </w:pPr>
          </w:p>
        </w:tc>
      </w:tr>
      <w:tr>
        <w:trPr>
          <w:trHeight w:val="151"/>
        </w:trPr>
        <w:tc>
          <w:tcPr>
            <w:tcW w:w="1020" w:type="dxa"/>
            <w:vAlign w:val="bottom"/>
          </w:tcPr>
          <w:p>
            <w:pPr>
              <w:spacing w:after="0"/>
              <w:rPr>
                <w:sz w:val="13"/>
                <w:szCs w:val="13"/>
                <w:color w:val="auto"/>
              </w:rPr>
            </w:pPr>
          </w:p>
        </w:tc>
        <w:tc>
          <w:tcPr>
            <w:tcW w:w="4280" w:type="dxa"/>
            <w:vAlign w:val="bottom"/>
            <w:tcBorders>
              <w:top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Trust Company, National Association, as trustee</w:t>
              </w:r>
            </w:hyperlink>
          </w:p>
        </w:tc>
        <w:tc>
          <w:tcPr>
            <w:tcW w:w="300" w:type="dxa"/>
            <w:vAlign w:val="bottom"/>
            <w:gridSpan w:val="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-676910</wp:posOffset>
            </wp:positionV>
            <wp:extent cx="7135495" cy="267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5495" cy="267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001-14195</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January 3, 2012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001-14195</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January 3, 2012</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5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001-14195</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January 7, 2025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49"/>
        </w:trPr>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14,</w:t>
            </w:r>
          </w:p>
        </w:tc>
        <w:tc>
          <w:tcPr>
            <w:tcW w:w="480" w:type="dxa"/>
            <w:vAlign w:val="bottom"/>
          </w:tcPr>
          <w:p>
            <w:pPr>
              <w:spacing w:after="0"/>
              <w:rPr>
                <w:sz w:val="24"/>
                <w:szCs w:val="24"/>
                <w:color w:val="auto"/>
              </w:rPr>
            </w:pPr>
          </w:p>
        </w:tc>
      </w:tr>
      <w:tr>
        <w:trPr>
          <w:trHeight w:val="23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001-14195</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2026</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84" w:lineRule="exact"/>
        <w:rPr>
          <w:sz w:val="20"/>
          <w:szCs w:val="20"/>
          <w:color w:val="auto"/>
        </w:rPr>
      </w:pPr>
    </w:p>
    <w:p>
      <w:pPr>
        <w:sectPr>
          <w:pgSz w:w="11900" w:h="16838" w:orient="portrait"/>
          <w:cols w:equalWidth="0" w:num="2">
            <w:col w:w="5600" w:space="660"/>
            <w:col w:w="4980"/>
          </w:cols>
          <w:pgMar w:left="320" w:top="112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w:t>
            </w:r>
          </w:p>
        </w:tc>
        <w:tc>
          <w:tcPr>
            <w:tcW w:w="148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7"/>
              </w:rPr>
              <w:t>Filed</w:t>
            </w:r>
          </w:p>
        </w:tc>
        <w:tc>
          <w:tcPr>
            <w:tcW w:w="1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51"/>
        </w:trPr>
        <w:tc>
          <w:tcPr>
            <w:tcW w:w="104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4"/>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2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jc w:val="center"/>
              <w:ind w:right="113"/>
              <w:spacing w:after="0" w:line="152" w:lineRule="exact"/>
              <w:rPr>
                <w:sz w:val="20"/>
                <w:szCs w:val="20"/>
                <w:color w:val="auto"/>
              </w:rPr>
            </w:pPr>
            <w:r>
              <w:rPr>
                <w:rFonts w:ascii="Times New Roman" w:cs="Times New Roman" w:eastAsia="Times New Roman" w:hAnsi="Times New Roman"/>
                <w:sz w:val="16"/>
                <w:szCs w:val="16"/>
                <w:color w:val="auto"/>
              </w:rPr>
              <w:t>herewith as</w:t>
            </w:r>
          </w:p>
        </w:tc>
        <w:tc>
          <w:tcPr>
            <w:tcW w:w="122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CCEEFF"/>
            </w:tcBorders>
            <w:shd w:val="clear" w:color="auto" w:fill="CCEEFF"/>
          </w:tcPr>
          <w:p>
            <w:pPr>
              <w:spacing w:after="0"/>
              <w:rPr>
                <w:sz w:val="13"/>
                <w:szCs w:val="13"/>
                <w:color w:val="auto"/>
              </w:rPr>
            </w:pPr>
          </w:p>
        </w:tc>
      </w:tr>
      <w:tr>
        <w:trPr>
          <w:trHeight w:val="204"/>
        </w:trPr>
        <w:tc>
          <w:tcPr>
            <w:tcW w:w="104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0000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jc w:val="center"/>
              <w:ind w:right="133"/>
              <w:spacing w:after="0" w:line="204" w:lineRule="exact"/>
              <w:rPr>
                <w:sz w:val="20"/>
                <w:szCs w:val="20"/>
                <w:color w:val="auto"/>
              </w:rPr>
            </w:pPr>
            <w:r>
              <w:rPr>
                <w:rFonts w:ascii="Times New Roman" w:cs="Times New Roman" w:eastAsia="Times New Roman" w:hAnsi="Times New Roman"/>
                <w:sz w:val="18"/>
                <w:szCs w:val="18"/>
                <w:color w:val="auto"/>
                <w:w w:val="96"/>
              </w:rPr>
              <w:t>Exhibit 31.1</w:t>
            </w:r>
          </w:p>
        </w:tc>
        <w:tc>
          <w:tcPr>
            <w:tcW w:w="1220" w:type="dxa"/>
            <w:vAlign w:val="bottom"/>
            <w:tcBorders>
              <w:top w:val="single" w:sz="8" w:color="CCEEFF"/>
            </w:tcBorders>
            <w:shd w:val="clear" w:color="auto" w:fill="CCEEFF"/>
          </w:tcPr>
          <w:p>
            <w:pPr>
              <w:ind w:left="40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shd w:val="clear" w:color="auto" w:fill="CCEEFF"/>
          </w:tcPr>
          <w:p>
            <w:pPr>
              <w:ind w:left="64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shd w:val="clear" w:color="auto" w:fill="CCEEFF"/>
          </w:tcPr>
          <w:p>
            <w:pPr>
              <w:ind w:left="500"/>
              <w:spacing w:after="0" w:line="204" w:lineRule="exact"/>
              <w:rPr>
                <w:sz w:val="20"/>
                <w:szCs w:val="20"/>
                <w:color w:val="auto"/>
              </w:rPr>
            </w:pPr>
            <w:r>
              <w:rPr>
                <w:rFonts w:ascii="Times New Roman" w:cs="Times New Roman" w:eastAsia="Times New Roman" w:hAnsi="Times New Roman"/>
                <w:sz w:val="18"/>
                <w:szCs w:val="18"/>
                <w:color w:val="auto"/>
              </w:rPr>
              <w:t>—</w:t>
            </w:r>
          </w:p>
        </w:tc>
      </w:tr>
      <w:tr>
        <w:trPr>
          <w:trHeight w:val="29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w:t>
            </w:r>
          </w:p>
        </w:tc>
        <w:tc>
          <w:tcPr>
            <w:tcW w:w="148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Filed</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51"/>
        </w:trPr>
        <w:tc>
          <w:tcPr>
            <w:tcW w:w="1040" w:type="dxa"/>
            <w:vAlign w:val="bottom"/>
          </w:tcPr>
          <w:p>
            <w:pPr>
              <w:spacing w:after="0"/>
              <w:rPr>
                <w:sz w:val="13"/>
                <w:szCs w:val="13"/>
                <w:color w:val="auto"/>
              </w:rPr>
            </w:pPr>
          </w:p>
        </w:tc>
        <w:tc>
          <w:tcPr>
            <w:tcW w:w="4460" w:type="dxa"/>
            <w:vAlign w:val="bottom"/>
            <w:tcBorders>
              <w:top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260" w:type="dxa"/>
            <w:vAlign w:val="bottom"/>
            <w:gridSpan w:val="2"/>
          </w:tcPr>
          <w:p>
            <w:pPr>
              <w:spacing w:after="0"/>
              <w:rPr>
                <w:sz w:val="13"/>
                <w:szCs w:val="13"/>
                <w:color w:val="auto"/>
              </w:rPr>
            </w:pPr>
          </w:p>
        </w:tc>
        <w:tc>
          <w:tcPr>
            <w:tcW w:w="1480" w:type="dxa"/>
            <w:vAlign w:val="bottom"/>
          </w:tcPr>
          <w:p>
            <w:pPr>
              <w:jc w:val="center"/>
              <w:ind w:right="113"/>
              <w:spacing w:after="0" w:line="152" w:lineRule="exact"/>
              <w:rPr>
                <w:sz w:val="20"/>
                <w:szCs w:val="20"/>
                <w:color w:val="auto"/>
              </w:rPr>
            </w:pPr>
            <w:r>
              <w:rPr>
                <w:rFonts w:ascii="Times New Roman" w:cs="Times New Roman" w:eastAsia="Times New Roman" w:hAnsi="Times New Roman"/>
                <w:sz w:val="16"/>
                <w:szCs w:val="16"/>
                <w:color w:val="auto"/>
              </w:rPr>
              <w:t>herewith as</w:t>
            </w:r>
          </w:p>
        </w:tc>
        <w:tc>
          <w:tcPr>
            <w:tcW w:w="1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8"/>
        </w:trPr>
        <w:tc>
          <w:tcPr>
            <w:tcW w:w="1040" w:type="dxa"/>
            <w:vAlign w:val="bottom"/>
          </w:tcPr>
          <w:p>
            <w:pPr>
              <w:spacing w:after="0"/>
              <w:rPr>
                <w:sz w:val="18"/>
                <w:szCs w:val="18"/>
                <w:color w:val="auto"/>
              </w:rPr>
            </w:pPr>
          </w:p>
        </w:tc>
        <w:tc>
          <w:tcPr>
            <w:tcW w:w="2440" w:type="dxa"/>
            <w:vAlign w:val="bottom"/>
            <w:tcBorders>
              <w:top w:val="single" w:sz="8" w:color="0000FF"/>
            </w:tcBorders>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6"/>
              </w:rPr>
              <w:t>Exhibit 31.2</w:t>
            </w: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88"/>
        </w:trPr>
        <w:tc>
          <w:tcPr>
            <w:tcW w:w="104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198"/>
        </w:trPr>
        <w:tc>
          <w:tcPr>
            <w:tcW w:w="1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32</w:t>
            </w:r>
          </w:p>
        </w:tc>
        <w:tc>
          <w:tcPr>
            <w:tcW w:w="472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0000FF"/>
              </w:rPr>
              <w:t>Certifications filed pursuant to 18. U.S.C. Section 1350</w:t>
            </w:r>
          </w:p>
        </w:tc>
        <w:tc>
          <w:tcPr>
            <w:tcW w:w="1480" w:type="dxa"/>
            <w:vAlign w:val="bottom"/>
            <w:shd w:val="clear" w:color="auto" w:fill="CCEEFF"/>
          </w:tcPr>
          <w:p>
            <w:pPr>
              <w:jc w:val="center"/>
              <w:ind w:right="113"/>
              <w:spacing w:after="0" w:line="198" w:lineRule="exact"/>
              <w:rPr>
                <w:sz w:val="20"/>
                <w:szCs w:val="20"/>
                <w:color w:val="auto"/>
              </w:rPr>
            </w:pPr>
            <w:r>
              <w:rPr>
                <w:rFonts w:ascii="Times New Roman" w:cs="Times New Roman" w:eastAsia="Times New Roman" w:hAnsi="Times New Roman"/>
                <w:sz w:val="18"/>
                <w:szCs w:val="18"/>
                <w:color w:val="auto"/>
                <w:w w:val="97"/>
              </w:rPr>
              <w:t>Filed</w:t>
            </w:r>
          </w:p>
        </w:tc>
        <w:tc>
          <w:tcPr>
            <w:tcW w:w="1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38"/>
        </w:trPr>
        <w:tc>
          <w:tcPr>
            <w:tcW w:w="1040" w:type="dxa"/>
            <w:vAlign w:val="bottom"/>
            <w:tcBorders>
              <w:top w:val="single" w:sz="8" w:color="CCEEFF"/>
            </w:tcBorders>
            <w:shd w:val="clear" w:color="auto" w:fill="CCEEFF"/>
          </w:tcPr>
          <w:p>
            <w:pPr>
              <w:spacing w:after="0"/>
              <w:rPr>
                <w:sz w:val="12"/>
                <w:szCs w:val="12"/>
                <w:color w:val="auto"/>
              </w:rPr>
            </w:pPr>
          </w:p>
        </w:tc>
        <w:tc>
          <w:tcPr>
            <w:tcW w:w="2440" w:type="dxa"/>
            <w:vAlign w:val="bottom"/>
            <w:tcBorders>
              <w:top w:val="single" w:sz="8" w:color="0000FF"/>
            </w:tcBorders>
            <w:shd w:val="clear" w:color="auto" w:fill="CCEEFF"/>
          </w:tcPr>
          <w:p>
            <w:pPr>
              <w:spacing w:after="0"/>
              <w:rPr>
                <w:sz w:val="12"/>
                <w:szCs w:val="12"/>
                <w:color w:val="auto"/>
              </w:rPr>
            </w:pPr>
          </w:p>
        </w:tc>
        <w:tc>
          <w:tcPr>
            <w:tcW w:w="146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jc w:val="center"/>
              <w:ind w:right="113"/>
              <w:spacing w:after="0" w:line="138" w:lineRule="exact"/>
              <w:rPr>
                <w:sz w:val="20"/>
                <w:szCs w:val="20"/>
                <w:color w:val="auto"/>
              </w:rPr>
            </w:pPr>
            <w:r>
              <w:rPr>
                <w:rFonts w:ascii="Times New Roman" w:cs="Times New Roman" w:eastAsia="Times New Roman" w:hAnsi="Times New Roman"/>
                <w:sz w:val="16"/>
                <w:szCs w:val="16"/>
                <w:color w:val="auto"/>
              </w:rPr>
              <w:t>herewith as</w:t>
            </w:r>
          </w:p>
        </w:tc>
        <w:tc>
          <w:tcPr>
            <w:tcW w:w="122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CCEEFF"/>
            </w:tcBorders>
            <w:shd w:val="clear" w:color="auto" w:fill="CCEEFF"/>
          </w:tcPr>
          <w:p>
            <w:pPr>
              <w:spacing w:after="0"/>
              <w:rPr>
                <w:sz w:val="12"/>
                <w:szCs w:val="12"/>
                <w:color w:val="auto"/>
              </w:rPr>
            </w:pPr>
          </w:p>
        </w:tc>
      </w:tr>
      <w:tr>
        <w:trPr>
          <w:trHeight w:val="237"/>
        </w:trPr>
        <w:tc>
          <w:tcPr>
            <w:tcW w:w="104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w w:val="97"/>
              </w:rPr>
              <w:t>Exhibit 32</w:t>
            </w:r>
          </w:p>
        </w:tc>
        <w:tc>
          <w:tcPr>
            <w:tcW w:w="1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32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480" w:type="dxa"/>
            <w:vAlign w:val="bottom"/>
          </w:tcPr>
          <w:p>
            <w:pPr>
              <w:spacing w:after="0"/>
              <w:rPr>
                <w:sz w:val="24"/>
                <w:szCs w:val="24"/>
                <w:color w:val="auto"/>
              </w:rPr>
            </w:pP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8"/>
        </w:trPr>
        <w:tc>
          <w:tcPr>
            <w:tcW w:w="104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85"/>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148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7"/>
              </w:rPr>
              <w:t>Filed</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1"/>
        </w:trPr>
        <w:tc>
          <w:tcPr>
            <w:tcW w:w="10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ind w:right="113"/>
              <w:spacing w:after="0" w:line="171" w:lineRule="exact"/>
              <w:rPr>
                <w:sz w:val="20"/>
                <w:szCs w:val="20"/>
                <w:color w:val="auto"/>
              </w:rPr>
            </w:pPr>
            <w:r>
              <w:rPr>
                <w:rFonts w:ascii="Times New Roman" w:cs="Times New Roman" w:eastAsia="Times New Roman" w:hAnsi="Times New Roman"/>
                <w:sz w:val="18"/>
                <w:szCs w:val="18"/>
                <w:color w:val="auto"/>
                <w:w w:val="96"/>
              </w:rPr>
              <w:t>herewith as</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28"/>
        </w:trPr>
        <w:tc>
          <w:tcPr>
            <w:tcW w:w="10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6"/>
              </w:rPr>
              <w:t>Exhibit 101</w:t>
            </w:r>
          </w:p>
        </w:tc>
        <w:tc>
          <w:tcPr>
            <w:tcW w:w="1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01"/>
        </w:trPr>
        <w:tc>
          <w:tcPr>
            <w:tcW w:w="10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720" w:type="dxa"/>
            <w:vAlign w:val="bottom"/>
            <w:gridSpan w:val="5"/>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4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37"/>
        </w:trPr>
        <w:tc>
          <w:tcPr>
            <w:tcW w:w="1040" w:type="dxa"/>
            <w:vAlign w:val="bottom"/>
            <w:shd w:val="clear" w:color="auto" w:fill="CCEEFF"/>
          </w:tcPr>
          <w:p>
            <w:pPr>
              <w:spacing w:after="0"/>
              <w:rPr>
                <w:sz w:val="20"/>
                <w:szCs w:val="20"/>
                <w:color w:val="auto"/>
              </w:rPr>
            </w:pPr>
          </w:p>
        </w:tc>
        <w:tc>
          <w:tcPr>
            <w:tcW w:w="4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48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59" w:name="page60"/>
    <w:bookmarkEnd w:id="59"/>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MERICAN</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OWER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307" w:lineRule="exact"/>
        <w:rPr>
          <w:sz w:val="20"/>
          <w:szCs w:val="20"/>
          <w:color w:val="auto"/>
        </w:rPr>
      </w:pPr>
    </w:p>
    <w:p>
      <w:pPr>
        <w:ind w:left="480"/>
        <w:spacing w:after="0"/>
        <w:tabs>
          <w:tab w:leader="none" w:pos="6960" w:val="left"/>
          <w:tab w:leader="none" w:pos="8360" w:val="left"/>
          <w:tab w:leader="none" w:pos="864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5"/>
          <w:szCs w:val="15"/>
          <w:color w:val="auto"/>
        </w:rPr>
        <w:t>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13970</wp:posOffset>
            </wp:positionV>
            <wp:extent cx="24593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2459355" cy="8255"/>
                    </a:xfrm>
                    <a:prstGeom prst="rect">
                      <a:avLst/>
                    </a:prstGeom>
                    <a:noFill/>
                  </pic:spPr>
                </pic:pic>
              </a:graphicData>
            </a:graphic>
          </wp:anchor>
        </w:drawing>
      </w:r>
    </w:p>
    <w:p>
      <w:pPr>
        <w:spacing w:after="0" w:line="17"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Rodney M. Smith</w:t>
      </w:r>
    </w:p>
    <w:p>
      <w:pPr>
        <w:jc w:val="center"/>
        <w:ind w:left="7360"/>
        <w:spacing w:after="0" w:line="235" w:lineRule="auto"/>
        <w:rPr>
          <w:sz w:val="20"/>
          <w:szCs w:val="20"/>
          <w:color w:val="auto"/>
        </w:rPr>
      </w:pPr>
      <w:r>
        <w:rPr>
          <w:rFonts w:ascii="Times New Roman" w:cs="Times New Roman" w:eastAsia="Times New Roman" w:hAnsi="Times New Roman"/>
          <w:sz w:val="13"/>
          <w:szCs w:val="13"/>
          <w:b w:val="1"/>
          <w:bCs w:val="1"/>
          <w:color w:val="auto"/>
        </w:rPr>
        <w:t>Executive Vice President, Chief Financial Officer and Treasurer</w:t>
      </w: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440" w:right="35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SECTION 302 OF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O. Vondran, certify that:</w:t>
      </w:r>
    </w:p>
    <w:p>
      <w:pPr>
        <w:spacing w:after="0" w:line="109" w:lineRule="exact"/>
        <w:rPr>
          <w:sz w:val="20"/>
          <w:szCs w:val="20"/>
          <w:color w:val="auto"/>
        </w:rPr>
      </w:pPr>
    </w:p>
    <w:p>
      <w:pPr>
        <w:ind w:left="640" w:hanging="635"/>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Tower Corporation;</w:t>
      </w:r>
    </w:p>
    <w:p>
      <w:pPr>
        <w:spacing w:after="0" w:line="109" w:lineRule="exact"/>
        <w:rPr>
          <w:rFonts w:ascii="Times New Roman" w:cs="Times New Roman" w:eastAsia="Times New Roman" w:hAnsi="Times New Roman"/>
          <w:sz w:val="18"/>
          <w:szCs w:val="18"/>
          <w:color w:val="auto"/>
        </w:rPr>
      </w:pPr>
    </w:p>
    <w:p>
      <w:pPr>
        <w:jc w:val="both"/>
        <w:ind w:left="640" w:right="380" w:hanging="635"/>
        <w:spacing w:after="0" w:line="256"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40" w:right="360" w:hanging="635"/>
        <w:spacing w:after="0" w:line="269"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Times New Roman" w:cs="Times New Roman" w:eastAsia="Times New Roman" w:hAnsi="Times New Roman"/>
          <w:sz w:val="18"/>
          <w:szCs w:val="18"/>
          <w:color w:val="auto"/>
        </w:rPr>
      </w:pPr>
    </w:p>
    <w:p>
      <w:pPr>
        <w:ind w:left="640" w:right="380" w:hanging="635"/>
        <w:spacing w:after="0" w:line="256"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960" w:right="320" w:hanging="322"/>
        <w:spacing w:after="0" w:line="256" w:lineRule="auto"/>
        <w:tabs>
          <w:tab w:leader="none" w:pos="9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960" w:right="20" w:hanging="322"/>
        <w:spacing w:after="0" w:line="256" w:lineRule="auto"/>
        <w:tabs>
          <w:tab w:leader="none" w:pos="9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960" w:right="800" w:hanging="322"/>
        <w:spacing w:after="0" w:line="332" w:lineRule="auto"/>
        <w:tabs>
          <w:tab w:leader="none" w:pos="957"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960" w:right="40" w:hanging="322"/>
        <w:spacing w:after="0" w:line="256" w:lineRule="auto"/>
        <w:tabs>
          <w:tab w:leader="none" w:pos="9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640" w:right="280" w:hanging="635"/>
        <w:spacing w:after="0" w:line="269"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Times New Roman" w:cs="Times New Roman" w:eastAsia="Times New Roman" w:hAnsi="Times New Roman"/>
          <w:sz w:val="18"/>
          <w:szCs w:val="18"/>
          <w:color w:val="auto"/>
        </w:rPr>
      </w:pPr>
    </w:p>
    <w:p>
      <w:pPr>
        <w:ind w:left="960" w:right="240" w:hanging="322"/>
        <w:spacing w:after="0" w:line="269" w:lineRule="auto"/>
        <w:tabs>
          <w:tab w:leader="none" w:pos="9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Times New Roman" w:cs="Times New Roman" w:eastAsia="Times New Roman" w:hAnsi="Times New Roman"/>
          <w:sz w:val="18"/>
          <w:szCs w:val="18"/>
          <w:color w:val="auto"/>
        </w:rPr>
      </w:pPr>
    </w:p>
    <w:p>
      <w:pPr>
        <w:ind w:left="960" w:right="200" w:hanging="322"/>
        <w:spacing w:after="0" w:line="269" w:lineRule="auto"/>
        <w:tabs>
          <w:tab w:leader="none" w:pos="9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980"/>
        <w:spacing w:after="0"/>
        <w:tabs>
          <w:tab w:leader="none" w:pos="6360" w:val="left"/>
          <w:tab w:leader="none" w:pos="7640" w:val="left"/>
          <w:tab w:leader="none" w:pos="800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STEVEN O. VONDRAN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22225</wp:posOffset>
            </wp:positionV>
            <wp:extent cx="25431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2543175" cy="8255"/>
                    </a:xfrm>
                    <a:prstGeom prst="rect">
                      <a:avLst/>
                    </a:prstGeom>
                    <a:noFill/>
                  </pic:spPr>
                </pic:pic>
              </a:graphicData>
            </a:graphic>
          </wp:anchor>
        </w:drawing>
      </w:r>
    </w:p>
    <w:p>
      <w:pPr>
        <w:spacing w:after="0" w:line="36"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color w:val="auto"/>
        </w:rPr>
        <w:t>Steven O. Vondran</w:t>
      </w:r>
    </w:p>
    <w:p>
      <w:pPr>
        <w:spacing w:after="0" w:line="30"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Rodney M. Smith, certify that:</w:t>
      </w:r>
    </w:p>
    <w:p>
      <w:pPr>
        <w:spacing w:after="0" w:line="241" w:lineRule="exact"/>
        <w:rPr>
          <w:sz w:val="20"/>
          <w:szCs w:val="20"/>
          <w:color w:val="auto"/>
        </w:rPr>
      </w:pPr>
    </w:p>
    <w:p>
      <w:pPr>
        <w:ind w:left="640" w:hanging="635"/>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Tower Corporation;</w:t>
      </w:r>
    </w:p>
    <w:p>
      <w:pPr>
        <w:spacing w:after="0" w:line="109" w:lineRule="exact"/>
        <w:rPr>
          <w:rFonts w:ascii="Times New Roman" w:cs="Times New Roman" w:eastAsia="Times New Roman" w:hAnsi="Times New Roman"/>
          <w:sz w:val="18"/>
          <w:szCs w:val="18"/>
          <w:color w:val="auto"/>
        </w:rPr>
      </w:pPr>
    </w:p>
    <w:p>
      <w:pPr>
        <w:jc w:val="both"/>
        <w:ind w:left="640" w:right="380" w:hanging="635"/>
        <w:spacing w:after="0" w:line="256"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40" w:right="360" w:hanging="635"/>
        <w:spacing w:after="0" w:line="269"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Times New Roman" w:cs="Times New Roman" w:eastAsia="Times New Roman" w:hAnsi="Times New Roman"/>
          <w:sz w:val="18"/>
          <w:szCs w:val="18"/>
          <w:color w:val="auto"/>
        </w:rPr>
      </w:pPr>
    </w:p>
    <w:p>
      <w:pPr>
        <w:ind w:left="640" w:right="380" w:hanging="635"/>
        <w:spacing w:after="0" w:line="256"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ind w:left="960" w:right="320" w:hanging="322"/>
        <w:spacing w:after="0" w:line="256" w:lineRule="auto"/>
        <w:tabs>
          <w:tab w:leader="none" w:pos="9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960" w:right="20" w:hanging="322"/>
        <w:spacing w:after="0" w:line="256" w:lineRule="auto"/>
        <w:tabs>
          <w:tab w:leader="none" w:pos="9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jc w:val="both"/>
        <w:ind w:left="960" w:right="800" w:hanging="322"/>
        <w:spacing w:after="0" w:line="332" w:lineRule="auto"/>
        <w:tabs>
          <w:tab w:leader="none" w:pos="957"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960" w:right="40" w:hanging="322"/>
        <w:spacing w:after="0" w:line="256" w:lineRule="auto"/>
        <w:tabs>
          <w:tab w:leader="none" w:pos="9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640" w:right="280" w:hanging="635"/>
        <w:spacing w:after="0" w:line="269"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Times New Roman" w:cs="Times New Roman" w:eastAsia="Times New Roman" w:hAnsi="Times New Roman"/>
          <w:sz w:val="18"/>
          <w:szCs w:val="18"/>
          <w:color w:val="auto"/>
        </w:rPr>
      </w:pPr>
    </w:p>
    <w:p>
      <w:pPr>
        <w:ind w:left="960" w:right="240" w:hanging="322"/>
        <w:spacing w:after="0" w:line="269" w:lineRule="auto"/>
        <w:tabs>
          <w:tab w:leader="none" w:pos="9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Times New Roman" w:cs="Times New Roman" w:eastAsia="Times New Roman" w:hAnsi="Times New Roman"/>
          <w:sz w:val="18"/>
          <w:szCs w:val="18"/>
          <w:color w:val="auto"/>
        </w:rPr>
      </w:pPr>
    </w:p>
    <w:p>
      <w:pPr>
        <w:ind w:left="960" w:right="200" w:hanging="322"/>
        <w:spacing w:after="0" w:line="269" w:lineRule="auto"/>
        <w:tabs>
          <w:tab w:leader="none" w:pos="9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980"/>
        <w:spacing w:after="0"/>
        <w:tabs>
          <w:tab w:leader="none" w:pos="6960" w:val="left"/>
          <w:tab w:leader="none" w:pos="8200" w:val="left"/>
          <w:tab w:leader="none" w:pos="854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R</w:t>
      </w:r>
      <w:r>
        <w:rPr>
          <w:rFonts w:ascii="Times New Roman" w:cs="Times New Roman" w:eastAsia="Times New Roman" w:hAnsi="Times New Roman"/>
          <w:sz w:val="13"/>
          <w:szCs w:val="13"/>
          <w:color w:val="auto"/>
        </w:rPr>
        <w:t>ODNEY</w:t>
      </w:r>
      <w:r>
        <w:rPr>
          <w:rFonts w:ascii="Times New Roman" w:cs="Times New Roman" w:eastAsia="Times New Roman" w:hAnsi="Times New Roman"/>
          <w:sz w:val="16"/>
          <w:szCs w:val="16"/>
          <w:color w:val="auto"/>
        </w:rPr>
        <w:t xml:space="preserve"> M. S</w:t>
      </w:r>
      <w:r>
        <w:rPr>
          <w:rFonts w:ascii="Times New Roman" w:cs="Times New Roman" w:eastAsia="Times New Roman" w:hAnsi="Times New Roman"/>
          <w:sz w:val="13"/>
          <w:szCs w:val="13"/>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22225</wp:posOffset>
            </wp:positionV>
            <wp:extent cx="20910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2091055" cy="8255"/>
                    </a:xfrm>
                    <a:prstGeom prst="rect">
                      <a:avLst/>
                    </a:prstGeom>
                    <a:noFill/>
                  </pic:spPr>
                </pic:pic>
              </a:graphicData>
            </a:graphic>
          </wp:anchor>
        </w:drawing>
      </w:r>
    </w:p>
    <w:p>
      <w:pPr>
        <w:spacing w:after="0" w:line="36"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Rodney M. Smith</w:t>
      </w:r>
    </w:p>
    <w:p>
      <w:pPr>
        <w:spacing w:after="0" w:line="1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Executive Vice President, Chief Financial</w:t>
      </w:r>
    </w:p>
    <w:p>
      <w:pPr>
        <w:ind w:left="8440"/>
        <w:spacing w:after="0"/>
        <w:rPr>
          <w:sz w:val="20"/>
          <w:szCs w:val="20"/>
          <w:color w:val="auto"/>
        </w:rPr>
      </w:pPr>
      <w:r>
        <w:rPr>
          <w:rFonts w:ascii="Times New Roman" w:cs="Times New Roman" w:eastAsia="Times New Roman" w:hAnsi="Times New Roman"/>
          <w:sz w:val="18"/>
          <w:szCs w:val="18"/>
          <w:color w:val="auto"/>
        </w:rPr>
        <w:t>Officer and Treasurer</w:t>
      </w:r>
    </w:p>
    <w:p>
      <w:pPr>
        <w:sectPr>
          <w:pgSz w:w="11900" w:h="16838" w:orient="portrait"/>
          <w:cols w:equalWidth="0" w:num="1">
            <w:col w:w="11240"/>
          </w:cols>
          <w:pgMar w:left="320" w:top="870" w:right="339" w:bottom="1440" w:gutter="0" w:footer="0" w:header="0"/>
        </w:sectPr>
      </w:pPr>
    </w:p>
    <w:bookmarkStart w:id="62" w:name="page63"/>
    <w:bookmarkEnd w:id="62"/>
    <w:p>
      <w:pPr>
        <w:ind w:left="1046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2" w:lineRule="exact"/>
        <w:rPr>
          <w:sz w:val="20"/>
          <w:szCs w:val="20"/>
          <w:color w:val="auto"/>
        </w:rPr>
      </w:pPr>
    </w:p>
    <w:p>
      <w:pPr>
        <w:ind w:right="500" w:firstLine="435"/>
        <w:spacing w:after="0" w:line="256" w:lineRule="auto"/>
        <w:rPr>
          <w:sz w:val="20"/>
          <w:szCs w:val="20"/>
          <w:color w:val="auto"/>
        </w:rPr>
      </w:pPr>
      <w:r>
        <w:rPr>
          <w:rFonts w:ascii="Times New Roman" w:cs="Times New Roman" w:eastAsia="Times New Roman" w:hAnsi="Times New Roman"/>
          <w:sz w:val="18"/>
          <w:szCs w:val="18"/>
          <w:color w:val="auto"/>
        </w:rPr>
        <w:t>In connection with this Quarterly Report on Form 10-Q of American Tower Corporation (the “Company”) for the nine months ended September 30, 2026, as filed with the Securities and Exchange Commission on the date hereof (the “Report”), each of the undersigned officers of the Company hereby certifies, pursuant to 18 U.S.C. Section 1350, that:</w:t>
      </w:r>
    </w:p>
    <w:p>
      <w:pPr>
        <w:spacing w:after="0" w:line="207" w:lineRule="exact"/>
        <w:rPr>
          <w:sz w:val="20"/>
          <w:szCs w:val="20"/>
          <w:color w:val="auto"/>
        </w:rPr>
      </w:pPr>
    </w:p>
    <w:p>
      <w:pPr>
        <w:ind w:left="680" w:hanging="253"/>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0"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440"/>
        <w:spacing w:after="0"/>
        <w:tabs>
          <w:tab w:leader="none" w:pos="6920" w:val="left"/>
          <w:tab w:leader="none" w:pos="844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6"/>
          <w:szCs w:val="26"/>
          <w:color w:val="auto"/>
          <w:vertAlign w:val="superscript"/>
        </w:rPr>
        <w:t>/S/  STEVEN O. VONDRAN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-10160</wp:posOffset>
            </wp:positionV>
            <wp:extent cx="24796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2479675" cy="8255"/>
                    </a:xfrm>
                    <a:prstGeom prst="rect">
                      <a:avLst/>
                    </a:prstGeom>
                    <a:noFill/>
                  </pic:spPr>
                </pic:pic>
              </a:graphicData>
            </a:graphic>
          </wp:anchor>
        </w:drawing>
      </w:r>
    </w:p>
    <w:p>
      <w:pPr>
        <w:spacing w:after="0" w:line="4"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color w:val="auto"/>
        </w:rPr>
        <w:t>Steven O. Vondran</w:t>
      </w:r>
    </w:p>
    <w:p>
      <w:pPr>
        <w:spacing w:after="0" w:line="10"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1" w:lineRule="exact"/>
        <w:rPr>
          <w:sz w:val="20"/>
          <w:szCs w:val="20"/>
          <w:color w:val="auto"/>
        </w:rPr>
      </w:pPr>
    </w:p>
    <w:p>
      <w:pPr>
        <w:ind w:left="440"/>
        <w:spacing w:after="0"/>
        <w:tabs>
          <w:tab w:leader="none" w:pos="6920" w:val="left"/>
          <w:tab w:leader="none" w:pos="8540" w:val="left"/>
          <w:tab w:leader="none" w:pos="892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35"/>
          <w:szCs w:val="35"/>
          <w:color w:val="auto"/>
          <w:vertAlign w:val="superscript"/>
        </w:rPr>
        <w:t>/S/</w:t>
      </w:r>
      <w:r>
        <w:rPr>
          <w:sz w:val="20"/>
          <w:szCs w:val="20"/>
          <w:color w:val="auto"/>
        </w:rPr>
        <w:tab/>
      </w:r>
      <w:r>
        <w:rPr>
          <w:rFonts w:ascii="Times New Roman" w:cs="Times New Roman" w:eastAsia="Times New Roman" w:hAnsi="Times New Roman"/>
          <w:sz w:val="26"/>
          <w:szCs w:val="26"/>
          <w:color w:val="auto"/>
          <w:vertAlign w:val="superscript"/>
        </w:rPr>
        <w:t>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-25400</wp:posOffset>
            </wp:positionV>
            <wp:extent cx="24796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2479675" cy="8255"/>
                    </a:xfrm>
                    <a:prstGeom prst="rect">
                      <a:avLst/>
                    </a:prstGeom>
                    <a:noFill/>
                  </pic:spPr>
                </pic:pic>
              </a:graphicData>
            </a:graphic>
          </wp:anchor>
        </w:drawing>
      </w:r>
    </w:p>
    <w:p>
      <w:pPr>
        <w:ind w:left="8900"/>
        <w:spacing w:after="0"/>
        <w:rPr>
          <w:sz w:val="20"/>
          <w:szCs w:val="20"/>
          <w:color w:val="auto"/>
        </w:rPr>
      </w:pPr>
      <w:r>
        <w:rPr>
          <w:rFonts w:ascii="Times New Roman" w:cs="Times New Roman" w:eastAsia="Times New Roman" w:hAnsi="Times New Roman"/>
          <w:sz w:val="18"/>
          <w:szCs w:val="18"/>
          <w:color w:val="auto"/>
        </w:rPr>
        <w:t>Rodney M. Smith</w:t>
      </w:r>
    </w:p>
    <w:p>
      <w:pPr>
        <w:jc w:val="right"/>
        <w:spacing w:after="0" w:line="233" w:lineRule="auto"/>
        <w:rPr>
          <w:sz w:val="20"/>
          <w:szCs w:val="20"/>
          <w:color w:val="auto"/>
        </w:rPr>
      </w:pPr>
      <w:r>
        <w:rPr>
          <w:rFonts w:ascii="Times New Roman" w:cs="Times New Roman" w:eastAsia="Times New Roman" w:hAnsi="Times New Roman"/>
          <w:sz w:val="18"/>
          <w:szCs w:val="18"/>
          <w:color w:val="auto"/>
        </w:rPr>
        <w:t>Executive Vice President, Chief Financial Officer an</w:t>
      </w:r>
    </w:p>
    <w:p>
      <w:pPr>
        <w:ind w:left="9200"/>
        <w:spacing w:after="0"/>
        <w:rPr>
          <w:sz w:val="20"/>
          <w:szCs w:val="20"/>
          <w:color w:val="auto"/>
        </w:rPr>
      </w:pPr>
      <w:r>
        <w:rPr>
          <w:rFonts w:ascii="Times New Roman" w:cs="Times New Roman" w:eastAsia="Times New Roman" w:hAnsi="Times New Roman"/>
          <w:sz w:val="18"/>
          <w:szCs w:val="18"/>
          <w:color w:val="auto"/>
        </w:rPr>
        <w:t>Treasurer</w:t>
      </w:r>
    </w:p>
    <w:p>
      <w:pPr>
        <w:spacing w:after="0" w:line="287" w:lineRule="exact"/>
        <w:rPr>
          <w:sz w:val="20"/>
          <w:szCs w:val="20"/>
          <w:color w:val="auto"/>
        </w:rPr>
      </w:pPr>
    </w:p>
    <w:p>
      <w:pPr>
        <w:ind w:right="780" w:firstLine="435"/>
        <w:spacing w:after="0" w:line="26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340"/>
      </w:cols>
      <w:pgMar w:left="320" w:top="9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lowerRoman"/>
      <w:start w:val="2"/>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3"/>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lowerRoman"/>
      <w:start w:val="1"/>
    </w:lvl>
  </w:abstractNum>
  <w:abstractNum w:abstractNumId="12">
    <w:nsid w:val="5072367"/>
    <w:multiLevelType w:val="hybridMultilevel"/>
    <w:lvl w:ilvl="0">
      <w:lvlJc w:val="left"/>
      <w:lvlText w:val="%1."/>
      <w:numFmt w:val="lowerRoman"/>
      <w:start w:val="3"/>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5"/>
    </w:lvl>
  </w:abstractNum>
  <w:abstractNum w:abstractNumId="28">
    <w:nsid w:val="725A06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
    <w:nsid w:val="2CD89A32"/>
    <w:multiLevelType w:val="hybridMultilevel"/>
    <w:lvl w:ilvl="0">
      <w:lvlJc w:val="left"/>
      <w:lvlText w:val="•"/>
      <w:numFmt w:val="bullet"/>
      <w:start w:val="1"/>
    </w:lvl>
    <w:lvl w:ilvl="1">
      <w:lvlJc w:val="left"/>
      <w:lvlText w:val="•"/>
      <w:numFmt w:val="bullet"/>
      <w:start w:val="1"/>
    </w:lvl>
  </w:abstractNum>
  <w:abstractNum w:abstractNumId="30">
    <w:nsid w:val="57E4CCAF"/>
    <w:multiLevelType w:val="hybridMultilevel"/>
    <w:lvl w:ilvl="0">
      <w:lvlJc w:val="left"/>
      <w:lvlText w:val="•"/>
      <w:numFmt w:val="bullet"/>
      <w:start w:val="1"/>
    </w:lvl>
    <w:lvl w:ilvl="1">
      <w:lvlJc w:val="left"/>
      <w:lvlText w:val="•"/>
      <w:numFmt w:val="bullet"/>
      <w:start w:val="1"/>
    </w:lvl>
  </w:abstractNum>
  <w:abstractNum w:abstractNumId="31">
    <w:nsid w:val="7A6D8D3C"/>
    <w:multiLevelType w:val="hybridMultilevel"/>
    <w:lvl w:ilvl="0">
      <w:lvlJc w:val="left"/>
      <w:lvlText w:val="•"/>
      <w:numFmt w:val="bullet"/>
      <w:start w:val="1"/>
    </w:lvl>
    <w:lvl w:ilvl="1">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4">
    <w:nsid w:val="6DE91B18"/>
    <w:multiLevelType w:val="hybridMultilevel"/>
    <w:lvl w:ilvl="0">
      <w:lvlJc w:val="left"/>
      <w:lvlText w:val="•"/>
      <w:numFmt w:val="bullet"/>
      <w:start w:val="1"/>
    </w:lvl>
    <w:lvl w:ilvl="1">
      <w:lvlJc w:val="left"/>
      <w:lvlText w:val="•"/>
      <w:numFmt w:val="bullet"/>
      <w:start w:val="1"/>
    </w:lvl>
  </w:abstractNum>
  <w:abstractNum w:abstractNumId="35">
    <w:nsid w:val="38437FDB"/>
    <w:multiLevelType w:val="hybridMultilevel"/>
    <w:lvl w:ilvl="0">
      <w:lvlJc w:val="left"/>
      <w:lvlText w:val="•"/>
      <w:numFmt w:val="bullet"/>
      <w:start w:val="1"/>
    </w:lvl>
    <w:lvl w:ilvl="1">
      <w:lvlJc w:val="left"/>
      <w:lvlText w:val="•"/>
      <w:numFmt w:val="bullet"/>
      <w:start w:val="1"/>
    </w:lvl>
  </w:abstractNum>
  <w:abstractNum w:abstractNumId="36">
    <w:nsid w:val="7644A45C"/>
    <w:multiLevelType w:val="hybridMultilevel"/>
    <w:lvl w:ilvl="0">
      <w:lvlJc w:val="left"/>
      <w:lvlText w:val="•"/>
      <w:numFmt w:val="bullet"/>
      <w:start w:val="1"/>
    </w:lvl>
    <w:lvl w:ilvl="1">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lowerRoman"/>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97" Type="http://schemas.openxmlformats.org/officeDocument/2006/relationships/hyperlink" Target="https://www.sec.gov/Archives/edgar/data/1053507/000119312512000101/d273408dex31.htm" TargetMode="External"/><Relationship Id="rId98" Type="http://schemas.openxmlformats.org/officeDocument/2006/relationships/hyperlink" Target="https://www.sec.gov/Archives/edgar/data/1053507/000119312512000101/d273408dex32.htm" TargetMode="External"/><Relationship Id="rId99" Type="http://schemas.openxmlformats.org/officeDocument/2006/relationships/hyperlink" Target="https://www.sec.gov/Archives/edgar/data/1053507/000105350725000002/exhibit31.htm" TargetMode="External"/><Relationship Id="rId100" Type="http://schemas.openxmlformats.org/officeDocument/2006/relationships/hyperlink" Target="https://www.sec.gov/Archives/edgar/data/1053507/000119312526390605/d15619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2026-10-27T15:24:17Z</dcterms:created>
  <dcterms:modified xsi:type="dcterms:W3CDTF">2026-10-27T15:24:17Z</dcterms:modified>
</cp:coreProperties>
</file>