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610870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44450</wp:posOffset>
            </wp:positionV>
            <wp:extent cx="2366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46990</wp:posOffset>
            </wp:positionV>
            <wp:extent cx="2366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CURRENT REPORT PURSUANT</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TO SECTION 13 OR 15(d) OF THE</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40005</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1"/>
          <w:szCs w:val="41"/>
          <w:b w:val="1"/>
          <w:bCs w:val="1"/>
          <w:color w:val="auto"/>
        </w:rPr>
        <w:t>AMERICAN TOWER CORPORATION</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43815</wp:posOffset>
            </wp:positionV>
            <wp:extent cx="2366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52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001-14195</w:t>
            </w:r>
          </w:p>
        </w:tc>
        <w:tc>
          <w:tcPr>
            <w:tcW w:w="31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65-0723837</w:t>
            </w:r>
          </w:p>
        </w:tc>
      </w:t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w:t>
            </w:r>
          </w:p>
        </w:tc>
        <w:tc>
          <w:tcPr>
            <w:tcW w:w="35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310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bl>
    <w:p>
      <w:pPr>
        <w:spacing w:after="0" w:line="1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116 Huntington Avenue</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Boston, Massachusetts 02116</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(617) 375-7500</w:t>
      </w:r>
    </w:p>
    <w:p>
      <w:pPr>
        <w:spacing w:after="0" w:line="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231F20"/>
        </w:rPr>
        <w:t>(Former name or former address, if changed since last report.)</w:t>
      </w:r>
    </w:p>
    <w:p>
      <w:pPr>
        <w:spacing w:after="0" w:line="31"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2"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Soliciting material pursuant to Rule 14a-12 under the Exchange Act (17 CFR 240.14a-12)</w:t>
      </w:r>
    </w:p>
    <w:p>
      <w:pPr>
        <w:spacing w:after="0" w:line="33"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14d-2(b) under the Exchange Act (17 CFR 240.14d-2(b))</w:t>
      </w:r>
    </w:p>
    <w:p>
      <w:pPr>
        <w:spacing w:after="0" w:line="20"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13e-4(c) under the Exchange Act (17 CFR 240.13e-4(c))</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38"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440" w:type="dxa"/>
            <w:vAlign w:val="bottom"/>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Common Stock, $0.01 par value</w:t>
            </w:r>
          </w:p>
        </w:tc>
        <w:tc>
          <w:tcPr>
            <w:tcW w:w="29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AMT</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1.950% Senior Notes due 2026</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26B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0.450%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0.400%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4.125% Senior Notes due 2027</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8"/>
              </w:rPr>
              <w:t>AMT 27F</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0.500% Senior Notes due 2028</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28A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0.875% Senior Notes due 2029</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29B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0.950%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3.900%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4.625% Senior Notes due 2031</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31B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1.000% Senior Notes due 2032</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32</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1.250% Senior Notes due 2033</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33</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4.100% Senior Notes due 2034</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34A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bl>
    <w:p>
      <w:pPr>
        <w:spacing w:after="0" w:line="154" w:lineRule="exact"/>
        <w:rPr>
          <w:sz w:val="24"/>
          <w:szCs w:val="24"/>
          <w:color w:val="auto"/>
        </w:rPr>
      </w:pPr>
    </w:p>
    <w:p>
      <w:pPr>
        <w:ind w:right="160"/>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0"/>
          <w:szCs w:val="20"/>
          <w:color w:val="auto"/>
        </w:rPr>
      </w:pPr>
      <w:r>
        <w:rPr>
          <w:rFonts w:ascii="Times New Roman" w:cs="Times New Roman" w:eastAsia="Times New Roman" w:hAnsi="Times New Roman"/>
          <w:sz w:val="15"/>
          <w:szCs w:val="15"/>
          <w:color w:val="231F20"/>
        </w:rPr>
        <w:t xml:space="preserve">Emerging growth company </w:t>
      </w:r>
      <w:r>
        <w:rPr>
          <w:rFonts w:ascii="MS PGothic" w:cs="MS PGothic" w:eastAsia="MS PGothic" w:hAnsi="MS PGothic"/>
          <w:sz w:val="15"/>
          <w:szCs w:val="15"/>
          <w:color w:val="000000"/>
        </w:rPr>
        <w:t>☐</w:t>
      </w:r>
    </w:p>
    <w:p>
      <w:pPr>
        <w:spacing w:after="0" w:line="94" w:lineRule="exact"/>
        <w:rPr>
          <w:sz w:val="24"/>
          <w:szCs w:val="24"/>
          <w:color w:val="auto"/>
        </w:rPr>
      </w:pPr>
    </w:p>
    <w:p>
      <w:pPr>
        <w:ind w:right="460"/>
        <w:spacing w:after="0" w:line="202"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539115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7122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7122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795" cy="8255"/>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48" w:lineRule="exact"/>
        <w:rPr>
          <w:sz w:val="20"/>
          <w:szCs w:val="20"/>
          <w:color w:val="auto"/>
        </w:rPr>
      </w:pPr>
    </w:p>
    <w:p>
      <w:pPr>
        <w:ind w:right="100" w:firstLine="617"/>
        <w:spacing w:after="0" w:line="267" w:lineRule="auto"/>
        <w:rPr>
          <w:sz w:val="20"/>
          <w:szCs w:val="20"/>
          <w:color w:val="auto"/>
        </w:rPr>
      </w:pPr>
      <w:r>
        <w:rPr>
          <w:rFonts w:ascii="Times New Roman" w:cs="Times New Roman" w:eastAsia="Times New Roman" w:hAnsi="Times New Roman"/>
          <w:sz w:val="19"/>
          <w:szCs w:val="19"/>
          <w:color w:val="auto"/>
        </w:rPr>
        <w:t>On April 29, 2025, American Tower Corporation (the “Company”) issued a press release (the “Press Release”) announcing financial results for the quarter ended March 31, 2025. A copy of the Press Release is furnished herewith as Exhibit 99.1.</w:t>
      </w:r>
    </w:p>
    <w:p>
      <w:pPr>
        <w:spacing w:after="0" w:line="195" w:lineRule="exact"/>
        <w:rPr>
          <w:sz w:val="20"/>
          <w:szCs w:val="20"/>
          <w:color w:val="auto"/>
        </w:rPr>
      </w:pPr>
    </w:p>
    <w:p>
      <w:pPr>
        <w:ind w:right="200" w:firstLine="617"/>
        <w:spacing w:after="0" w:line="258" w:lineRule="auto"/>
        <w:rPr>
          <w:sz w:val="20"/>
          <w:szCs w:val="20"/>
          <w:color w:val="auto"/>
        </w:rPr>
      </w:pPr>
      <w:r>
        <w:rPr>
          <w:rFonts w:ascii="Times New Roman" w:cs="Times New Roman" w:eastAsia="Times New Roman" w:hAnsi="Times New Roman"/>
          <w:sz w:val="19"/>
          <w:szCs w:val="19"/>
          <w:color w:val="auto"/>
        </w:rPr>
        <w:t>Exhibit 99.1 is furnished and shall not be deemed to be “filed” for purposes of Section 18 of the Securities Exchange Act of 1934, as amended (the “Exchange Act”), or otherwise subject to the liabilities of that section, nor shall such exhibit be deemed incorporated by reference in any filing made by the Company under the Securities Act of 1933, as amended, or the Exchange Act, except as shall be expressly set forth by specific reference in such a filing.</w:t>
      </w:r>
    </w:p>
    <w:p>
      <w:pPr>
        <w:spacing w:after="0" w:line="1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9"/>
          <w:szCs w:val="19"/>
          <w:b w:val="1"/>
          <w:bCs w:val="1"/>
          <w:color w:val="auto"/>
        </w:rPr>
        <w:t>(d)</w:t>
        <w:tab/>
        <w:t>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Exhibit No.</w:t>
            </w:r>
          </w:p>
        </w:tc>
        <w:tc>
          <w:tcPr>
            <w:tcW w:w="94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327"/>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99.1</w:t>
            </w:r>
          </w:p>
        </w:tc>
        <w:tc>
          <w:tcPr>
            <w:tcW w:w="860" w:type="dxa"/>
            <w:vAlign w:val="bottom"/>
          </w:tcPr>
          <w:p>
            <w:pPr>
              <w:spacing w:after="0"/>
              <w:rPr>
                <w:sz w:val="24"/>
                <w:szCs w:val="24"/>
                <w:color w:val="auto"/>
              </w:rPr>
            </w:pPr>
          </w:p>
        </w:tc>
        <w:tc>
          <w:tcPr>
            <w:tcW w:w="4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w w:val="98"/>
              </w:rPr>
              <w:t>Press Release, dated April 29, 2025 (Furnished herewith).</w:t>
            </w:r>
          </w:p>
        </w:tc>
        <w:tc>
          <w:tcPr>
            <w:tcW w:w="5080" w:type="dxa"/>
            <w:vAlign w:val="bottom"/>
          </w:tcPr>
          <w:p>
            <w:pPr>
              <w:spacing w:after="0"/>
              <w:rPr>
                <w:sz w:val="24"/>
                <w:szCs w:val="24"/>
                <w:color w:val="auto"/>
              </w:rPr>
            </w:pPr>
          </w:p>
        </w:tc>
      </w:tr>
      <w:tr>
        <w:trPr>
          <w:trHeight w:val="31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86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tc>
      </w:tr>
      <w:tr>
        <w:trPr>
          <w:trHeight w:val="1055"/>
        </w:trPr>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48" w:lineRule="exact"/>
        <w:rPr>
          <w:sz w:val="20"/>
          <w:szCs w:val="20"/>
          <w:color w:val="auto"/>
        </w:rPr>
      </w:pPr>
    </w:p>
    <w:p>
      <w:pPr>
        <w:ind w:right="160" w:firstLine="694"/>
        <w:spacing w:after="0" w:line="267"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AMERICAN TOWER CORPORATION</w:t>
      </w:r>
    </w:p>
    <w:p>
      <w:pPr>
        <w:spacing w:after="0" w:line="2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(Registrant)</w:t>
      </w:r>
    </w:p>
    <w:p>
      <w:pPr>
        <w:spacing w:after="0" w:line="200" w:lineRule="exact"/>
        <w:rPr>
          <w:sz w:val="20"/>
          <w:szCs w:val="20"/>
          <w:color w:val="auto"/>
        </w:rPr>
      </w:pPr>
    </w:p>
    <w:p>
      <w:pPr>
        <w:spacing w:after="0" w:line="237" w:lineRule="exact"/>
        <w:rPr>
          <w:sz w:val="20"/>
          <w:szCs w:val="20"/>
          <w:color w:val="auto"/>
        </w:rPr>
      </w:pPr>
    </w:p>
    <w:p>
      <w:pPr>
        <w:ind w:left="720"/>
        <w:spacing w:after="0"/>
        <w:tabs>
          <w:tab w:leader="none" w:pos="1620" w:val="left"/>
          <w:tab w:leader="none" w:pos="6740" w:val="left"/>
          <w:tab w:leader="none" w:pos="886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April 29, 2025</w:t>
      </w:r>
      <w:r>
        <w:rPr>
          <w:sz w:val="20"/>
          <w:szCs w:val="20"/>
          <w:color w:val="auto"/>
        </w:rPr>
        <w:tab/>
      </w: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21590</wp:posOffset>
            </wp:positionV>
            <wp:extent cx="2491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1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9"/>
          <w:szCs w:val="19"/>
          <w:color w:val="auto"/>
        </w:rPr>
        <w:t>Rodney M. Smith</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p>
      <w:pPr>
        <w:ind w:left="9300"/>
        <w:spacing w:after="0"/>
        <w:rPr>
          <w:sz w:val="20"/>
          <w:szCs w:val="20"/>
          <w:color w:val="auto"/>
        </w:rPr>
      </w:pPr>
      <w:r>
        <w:rPr>
          <w:rFonts w:ascii="Times New Roman" w:cs="Times New Roman" w:eastAsia="Times New Roman" w:hAnsi="Times New Roman"/>
          <w:sz w:val="19"/>
          <w:szCs w:val="19"/>
          <w:color w:val="auto"/>
        </w:rPr>
        <w:t>Treasurer</w:t>
      </w:r>
    </w:p>
    <w:p>
      <w:pPr>
        <w:sectPr>
          <w:pgSz w:w="11900" w:h="16838" w:orient="portrait"/>
          <w:cols w:equalWidth="0" w:num="1">
            <w:col w:w="11340"/>
          </w:cols>
          <w:pgMar w:left="320" w:top="731"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280670</wp:posOffset>
            </wp:positionV>
            <wp:extent cx="1297305" cy="546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7305" cy="54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Contact: Adam Smith</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Senior Vice President, Investor Relations and FP&amp;A</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Telephone: (617) 375-7500</w:t>
      </w:r>
    </w:p>
    <w:p>
      <w:pPr>
        <w:spacing w:after="0" w:line="8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5"/>
          <w:szCs w:val="15"/>
          <w:b w:val="1"/>
          <w:bCs w:val="1"/>
          <w:u w:val="single" w:color="auto"/>
          <w:color w:val="auto"/>
        </w:rPr>
        <w:t>AMERICAN TOWER CORPORATION REPORTS FIRST QUARTER 2025 FINANCIAL RESULTS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CONSOLIDATED HIGHLIGHTS</w:t>
      </w:r>
      <w:r>
        <w:rPr>
          <w:rFonts w:ascii="Times New Roman" w:cs="Times New Roman" w:eastAsia="Times New Roman" w:hAnsi="Times New Roman"/>
          <w:sz w:val="20"/>
          <w:szCs w:val="20"/>
          <w:b w:val="1"/>
          <w:bCs w:val="1"/>
          <w:color w:val="auto"/>
          <w:vertAlign w:val="superscript"/>
        </w:rPr>
        <w:t>(1)(2)</w:t>
      </w: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First Quarter 2025</w:t>
      </w:r>
    </w:p>
    <w:p>
      <w:pPr>
        <w:spacing w:after="0" w:line="9" w:lineRule="exact"/>
        <w:rPr>
          <w:sz w:val="20"/>
          <w:szCs w:val="20"/>
          <w:color w:val="auto"/>
        </w:rPr>
      </w:pPr>
    </w:p>
    <w:p>
      <w:pPr>
        <w:ind w:left="220" w:hanging="200"/>
        <w:spacing w:after="0"/>
        <w:tabs>
          <w:tab w:leader="none" w:pos="2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revenue increased 2.0% to $2,563 million</w:t>
      </w:r>
      <w:r>
        <w:rPr>
          <w:rFonts w:ascii="Times New Roman" w:cs="Times New Roman" w:eastAsia="Times New Roman" w:hAnsi="Times New Roman"/>
          <w:sz w:val="20"/>
          <w:szCs w:val="20"/>
          <w:color w:val="auto"/>
          <w:vertAlign w:val="superscript"/>
        </w:rPr>
        <w:t>(3)</w:t>
      </w:r>
    </w:p>
    <w:p>
      <w:pPr>
        <w:ind w:left="220" w:hanging="200"/>
        <w:spacing w:after="0" w:line="211" w:lineRule="auto"/>
        <w:tabs>
          <w:tab w:leader="none" w:pos="2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property revenue increased 0.2% to $2,488 million</w:t>
      </w:r>
      <w:r>
        <w:rPr>
          <w:rFonts w:ascii="Times New Roman" w:cs="Times New Roman" w:eastAsia="Times New Roman" w:hAnsi="Times New Roman"/>
          <w:sz w:val="20"/>
          <w:szCs w:val="20"/>
          <w:color w:val="auto"/>
          <w:vertAlign w:val="superscript"/>
        </w:rPr>
        <w:t>(3)</w:t>
      </w:r>
    </w:p>
    <w:p>
      <w:pPr>
        <w:ind w:left="220" w:hanging="200"/>
        <w:spacing w:after="0" w:line="217" w:lineRule="auto"/>
        <w:tabs>
          <w:tab w:leader="none" w:pos="2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decreased 45.9% to $499 million, primarily due to foreign currency gains and (losses)</w:t>
      </w:r>
      <w:r>
        <w:rPr>
          <w:rFonts w:ascii="Times New Roman" w:cs="Times New Roman" w:eastAsia="Times New Roman" w:hAnsi="Times New Roman"/>
          <w:sz w:val="20"/>
          <w:szCs w:val="20"/>
          <w:color w:val="auto"/>
          <w:vertAlign w:val="superscript"/>
        </w:rPr>
        <w:t>(4)(5)(6)</w:t>
      </w:r>
    </w:p>
    <w:p>
      <w:pPr>
        <w:ind w:left="220" w:hanging="200"/>
        <w:spacing w:after="0" w:line="211" w:lineRule="auto"/>
        <w:tabs>
          <w:tab w:leader="none" w:pos="2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increased 1.9% to $1,744 million</w:t>
      </w:r>
      <w:r>
        <w:rPr>
          <w:rFonts w:ascii="Times New Roman" w:cs="Times New Roman" w:eastAsia="Times New Roman" w:hAnsi="Times New Roman"/>
          <w:sz w:val="20"/>
          <w:szCs w:val="20"/>
          <w:color w:val="auto"/>
          <w:vertAlign w:val="superscript"/>
        </w:rPr>
        <w:t>(6)</w:t>
      </w:r>
    </w:p>
    <w:p>
      <w:pPr>
        <w:ind w:left="220" w:hanging="200"/>
        <w:spacing w:after="0" w:line="217" w:lineRule="auto"/>
        <w:tabs>
          <w:tab w:leader="none" w:pos="2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attributable to AMT common stockholders decreased 46.7% to $489 million, primarily due to foreign currency gains and (losses)</w:t>
      </w:r>
      <w:r>
        <w:rPr>
          <w:rFonts w:ascii="Times New Roman" w:cs="Times New Roman" w:eastAsia="Times New Roman" w:hAnsi="Times New Roman"/>
          <w:sz w:val="20"/>
          <w:szCs w:val="20"/>
          <w:color w:val="auto"/>
          <w:vertAlign w:val="superscript"/>
        </w:rPr>
        <w:t>(4)(5)(6)</w:t>
      </w:r>
    </w:p>
    <w:p>
      <w:pPr>
        <w:ind w:left="220" w:hanging="200"/>
        <w:spacing w:after="0"/>
        <w:tabs>
          <w:tab w:leader="none" w:pos="2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AFFO attributable to AMT common stockholders decreased 1.0% to $1,290 million</w:t>
      </w:r>
    </w:p>
    <w:p>
      <w:pPr>
        <w:spacing w:after="0" w:line="17" w:lineRule="exact"/>
        <w:rPr>
          <w:rFonts w:ascii="Times New Roman" w:cs="Times New Roman" w:eastAsia="Times New Roman" w:hAnsi="Times New Roman"/>
          <w:sz w:val="15"/>
          <w:szCs w:val="15"/>
          <w:color w:val="auto"/>
        </w:rPr>
      </w:pPr>
    </w:p>
    <w:p>
      <w:pPr>
        <w:ind w:left="220" w:hanging="200"/>
        <w:spacing w:after="0"/>
        <w:tabs>
          <w:tab w:leader="none" w:pos="2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AFFO attributable to AMT common stockholders, as adjusted, increased 7.1% to $1,290 million</w:t>
      </w:r>
      <w:r>
        <w:rPr>
          <w:rFonts w:ascii="Times New Roman" w:cs="Times New Roman" w:eastAsia="Times New Roman" w:hAnsi="Times New Roman"/>
          <w:sz w:val="20"/>
          <w:szCs w:val="20"/>
          <w:color w:val="auto"/>
          <w:vertAlign w:val="superscript"/>
        </w:rPr>
        <w:t>(7)</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Boston, Massachusetts – April 29, 2025: </w:t>
      </w:r>
      <w:r>
        <w:rPr>
          <w:rFonts w:ascii="Times New Roman" w:cs="Times New Roman" w:eastAsia="Times New Roman" w:hAnsi="Times New Roman"/>
          <w:sz w:val="15"/>
          <w:szCs w:val="15"/>
          <w:color w:val="auto"/>
        </w:rPr>
        <w:t>American Tower Corporation (NYSE: AMT) today reported financial results for the quarter ended March 31, 2025.</w:t>
      </w:r>
    </w:p>
    <w:p>
      <w:pPr>
        <w:spacing w:after="0" w:line="11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5"/>
          <w:szCs w:val="15"/>
          <w:color w:val="auto"/>
        </w:rPr>
        <w:t>Steven Vondran, American Tower’s Chief Executive Officer, stated, “The solid leasing trends we saw over the course of 2024 carried into the first quarter, with sustained demand across our global portfolio. In the U.S., accelerating broad-based mid-band deployments and the early indications of capacity-driven new site demand supported our highest quarter of services revenue since 2021. Complemented by favorable leasing and pricing trends at CoreSite, steady activity in our international markets and a continued focus on global cost management, we delivered Attributable AFFO per Share growth, on an as adjusted basis, of 6.6%, while resuming mid-single digit dividend per share growth.</w:t>
      </w:r>
    </w:p>
    <w:p>
      <w:pPr>
        <w:spacing w:after="0" w:line="3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Together with the resilient demand we’re seeing for our portfolio of assets, we remain focused on enhancing the quality of our earnings through active portfolio management, organizational and operational efficiency, disciplined capital allocation and a strong balance sheet, positioning us to better navigate ongoing macroeconomic uncertainty while continuing to meet our customers’ critical connectivity needs. Taken altogether, our business is well positioned to drive profitability and sustained value creation for our shareholders for years to come.”</w:t>
      </w:r>
    </w:p>
    <w:p>
      <w:pPr>
        <w:spacing w:after="0" w:line="231" w:lineRule="auto"/>
        <w:rPr>
          <w:sz w:val="20"/>
          <w:szCs w:val="20"/>
          <w:color w:val="auto"/>
        </w:rPr>
      </w:pPr>
      <w:r>
        <w:rPr>
          <w:rFonts w:ascii="Times New Roman" w:cs="Times New Roman" w:eastAsia="Times New Roman" w:hAnsi="Times New Roman"/>
          <w:sz w:val="15"/>
          <w:szCs w:val="15"/>
          <w:b w:val="1"/>
          <w:bCs w:val="1"/>
          <w:color w:val="auto"/>
        </w:rPr>
        <w:t>CONSOLIDATED OPERATING RESULTS OVERVIEW</w:t>
      </w:r>
      <w:r>
        <w:rPr>
          <w:rFonts w:ascii="Times New Roman" w:cs="Times New Roman" w:eastAsia="Times New Roman" w:hAnsi="Times New Roman"/>
          <w:sz w:val="20"/>
          <w:szCs w:val="20"/>
          <w:b w:val="1"/>
          <w:bCs w:val="1"/>
          <w:color w:val="auto"/>
          <w:vertAlign w:val="superscript"/>
        </w:rPr>
        <w:t>(1)(2)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American Tower generated the following operating results for the quarter ended March 31, 2025 (all comparative information is presented against the quarter ended March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 in millions, except per share amounts.)</w:t>
            </w:r>
          </w:p>
        </w:tc>
        <w:tc>
          <w:tcPr>
            <w:tcW w:w="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Q1 2025</w:t>
            </w: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Growth Rate</w:t>
            </w:r>
          </w:p>
        </w:tc>
      </w:tr>
      <w:tr>
        <w:trPr>
          <w:trHeight w:val="201"/>
        </w:trPr>
        <w:tc>
          <w:tcPr>
            <w:tcW w:w="70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5"/>
                <w:szCs w:val="15"/>
                <w:color w:val="auto"/>
              </w:rPr>
              <w:t>Total revenue</w:t>
            </w:r>
            <w:r>
              <w:rPr>
                <w:rFonts w:ascii="Times New Roman" w:cs="Times New Roman" w:eastAsia="Times New Roman" w:hAnsi="Times New Roman"/>
                <w:sz w:val="20"/>
                <w:szCs w:val="20"/>
                <w:color w:val="auto"/>
                <w:vertAlign w:val="superscript"/>
              </w:rPr>
              <w:t>(3)</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2,563</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r>
      <w:tr>
        <w:trPr>
          <w:trHeight w:val="206"/>
        </w:trPr>
        <w:tc>
          <w:tcPr>
            <w:tcW w:w="7060" w:type="dxa"/>
            <w:vAlign w:val="bottom"/>
          </w:tcPr>
          <w:p>
            <w:pPr>
              <w:ind w:left="20"/>
              <w:spacing w:after="0" w:line="206" w:lineRule="exact"/>
              <w:rPr>
                <w:sz w:val="20"/>
                <w:szCs w:val="20"/>
                <w:color w:val="auto"/>
              </w:rPr>
            </w:pPr>
            <w:r>
              <w:rPr>
                <w:rFonts w:ascii="Times New Roman" w:cs="Times New Roman" w:eastAsia="Times New Roman" w:hAnsi="Times New Roman"/>
                <w:sz w:val="15"/>
                <w:szCs w:val="15"/>
                <w:color w:val="auto"/>
              </w:rPr>
              <w:t>Total property revenue</w:t>
            </w:r>
            <w:r>
              <w:rPr>
                <w:rFonts w:ascii="Times New Roman" w:cs="Times New Roman" w:eastAsia="Times New Roman" w:hAnsi="Times New Roman"/>
                <w:sz w:val="20"/>
                <w:szCs w:val="20"/>
                <w:color w:val="auto"/>
                <w:vertAlign w:val="superscript"/>
              </w:rPr>
              <w:t>(3)</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2,488</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0.2 %</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Tenant Billings Growth</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97</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Organic Tenant Billings Growth</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4.7 %</w:t>
            </w:r>
          </w:p>
        </w:tc>
      </w:tr>
      <w:tr>
        <w:trPr>
          <w:trHeight w:val="208"/>
        </w:trPr>
        <w:tc>
          <w:tcPr>
            <w:tcW w:w="70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5"/>
                <w:szCs w:val="15"/>
                <w:color w:val="auto"/>
              </w:rPr>
              <w:t>Property Gross Margin</w:t>
            </w:r>
            <w:r>
              <w:rPr>
                <w:rFonts w:ascii="Times New Roman" w:cs="Times New Roman" w:eastAsia="Times New Roman" w:hAnsi="Times New Roman"/>
                <w:sz w:val="20"/>
                <w:szCs w:val="20"/>
                <w:color w:val="auto"/>
                <w:vertAlign w:val="superscript"/>
              </w:rPr>
              <w:t>(6)</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1,889</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Gross Margin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75.9 %</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8"/>
        </w:trPr>
        <w:tc>
          <w:tcPr>
            <w:tcW w:w="70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5"/>
                <w:szCs w:val="15"/>
                <w:color w:val="auto"/>
              </w:rPr>
              <w:t>Net income</w:t>
            </w:r>
            <w:r>
              <w:rPr>
                <w:rFonts w:ascii="Times New Roman" w:cs="Times New Roman" w:eastAsia="Times New Roman" w:hAnsi="Times New Roman"/>
                <w:sz w:val="20"/>
                <w:szCs w:val="20"/>
                <w:color w:val="auto"/>
                <w:vertAlign w:val="superscript"/>
              </w:rPr>
              <w:t>(4)(5)(6)</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499</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r>
      <w:tr>
        <w:trPr>
          <w:trHeight w:val="206"/>
        </w:trPr>
        <w:tc>
          <w:tcPr>
            <w:tcW w:w="7060" w:type="dxa"/>
            <w:vAlign w:val="bottom"/>
          </w:tcPr>
          <w:p>
            <w:pPr>
              <w:ind w:left="20"/>
              <w:spacing w:after="0" w:line="206" w:lineRule="exact"/>
              <w:rPr>
                <w:sz w:val="20"/>
                <w:szCs w:val="20"/>
                <w:color w:val="auto"/>
              </w:rPr>
            </w:pPr>
            <w:r>
              <w:rPr>
                <w:rFonts w:ascii="Times New Roman" w:cs="Times New Roman" w:eastAsia="Times New Roman" w:hAnsi="Times New Roman"/>
                <w:sz w:val="15"/>
                <w:szCs w:val="15"/>
                <w:color w:val="auto"/>
              </w:rPr>
              <w:t>Net income attributable to AMT common stockholders</w:t>
            </w:r>
            <w:r>
              <w:rPr>
                <w:rFonts w:ascii="Times New Roman" w:cs="Times New Roman" w:eastAsia="Times New Roman" w:hAnsi="Times New Roman"/>
                <w:sz w:val="20"/>
                <w:szCs w:val="20"/>
                <w:color w:val="auto"/>
                <w:vertAlign w:val="superscript"/>
              </w:rPr>
              <w:t>(4)(5)(6)</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489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(46.7)%</w:t>
            </w:r>
          </w:p>
        </w:tc>
      </w:tr>
      <w:tr>
        <w:trPr>
          <w:trHeight w:val="206"/>
        </w:trPr>
        <w:tc>
          <w:tcPr>
            <w:tcW w:w="70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5"/>
                <w:szCs w:val="15"/>
                <w:color w:val="auto"/>
              </w:rPr>
              <w:t>Net income attributable to AMT common stockholders per diluted share</w:t>
            </w:r>
            <w:r>
              <w:rPr>
                <w:rFonts w:ascii="Times New Roman" w:cs="Times New Roman" w:eastAsia="Times New Roman" w:hAnsi="Times New Roman"/>
                <w:sz w:val="20"/>
                <w:szCs w:val="20"/>
                <w:color w:val="auto"/>
                <w:vertAlign w:val="superscript"/>
              </w:rPr>
              <w:t>(4)(5)(6)</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1.04</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r>
      <w:tr>
        <w:trPr>
          <w:trHeight w:val="206"/>
        </w:trPr>
        <w:tc>
          <w:tcPr>
            <w:tcW w:w="7060" w:type="dxa"/>
            <w:vAlign w:val="bottom"/>
          </w:tcPr>
          <w:p>
            <w:pPr>
              <w:ind w:left="20"/>
              <w:spacing w:after="0" w:line="206"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(6)</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1,744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1.9 %</w:t>
            </w: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 Margin %</w:t>
            </w:r>
          </w:p>
        </w:tc>
        <w:tc>
          <w:tcPr>
            <w:tcW w:w="4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68.1 %</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51"/>
        </w:trPr>
        <w:tc>
          <w:tcPr>
            <w:tcW w:w="7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06"/>
        </w:trPr>
        <w:tc>
          <w:tcPr>
            <w:tcW w:w="70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5"/>
                <w:szCs w:val="15"/>
                <w:color w:val="auto"/>
              </w:rPr>
              <w:t>Nareit Funds From Operations (FFO) attributable to AMT common stockholders</w:t>
            </w:r>
            <w:r>
              <w:rPr>
                <w:rFonts w:ascii="Times New Roman" w:cs="Times New Roman" w:eastAsia="Times New Roman" w:hAnsi="Times New Roman"/>
                <w:sz w:val="20"/>
                <w:szCs w:val="20"/>
                <w:color w:val="auto"/>
                <w:vertAlign w:val="superscript"/>
              </w:rPr>
              <w:t>(4)(6)</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816</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AFFO attributable to AMT common stockholders</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1,290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AFFO attributable to AMT common stockholders per Share</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2.75</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6"/>
        </w:trPr>
        <w:tc>
          <w:tcPr>
            <w:tcW w:w="7060" w:type="dxa"/>
            <w:vAlign w:val="bottom"/>
          </w:tcPr>
          <w:p>
            <w:pPr>
              <w:ind w:left="20"/>
              <w:spacing w:after="0" w:line="206" w:lineRule="exact"/>
              <w:rPr>
                <w:sz w:val="20"/>
                <w:szCs w:val="20"/>
                <w:color w:val="auto"/>
              </w:rPr>
            </w:pPr>
            <w:r>
              <w:rPr>
                <w:rFonts w:ascii="Times New Roman" w:cs="Times New Roman" w:eastAsia="Times New Roman" w:hAnsi="Times New Roman"/>
                <w:sz w:val="15"/>
                <w:szCs w:val="15"/>
                <w:color w:val="auto"/>
              </w:rPr>
              <w:t>AFFO attributable to AMT common stockholders, as adjusted</w:t>
            </w:r>
            <w:r>
              <w:rPr>
                <w:rFonts w:ascii="Times New Roman" w:cs="Times New Roman" w:eastAsia="Times New Roman" w:hAnsi="Times New Roman"/>
                <w:sz w:val="20"/>
                <w:szCs w:val="20"/>
                <w:color w:val="auto"/>
                <w:vertAlign w:val="superscript"/>
              </w:rPr>
              <w:t>(7)</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1,290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7.1 %</w:t>
            </w:r>
          </w:p>
        </w:tc>
      </w:tr>
      <w:tr>
        <w:trPr>
          <w:trHeight w:val="206"/>
        </w:trPr>
        <w:tc>
          <w:tcPr>
            <w:tcW w:w="70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5"/>
                <w:szCs w:val="15"/>
                <w:color w:val="auto"/>
              </w:rPr>
              <w:t>AFFO attributable to AMT common stockholders per Share, as adjusted</w:t>
            </w:r>
            <w:r>
              <w:rPr>
                <w:rFonts w:ascii="Times New Roman" w:cs="Times New Roman" w:eastAsia="Times New Roman" w:hAnsi="Times New Roman"/>
                <w:sz w:val="20"/>
                <w:szCs w:val="20"/>
                <w:color w:val="auto"/>
                <w:vertAlign w:val="superscript"/>
              </w:rPr>
              <w:t>(7)</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2.75</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provided by operating activities</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1,295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0.9 %</w:t>
            </w:r>
          </w:p>
        </w:tc>
      </w:tr>
      <w:tr>
        <w:trPr>
          <w:trHeight w:val="208"/>
        </w:trPr>
        <w:tc>
          <w:tcPr>
            <w:tcW w:w="70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5"/>
                <w:szCs w:val="15"/>
                <w:color w:val="auto"/>
              </w:rPr>
              <w:t>Less: total cash capital expenditures</w:t>
            </w:r>
            <w:r>
              <w:rPr>
                <w:rFonts w:ascii="Times New Roman" w:cs="Times New Roman" w:eastAsia="Times New Roman" w:hAnsi="Times New Roman"/>
                <w:sz w:val="20"/>
                <w:szCs w:val="20"/>
                <w:color w:val="auto"/>
                <w:vertAlign w:val="superscript"/>
              </w:rPr>
              <w:t>(8)</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340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r>
      <w:tr>
        <w:trPr>
          <w:trHeight w:val="193"/>
        </w:trPr>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Free Cash Flow</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955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8.3 %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9" w:right="339" w:bottom="1440" w:gutter="0" w:footer="0" w:header="0"/>
        </w:sectPr>
      </w:pPr>
    </w:p>
    <w:bookmarkStart w:id="4" w:name="page5"/>
    <w:bookmarkEnd w:id="4"/>
    <w:p>
      <w:pPr>
        <w:ind w:left="320" w:right="120" w:hanging="317"/>
        <w:spacing w:after="0" w:line="273" w:lineRule="auto"/>
        <w:tabs>
          <w:tab w:leader="none" w:pos="316"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12, 2024, American Tower Corporation (the “Company” or “American Tower”) completed the sale of 100% of the equity interests in its operations in India (“ATC TIPL” or “ATC India”) to Data Infrastructure Trust, an Infrastructure Investment Trust sponsored by an affiliate of Brookfield Asset Management (the “ATC TIPL Transaction”). The ATC TIPL Transaction qualified for presentation as discontinued operations. Prior to the divestiture and classification as discontinued operations, ATC TIPL’s operating results were included within the Asia-Pacific property segment. Accordingly, the operating results of ATC TIPL are reported as discontinued operations for all prior periods presented. Please refer to the footnotes and definitions in this release regarding treatment of discontinued operations.</w:t>
      </w:r>
    </w:p>
    <w:p>
      <w:pPr>
        <w:spacing w:after="0" w:line="1" w:lineRule="exact"/>
        <w:rPr>
          <w:rFonts w:ascii="Times New Roman" w:cs="Times New Roman" w:eastAsia="Times New Roman" w:hAnsi="Times New Roman"/>
          <w:sz w:val="12"/>
          <w:szCs w:val="12"/>
          <w:color w:val="auto"/>
        </w:rPr>
      </w:pPr>
    </w:p>
    <w:p>
      <w:pPr>
        <w:ind w:left="320" w:right="20" w:hanging="317"/>
        <w:spacing w:after="0" w:line="247" w:lineRule="auto"/>
        <w:tabs>
          <w:tab w:leader="none" w:pos="3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period results and associated growth rates for total revenue, total property revenue, total Tenant Billings Growth, Organic Tenant Billings Growth, Property Gross Margin, Adjusted EBITDA, AFFO attributable to AMT common stockholders, as adjusted, and AFFO attributable to AMT common stockholders per Share, as adjusted, exclude the impacts associated with discontinued operations related to the ATC TIPL Transaction. Net income, Net income attributable to AMT common stockholders, Net income attributable to AMT common stockholders per diluted share, Nareit Funds From Operations (FFO) attributable to AMT common stockholders, AFFO attributable to AMT common stockholders, AFFO attributable to AMT common stockholders per Share, Cash provided by operating activities, total cash capital expenditures and Free Cash Flow include the impacts associated with discontinued operations related to the ATC TIPL Transaction.</w:t>
      </w:r>
    </w:p>
    <w:p>
      <w:pPr>
        <w:spacing w:after="0" w:line="1"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Q1 2025 growth rates impacted by a decrease in non-cash straight-line revenue, which represented $17.1 million in the current period as compared to $79.1 million in the prior-year period.</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Q1 2025 growth rates impacted by foreign currency losses of approximately $(345.7) million in the current period as compared to foreign currency gains of approximately $127.7 million in the prior-year period.</w:t>
      </w:r>
    </w:p>
    <w:p>
      <w:pPr>
        <w:spacing w:after="0" w:line="16" w:lineRule="exact"/>
        <w:rPr>
          <w:rFonts w:ascii="Times New Roman" w:cs="Times New Roman" w:eastAsia="Times New Roman" w:hAnsi="Times New Roman"/>
          <w:sz w:val="12"/>
          <w:szCs w:val="12"/>
          <w:color w:val="auto"/>
        </w:rPr>
      </w:pPr>
    </w:p>
    <w:p>
      <w:pPr>
        <w:ind w:left="300" w:hanging="297"/>
        <w:spacing w:after="0"/>
        <w:tabs>
          <w:tab w:leader="none" w:pos="3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Q1 2025 growth rates were impacted by an increase in other operating income, primarily due to the gain on the sale of South Africa Fiber of $53.6 million, completed on March 6, 2025.</w:t>
      </w:r>
    </w:p>
    <w:p>
      <w:pPr>
        <w:spacing w:after="0" w:line="4" w:lineRule="exact"/>
        <w:rPr>
          <w:rFonts w:ascii="Times New Roman" w:cs="Times New Roman" w:eastAsia="Times New Roman" w:hAnsi="Times New Roman"/>
          <w:sz w:val="13"/>
          <w:szCs w:val="13"/>
          <w:color w:val="auto"/>
        </w:rPr>
      </w:pPr>
    </w:p>
    <w:p>
      <w:pPr>
        <w:ind w:left="320" w:hanging="317"/>
        <w:spacing w:after="0" w:line="247" w:lineRule="auto"/>
        <w:tabs>
          <w:tab w:leader="none" w:pos="3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Q1 2025 growth rates impacted by a decrease in non-cash straight-line revenue, net of non-cash straight-line expense, which represented $8.0 million in the current period as compared to $68.4 million in the prior period.</w:t>
      </w:r>
    </w:p>
    <w:p>
      <w:pPr>
        <w:ind w:left="320" w:right="20" w:hanging="317"/>
        <w:spacing w:after="0" w:line="247" w:lineRule="auto"/>
        <w:tabs>
          <w:tab w:leader="none" w:pos="3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AFFO attributable to AMT common stockholders from continuing operations adjusted for a full period of interest expense savings associated with the use of approximately $2.0 billion of proceeds from the ATC TIPL Transaction to pay down existing indebtedness under the 2021 Multicurrency Credit Facility (as defined below), at the applicable historical borrowing cost for the respective prior period. No additional adjustments are required related to the repayment of approximately $120 million under the Company’s unsecured term loan in India, as amended in January 2024 (the “India Term Loan”), as the historical interest expense associated with the India Term Loan is already considered as part of AFFO attributable to AMT common stockholders from discontinued operations when deriving AFFO attributable to AMT common stockholders from continued operations.</w:t>
      </w:r>
    </w:p>
    <w:p>
      <w:pPr>
        <w:spacing w:after="0" w:line="1" w:lineRule="exact"/>
        <w:rPr>
          <w:rFonts w:ascii="Times New Roman" w:cs="Times New Roman" w:eastAsia="Times New Roman" w:hAnsi="Times New Roman"/>
          <w:sz w:val="13"/>
          <w:szCs w:val="13"/>
          <w:color w:val="auto"/>
        </w:rPr>
      </w:pPr>
    </w:p>
    <w:p>
      <w:pPr>
        <w:ind w:left="320" w:right="180" w:hanging="317"/>
        <w:spacing w:after="0" w:line="255" w:lineRule="auto"/>
        <w:tabs>
          <w:tab w:leader="none" w:pos="3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Q1 2025 cash capital expenditures include $8.9 million of finance lease and perpetual land easement payments reported in cash flows from financing activities in the condensed consolidated statements of cash flows.</w:t>
      </w:r>
    </w:p>
    <w:p>
      <w:pPr>
        <w:spacing w:after="0" w:line="21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5"/>
          <w:szCs w:val="15"/>
          <w:color w:val="auto"/>
        </w:rPr>
        <w:t>Please refer to “Non-GAAP and Defined Financial Measures” below for definitions and other information regarding the Company’s use of non-GAAP measures. For financial information and reconciliations to GAAP measures, please refer to the “Unaudited Selected Consolidated Financial Information”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CAPITAL ALLOCATION OVERVIEW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Distributions </w:t>
      </w:r>
      <w:r>
        <w:rPr>
          <w:rFonts w:ascii="Times New Roman" w:cs="Times New Roman" w:eastAsia="Times New Roman" w:hAnsi="Times New Roman"/>
          <w:sz w:val="15"/>
          <w:szCs w:val="15"/>
          <w:color w:val="auto"/>
        </w:rPr>
        <w:t>– During the quarter ended March 31, 2025, the Company declared the following regular cash distributions to its common stockholders: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 Distributions</w:t>
            </w: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Q1 2025</w:t>
            </w:r>
            <w:r>
              <w:rPr>
                <w:rFonts w:ascii="Times New Roman" w:cs="Times New Roman" w:eastAsia="Times New Roman" w:hAnsi="Times New Roman"/>
                <w:sz w:val="20"/>
                <w:szCs w:val="20"/>
                <w:b w:val="1"/>
                <w:bCs w:val="1"/>
                <w:color w:val="auto"/>
                <w:vertAlign w:val="superscript"/>
              </w:rPr>
              <w:t>(1)</w:t>
            </w:r>
          </w:p>
        </w:tc>
      </w:tr>
      <w:tr>
        <w:trPr>
          <w:trHeight w:val="19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 per share</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1.70</w:t>
            </w: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Aggregate amount (in millions)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795.8</w:t>
            </w:r>
          </w:p>
        </w:tc>
      </w:tr>
      <w:tr>
        <w:trPr>
          <w:trHeight w:val="20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Year-over-year per share growth</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4.9 %</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The distribution declared on March 6, 2025 was paid on April 28, 2025 to stockholders of record as of the close of business on April 11, 2025.</w:t>
      </w:r>
    </w:p>
    <w:p>
      <w:pPr>
        <w:spacing w:after="0" w:line="23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 xml:space="preserve">Capital Expenditures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During the first quarter of 2025, total capital expenditures were approximately $340 million, of which $38 million was for non-discretionary capital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improvements and corporate capital expenditures. For additional capital expenditure details, please refer to the supplemental disclosure package available on the Company’s website.</w:t>
      </w:r>
    </w:p>
    <w:p>
      <w:pPr>
        <w:spacing w:after="0" w:line="16"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5"/>
          <w:szCs w:val="15"/>
          <w:b w:val="1"/>
          <w:bCs w:val="1"/>
          <w:i w:val="1"/>
          <w:iCs w:val="1"/>
          <w:color w:val="auto"/>
        </w:rPr>
        <w:t xml:space="preserve">Acquisitions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During the first quarter of 2025, the Company spent approximately $148 million to acquire 242 communication sites, including 145 sites in the U.S. and 97 sites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Europe.</w:t>
      </w:r>
    </w:p>
    <w:p>
      <w:pPr>
        <w:spacing w:after="0" w:line="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5"/>
          <w:szCs w:val="15"/>
          <w:color w:val="auto"/>
        </w:rPr>
        <w:t>On April 1, 2025, the Company completed the acquisition of a multi-tenant data center facility in Denver, Colorado, in which it previously leased space (“DE1”). The acquisition added incremental customer leases and operating spaces within DE1, and additional space and power capacity that the Company intends to develop within the data center.</w:t>
      </w:r>
    </w:p>
    <w:p>
      <w:pPr>
        <w:spacing w:after="0" w:line="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 xml:space="preserve">Other Events </w:t>
      </w:r>
      <w:r>
        <w:rPr>
          <w:rFonts w:ascii="Times New Roman" w:cs="Times New Roman" w:eastAsia="Times New Roman" w:hAnsi="Times New Roman"/>
          <w:sz w:val="15"/>
          <w:szCs w:val="15"/>
          <w:color w:val="auto"/>
        </w:rPr>
        <w:t>– On March 6, 2025, the Company, through its subsidiary ATC South Africa Wireless Infrastructure Proprietary Limited, completed the sale of its fiber assets in South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Africa (“South Africa Fiber”) for total consideration of 2.5 billion South African Rand (approximately $137.7 million at the date of closing), resulting in a gain on the sale of approximately $53.6 million, which was included in Other operating income in the accompanying consolidated statements of operations. Prior to the divestiture, South Africa Fiber’s operating results were included within the Africa &amp; APAC property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00"/>
          </w:cols>
          <w:pgMar w:left="320" w:top="74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color w:val="auto"/>
        </w:rPr>
        <w:t>LEVERAGE AND FINANCING OVERVIEW</w:t>
      </w:r>
    </w:p>
    <w:p>
      <w:pPr>
        <w:spacing w:after="0" w:line="12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Leverage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the quarter ended March 31, 2025, the Company’s Net Leverage Ratio was 5.0x net debt (total debt less cash and cash equivalents) to first quarter 2025 annualized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Adjusted EBITDA.</w:t>
      </w:r>
    </w:p>
    <w:tbl>
      <w:tblPr>
        <w:tblLayout w:type="fixed"/>
        <w:tblInd w:w="0" w:type="dxa"/>
        <w:tblCellMar>
          <w:top w:w="0" w:type="dxa"/>
          <w:left w:w="0" w:type="dxa"/>
          <w:bottom w:w="0" w:type="dxa"/>
          <w:right w:w="0" w:type="dxa"/>
        </w:tblCellMar>
      </w:tblPr>
      <w:tr>
        <w:trPr>
          <w:trHeight w:val="20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Calculation of Net Leverage Ratio </w:t>
            </w:r>
            <w:r>
              <w:rPr>
                <w:rFonts w:ascii="Times New Roman" w:cs="Times New Roman" w:eastAsia="Times New Roman" w:hAnsi="Times New Roman"/>
                <w:sz w:val="15"/>
                <w:szCs w:val="15"/>
                <w:i w:val="1"/>
                <w:iCs w:val="1"/>
                <w:color w:val="auto"/>
              </w:rPr>
              <w:t>($ in millions, totals may not add due to rounding.)</w:t>
            </w:r>
          </w:p>
        </w:tc>
        <w:tc>
          <w:tcPr>
            <w:tcW w:w="8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jc w:val="right"/>
              <w:ind w:right="1443"/>
              <w:spacing w:after="0"/>
              <w:rPr>
                <w:sz w:val="20"/>
                <w:szCs w:val="20"/>
                <w:color w:val="auto"/>
              </w:rPr>
            </w:pPr>
            <w:r>
              <w:rPr>
                <w:rFonts w:ascii="Times New Roman" w:cs="Times New Roman" w:eastAsia="Times New Roman" w:hAnsi="Times New Roman"/>
                <w:sz w:val="15"/>
                <w:szCs w:val="15"/>
                <w:b w:val="1"/>
                <w:bCs w:val="1"/>
                <w:color w:val="auto"/>
              </w:rPr>
              <w:t>As of March 31, 2025</w:t>
            </w:r>
          </w:p>
        </w:tc>
      </w:tr>
      <w:tr>
        <w:trPr>
          <w:trHeight w:val="20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5"/>
                <w:szCs w:val="15"/>
                <w:color w:val="auto"/>
              </w:rPr>
              <w:t>$</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36,862</w:t>
            </w:r>
          </w:p>
        </w:tc>
      </w:tr>
      <w:tr>
        <w:trPr>
          <w:trHeight w:val="20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Cash and cash equivalents</w:t>
            </w:r>
          </w:p>
        </w:tc>
        <w:tc>
          <w:tcPr>
            <w:tcW w:w="8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2,104</w:t>
            </w:r>
          </w:p>
        </w:tc>
      </w:tr>
      <w:tr>
        <w:trPr>
          <w:trHeight w:val="20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Debt</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5"/>
                <w:szCs w:val="15"/>
                <w:color w:val="auto"/>
              </w:rPr>
              <w:t>$</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34,759</w:t>
            </w:r>
          </w:p>
        </w:tc>
      </w:tr>
      <w:tr>
        <w:trPr>
          <w:trHeight w:val="206"/>
        </w:trPr>
        <w:tc>
          <w:tcPr>
            <w:tcW w:w="6800" w:type="dxa"/>
            <w:vAlign w:val="bottom"/>
            <w:tcBorders>
              <w:bottom w:val="single" w:sz="8" w:color="CCEEFF"/>
            </w:tcBorders>
          </w:tcPr>
          <w:p>
            <w:pPr>
              <w:ind w:left="20"/>
              <w:spacing w:after="0" w:line="206" w:lineRule="exact"/>
              <w:rPr>
                <w:sz w:val="20"/>
                <w:szCs w:val="20"/>
                <w:color w:val="auto"/>
              </w:rPr>
            </w:pPr>
            <w:r>
              <w:rPr>
                <w:rFonts w:ascii="Times New Roman" w:cs="Times New Roman" w:eastAsia="Times New Roman" w:hAnsi="Times New Roman"/>
                <w:sz w:val="15"/>
                <w:szCs w:val="15"/>
                <w:color w:val="auto"/>
              </w:rPr>
              <w:t>Divided By: First quarter annualized Adjusted EBITDA</w:t>
            </w:r>
            <w:r>
              <w:rPr>
                <w:rFonts w:ascii="Times New Roman" w:cs="Times New Roman" w:eastAsia="Times New Roman" w:hAnsi="Times New Roman"/>
                <w:sz w:val="20"/>
                <w:szCs w:val="20"/>
                <w:color w:val="auto"/>
                <w:vertAlign w:val="superscript"/>
              </w:rPr>
              <w:t>(1)</w:t>
            </w:r>
          </w:p>
        </w:tc>
        <w:tc>
          <w:tcPr>
            <w:tcW w:w="8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6,977</w:t>
            </w:r>
          </w:p>
        </w:tc>
      </w:tr>
      <w:tr>
        <w:trPr>
          <w:trHeight w:val="22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Leverage Ratio</w:t>
            </w:r>
          </w:p>
        </w:tc>
        <w:tc>
          <w:tcPr>
            <w:tcW w:w="80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5.0x</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Q1 2025 Adjusted EBITDA multiplied by four.</w:t>
      </w:r>
    </w:p>
    <w:p>
      <w:pPr>
        <w:spacing w:after="0" w:line="64"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5"/>
          <w:szCs w:val="15"/>
          <w:b w:val="1"/>
          <w:bCs w:val="1"/>
          <w:i w:val="1"/>
          <w:iCs w:val="1"/>
          <w:color w:val="auto"/>
        </w:rPr>
        <w:t xml:space="preserve">Liquidity and Financing Activities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of March 31, 2025, the Company had approximately $11.7 billion of total liquidity, consisting of approximately $2.1 billion in cash and cash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equivalents plus the ability to borrow an aggregate of approximately $9.6 billion under its revolving credit facilities, net of any outstanding letters of credit.</w:t>
      </w:r>
    </w:p>
    <w:p>
      <w:pPr>
        <w:spacing w:after="0" w:line="1"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5"/>
          <w:szCs w:val="15"/>
          <w:color w:val="auto"/>
        </w:rPr>
        <w:t>On January 14, 2025, the Company repaid $650.0 million aggregate principal amount of its 2.950% senior unsecured notes due 2025 upon their maturity, and on March 14, 2025, the Company repaid $750.0 million aggregate principal amount of its 2.400% senior unsecured notes due 2025 (the “2.400% Notes”) upon their maturity.</w:t>
      </w:r>
    </w:p>
    <w:p>
      <w:pPr>
        <w:spacing w:after="0" w:line="1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On January 28, 2025, the Company amended its $6.0 billion senior unsecured multicurrency revolving credit facility, as amended and restated in December 2021, as further amended (the “2021 Multicurrency Credit Facility”), its $4.0 billion senior unsecured revolving credit facility, as amended and restated in December 2021, as further amended (the “2021 Credit Facility”) and its $1.0 billion term loan, as amended and restated in December 2021, as further amended (collectively, the “Loans”), to, among other things, extend the maturity dates under the Loans and to update the Applicable Margins (as defined in the loan agreements) thereunder.</w:t>
      </w:r>
    </w:p>
    <w:p>
      <w:pPr>
        <w:spacing w:after="0" w:line="2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5"/>
          <w:szCs w:val="15"/>
          <w:color w:val="auto"/>
        </w:rPr>
        <w:t>On March 14, 2025, the Company issued senior unsecured notes due 2030 and 2035 in aggregate principal amounts of $650.0 million and $350.0 million, respectively. The 2030 notes have an interest rate of 4.900% per annum and the 2035 notes have an interest rate of 5.350% per annum. The net proceeds of the offering were used to repay the 2.400% Notes, to repay existing indebtedness under the 2021 Multicurrency Credit Facility and for general corporate purposes.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5"/>
          <w:szCs w:val="15"/>
          <w:b w:val="1"/>
          <w:bCs w:val="1"/>
          <w:color w:val="auto"/>
        </w:rPr>
        <w:t>ULL YEAR 2025 OUTLOOK</w:t>
      </w:r>
    </w:p>
    <w:p>
      <w:pPr>
        <w:spacing w:after="0" w:line="256"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5"/>
          <w:szCs w:val="15"/>
          <w:color w:val="auto"/>
        </w:rPr>
        <w:t>The following full year 2025 estimates are based on a number of assumptions that management believes to be reasonable and reflect the Company’s expectations as of April 29, 2025. Actual results may differ materially from these estimates as a result of various factors, and the Company refers you to the cautionary language regarding “forward-looking statements” included in this press release when considering this information.</w:t>
      </w:r>
    </w:p>
    <w:p>
      <w:pPr>
        <w:spacing w:after="0" w:line="3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5"/>
          <w:szCs w:val="15"/>
          <w:color w:val="auto"/>
        </w:rPr>
        <w:t>The Company’s outlook is based on the following average foreign currency exchange rates to 1.00 U.S. Dollar for April 29, 2025 through December 31, 2025: (a) 1,319 Argentinean Pesos; (b) 125.80 Bangladeshi Taka; (c) 5.90 Brazilian Reais; (d) 1.43 Canadian Dollars; (e) 985 Chilean Pesos; (f) 4,300 Colombian Pesos; (g) 0.93 Euros; (h) 15.85 Ghanaian Cedis; (i) 130 Kenyan Shillings; (j) 20.50 Mexican Pesos; (k) 1,650 Nigerian Naira; (l) 7,990 Paraguayan Guarani; (m) 3.75 Peruvian Soles; (n) 58.40 Philippine Pesos; (o) 18.90 South African Rand; (p) 3,720 Ugandan Shillings; and (q) 620 West African CFA Francs.</w:t>
      </w:r>
    </w:p>
    <w:p>
      <w:pPr>
        <w:spacing w:after="0" w:line="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color w:val="auto"/>
        </w:rPr>
        <w:t>The Company’s outlook reflects estimated positive impacts of foreign currency exchange rate fluctuations to total property revenue, Adjusted EBITDA, AFFO attributable and AFFO attributable per Share to AMT common stockholders of approximately $50 million, $30 million, $20 million and $0.04 per Share, respectively, relative to the Company’s prior 2025 outlook. The impact of foreign currency exchange rate fluctuations on net income metrics is not provided, as the impact on all components of the net income measure cannot be calculated without unreasonable effort.</w:t>
      </w:r>
    </w:p>
    <w:p>
      <w:pPr>
        <w:spacing w:after="0" w:line="3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5"/>
          <w:szCs w:val="15"/>
          <w:color w:val="auto"/>
        </w:rPr>
        <w:t>The Company’s 2024 results, for the purposes of the growth rates described below, are presented on a continuing operations basis, with the exception of Net Income, Net Income attributable to AMT common stockholders, AFFO attributable to AMT common stockholders and AFFO attributable to AMT common stockholders per Share.</w:t>
      </w:r>
    </w:p>
    <w:p>
      <w:pPr>
        <w:spacing w:after="0" w:line="2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color w:val="auto"/>
        </w:rPr>
        <w:t>As a result of the estimated positive foreign currency exchange rate fluctuations described above, the Company is raising the midpoints of its full year 2025 outlook for property revenue, Adjusted EBITDA, AFFO attributable to AMT common stockholders and AFFO attributable to AMT common stockholders per Share by $50 million, $30 million, $20 million and $0.04, respectively. The Company is reducing the midpoint for net income and net income attributable to AMT common stockholders by $185 million and $180 million, respectively, primarily due to unrealized foreign currency losses.</w:t>
      </w:r>
    </w:p>
    <w:p>
      <w:pPr>
        <w:spacing w:after="0" w:line="39"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5"/>
          <w:szCs w:val="15"/>
          <w:color w:val="auto"/>
        </w:rPr>
        <w:t>Additional information pertaining to the impact of foreign currency and Secured Overnight Financing Rate fluctuations on the Company’s outlook has been provided in the supplemental disclosure package available on the Company’s website.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8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Midpoint Growth</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Midpoint Growth</w:t>
            </w:r>
          </w:p>
        </w:tc>
        <w:tc>
          <w:tcPr>
            <w:tcW w:w="0" w:type="dxa"/>
            <w:vAlign w:val="bottom"/>
          </w:tcPr>
          <w:p>
            <w:pPr>
              <w:spacing w:after="0"/>
              <w:rPr>
                <w:sz w:val="1"/>
                <w:szCs w:val="1"/>
                <w:color w:val="auto"/>
              </w:rPr>
            </w:pPr>
          </w:p>
        </w:tc>
      </w:tr>
      <w:tr>
        <w:trPr>
          <w:trHeight w:val="154"/>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2025 Outlook: </w:t>
            </w:r>
            <w:r>
              <w:rPr>
                <w:rFonts w:ascii="Times New Roman" w:cs="Times New Roman" w:eastAsia="Times New Roman" w:hAnsi="Times New Roman"/>
                <w:sz w:val="15"/>
                <w:szCs w:val="15"/>
                <w:i w:val="1"/>
                <w:iCs w:val="1"/>
                <w:color w:val="auto"/>
              </w:rPr>
              <w:t>($ in millions, except per share amounts.)</w:t>
            </w:r>
          </w:p>
        </w:tc>
        <w:tc>
          <w:tcPr>
            <w:tcW w:w="540" w:type="dxa"/>
            <w:vAlign w:val="bottom"/>
          </w:tcPr>
          <w:p>
            <w:pPr>
              <w:spacing w:after="0"/>
              <w:rPr>
                <w:sz w:val="13"/>
                <w:szCs w:val="13"/>
                <w:color w:val="auto"/>
              </w:rPr>
            </w:pPr>
          </w:p>
        </w:tc>
        <w:tc>
          <w:tcPr>
            <w:tcW w:w="1800" w:type="dxa"/>
            <w:vAlign w:val="bottom"/>
            <w:gridSpan w:val="3"/>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Full Year 2025</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40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Rates vs. Prior Year,</w:t>
            </w:r>
          </w:p>
        </w:tc>
        <w:tc>
          <w:tcPr>
            <w:tcW w:w="0" w:type="dxa"/>
            <w:vAlign w:val="bottom"/>
          </w:tcPr>
          <w:p>
            <w:pPr>
              <w:spacing w:after="0"/>
              <w:rPr>
                <w:sz w:val="1"/>
                <w:szCs w:val="1"/>
                <w:color w:val="auto"/>
              </w:rPr>
            </w:pPr>
          </w:p>
        </w:tc>
      </w:tr>
      <w:tr>
        <w:trPr>
          <w:trHeight w:val="204"/>
        </w:trPr>
        <w:tc>
          <w:tcPr>
            <w:tcW w:w="50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Rates vs. Prior Year</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As Adjusted</w:t>
            </w:r>
          </w:p>
        </w:tc>
        <w:tc>
          <w:tcPr>
            <w:tcW w:w="0" w:type="dxa"/>
            <w:vAlign w:val="bottom"/>
          </w:tcPr>
          <w:p>
            <w:pPr>
              <w:spacing w:after="0"/>
              <w:rPr>
                <w:sz w:val="1"/>
                <w:szCs w:val="1"/>
                <w:color w:val="auto"/>
              </w:rPr>
            </w:pPr>
          </w:p>
        </w:tc>
      </w:tr>
      <w:tr>
        <w:trPr>
          <w:trHeight w:val="200"/>
        </w:trPr>
        <w:tc>
          <w:tcPr>
            <w:tcW w:w="5040" w:type="dxa"/>
            <w:vAlign w:val="bottom"/>
            <w:tcBorders>
              <w:top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Total property revenue</w:t>
            </w:r>
            <w:r>
              <w:rPr>
                <w:rFonts w:ascii="Times New Roman" w:cs="Times New Roman" w:eastAsia="Times New Roman" w:hAnsi="Times New Roman"/>
                <w:sz w:val="20"/>
                <w:szCs w:val="20"/>
                <w:color w:val="auto"/>
                <w:vertAlign w:val="superscript"/>
              </w:rPr>
              <w:t>(1)(2)</w:t>
            </w:r>
          </w:p>
        </w:tc>
        <w:tc>
          <w:tcPr>
            <w:tcW w:w="540" w:type="dxa"/>
            <w:vAlign w:val="bottom"/>
            <w:tcBorders>
              <w:top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9,970</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w:t>
            </w:r>
          </w:p>
        </w:tc>
        <w:tc>
          <w:tcPr>
            <w:tcW w:w="700" w:type="dxa"/>
            <w:vAlign w:val="bottom"/>
            <w:tcBorders>
              <w:top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10,120</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2,740</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to</w:t>
            </w:r>
          </w:p>
        </w:tc>
        <w:tc>
          <w:tcPr>
            <w:tcW w:w="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AMT common stockholders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line="206"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(3)</w:t>
            </w: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6,885</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to</w:t>
            </w:r>
          </w:p>
        </w:tc>
        <w:tc>
          <w:tcPr>
            <w:tcW w:w="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6,955</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AFFO attributable to AMT common stockholders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4,850</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4,940</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0"/>
        </w:trPr>
        <w:tc>
          <w:tcPr>
            <w:tcW w:w="5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AFFO attributable to AMT common stockholders per Share</w:t>
            </w:r>
          </w:p>
        </w:tc>
        <w:tc>
          <w:tcPr>
            <w:tcW w:w="54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to</w:t>
            </w:r>
          </w:p>
        </w:tc>
        <w:tc>
          <w:tcPr>
            <w:tcW w:w="70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w:t>
      </w:r>
    </w:p>
    <w:p>
      <w:pPr>
        <w:spacing w:after="0" w:line="17" w:lineRule="exact"/>
        <w:rPr>
          <w:sz w:val="20"/>
          <w:szCs w:val="20"/>
          <w:color w:val="auto"/>
        </w:rPr>
      </w:pPr>
    </w:p>
    <w:p>
      <w:pPr>
        <w:ind w:left="320" w:right="60" w:hanging="317"/>
        <w:spacing w:after="0" w:line="247" w:lineRule="auto"/>
        <w:tabs>
          <w:tab w:leader="none" w:pos="31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U.S. &amp; Canada segment property revenue of $5,190 million to $5,250 million, international property revenue of $3,755 million to $3,825 million and Data Centers segment property revenue of $1,025 million to $1,045 million, reflecting midpoint growth rates of (0.5)%, 0.8% and 11.9%, respectively. The U.S. &amp; Canada growth rate includes an estimated negative impact of approximately 4% associated with a decrease in non-cash straight-line revenue recognition. The international growth rate includes an estimated negative impact of nearly 5% from the translational effects of foreign currency exchange rate fluctuations. International property revenue reflects the Company’s Africa &amp; APAC, Europe and Latin America segments. Data Centers segment property revenue reflects revenue from the Company’s data center facilities and related assets.</w:t>
      </w:r>
    </w:p>
    <w:p>
      <w:pPr>
        <w:spacing w:after="0" w:line="1"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revenue growth rate includes an estimated negative impact of approximately 2% associated with straight-line revenue recognition.</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growth rate includes an estimated negative impact of approximately 3% associated with straight-line revenue recognition.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2025 Outlook for Total Property revenue, at the midpoint, includes the</w:t>
            </w:r>
          </w:p>
        </w:tc>
        <w:tc>
          <w:tcPr>
            <w:tcW w:w="17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U.S. &amp; Canada</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Data Centers</w:t>
            </w:r>
          </w:p>
        </w:tc>
        <w:tc>
          <w:tcPr>
            <w:tcW w:w="128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Total Property</w:t>
            </w: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tcPr>
          <w:p>
            <w:pPr>
              <w:ind w:left="20"/>
              <w:spacing w:after="0" w:line="206" w:lineRule="exact"/>
              <w:rPr>
                <w:sz w:val="20"/>
                <w:szCs w:val="20"/>
                <w:color w:val="auto"/>
              </w:rPr>
            </w:pPr>
            <w:r>
              <w:rPr>
                <w:rFonts w:ascii="Times New Roman" w:cs="Times New Roman" w:eastAsia="Times New Roman" w:hAnsi="Times New Roman"/>
                <w:sz w:val="15"/>
                <w:szCs w:val="15"/>
                <w:b w:val="1"/>
                <w:bCs w:val="1"/>
                <w:color w:val="auto"/>
              </w:rPr>
              <w:t>following components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 in millions, totals may not add due to rounding.)</w:t>
            </w:r>
          </w:p>
        </w:tc>
        <w:tc>
          <w:tcPr>
            <w:tcW w:w="1460" w:type="dxa"/>
            <w:vAlign w:val="bottom"/>
            <w:tcBorders>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5"/>
                <w:szCs w:val="15"/>
                <w:b w:val="1"/>
                <w:bCs w:val="1"/>
                <w:color w:val="auto"/>
                <w:w w:val="95"/>
              </w:rPr>
              <w:t>Property</w:t>
            </w:r>
            <w:r>
              <w:rPr>
                <w:rFonts w:ascii="Times New Roman" w:cs="Times New Roman" w:eastAsia="Times New Roman" w:hAnsi="Times New Roman"/>
                <w:sz w:val="20"/>
                <w:szCs w:val="20"/>
                <w:b w:val="1"/>
                <w:bCs w:val="1"/>
                <w:color w:val="auto"/>
                <w:w w:val="95"/>
                <w:vertAlign w:val="superscript"/>
              </w:rPr>
              <w:t>(2)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3"/>
              <w:spacing w:after="0" w:line="206" w:lineRule="exact"/>
              <w:rPr>
                <w:sz w:val="20"/>
                <w:szCs w:val="20"/>
                <w:color w:val="auto"/>
              </w:rPr>
            </w:pPr>
            <w:r>
              <w:rPr>
                <w:rFonts w:ascii="Times New Roman" w:cs="Times New Roman" w:eastAsia="Times New Roman" w:hAnsi="Times New Roman"/>
                <w:sz w:val="15"/>
                <w:szCs w:val="15"/>
                <w:b w:val="1"/>
                <w:bCs w:val="1"/>
                <w:color w:val="auto"/>
              </w:rPr>
              <w:t>Property</w:t>
            </w:r>
            <w:r>
              <w:rPr>
                <w:rFonts w:ascii="Times New Roman" w:cs="Times New Roman" w:eastAsia="Times New Roman" w:hAnsi="Times New Roman"/>
                <w:sz w:val="20"/>
                <w:szCs w:val="20"/>
                <w:b w:val="1"/>
                <w:bCs w:val="1"/>
                <w:color w:val="auto"/>
                <w:vertAlign w:val="superscript"/>
              </w:rPr>
              <w:t>(3)</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5"/>
                <w:szCs w:val="15"/>
                <w:b w:val="1"/>
                <w:bCs w:val="1"/>
                <w:color w:val="auto"/>
                <w:w w:val="98"/>
              </w:rPr>
              <w:t>Property</w:t>
            </w:r>
            <w:r>
              <w:rPr>
                <w:rFonts w:ascii="Times New Roman" w:cs="Times New Roman" w:eastAsia="Times New Roman" w:hAnsi="Times New Roman"/>
                <w:sz w:val="20"/>
                <w:szCs w:val="20"/>
                <w:b w:val="1"/>
                <w:bCs w:val="1"/>
                <w:color w:val="auto"/>
                <w:w w:val="98"/>
                <w:vertAlign w:val="superscript"/>
              </w:rPr>
              <w:t>(4)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International pass-through revenue</w:t>
            </w:r>
          </w:p>
        </w:tc>
        <w:tc>
          <w:tcPr>
            <w:tcW w:w="174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N/A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1,034</w:t>
            </w:r>
          </w:p>
        </w:tc>
        <w:tc>
          <w:tcPr>
            <w:tcW w:w="8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N/A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1,034</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Straight-line revenue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discussion regarding these components, please refer to “Revenue Components” below.</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&amp; Canada property revenue includes revenue from all assets in the United States and Canada, other than data center facilities and related assets.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property revenue reflects the Company’s Africa &amp; APAC, Europe and Latin America segments.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Centers property revenue reflects revenue from the Company’s data center facilities and related assets.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2025 Outlook for Total Tenant Billings Growth, at the midpoint, includes the following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U.S. &amp; Canada</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5"/>
                <w:szCs w:val="15"/>
                <w:b w:val="1"/>
                <w:bCs w:val="1"/>
                <w:color w:val="auto"/>
              </w:rPr>
              <w:t>Total Property</w:t>
            </w:r>
          </w:p>
        </w:tc>
        <w:tc>
          <w:tcPr>
            <w:tcW w:w="0" w:type="dxa"/>
            <w:vAlign w:val="bottom"/>
          </w:tcPr>
          <w:p>
            <w:pPr>
              <w:spacing w:after="0"/>
              <w:rPr>
                <w:sz w:val="1"/>
                <w:szCs w:val="1"/>
                <w:color w:val="auto"/>
              </w:rPr>
            </w:pPr>
          </w:p>
        </w:tc>
      </w:tr>
      <w:tr>
        <w:trPr>
          <w:trHeight w:val="206"/>
        </w:trPr>
        <w:tc>
          <w:tcPr>
            <w:tcW w:w="6640" w:type="dxa"/>
            <w:vAlign w:val="bottom"/>
            <w:tcBorders>
              <w:bottom w:val="single" w:sz="8" w:color="CCEEFF"/>
            </w:tcBorders>
          </w:tcPr>
          <w:p>
            <w:pPr>
              <w:ind w:left="20"/>
              <w:spacing w:after="0" w:line="206" w:lineRule="exact"/>
              <w:rPr>
                <w:sz w:val="20"/>
                <w:szCs w:val="20"/>
                <w:color w:val="auto"/>
              </w:rPr>
            </w:pPr>
            <w:r>
              <w:rPr>
                <w:rFonts w:ascii="Times New Roman" w:cs="Times New Roman" w:eastAsia="Times New Roman" w:hAnsi="Times New Roman"/>
                <w:sz w:val="15"/>
                <w:szCs w:val="15"/>
                <w:b w:val="1"/>
                <w:bCs w:val="1"/>
                <w:color w:val="auto"/>
              </w:rPr>
              <w:t>components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(Totals may not add due to rounding.)</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5"/>
                <w:szCs w:val="15"/>
                <w:b w:val="1"/>
                <w:bCs w:val="1"/>
                <w:color w:val="auto"/>
                <w:w w:val="95"/>
              </w:rPr>
              <w:t>Property</w:t>
            </w:r>
            <w:r>
              <w:rPr>
                <w:rFonts w:ascii="Times New Roman" w:cs="Times New Roman" w:eastAsia="Times New Roman" w:hAnsi="Times New Roman"/>
                <w:sz w:val="20"/>
                <w:szCs w:val="20"/>
                <w:b w:val="1"/>
                <w:bCs w:val="1"/>
                <w:color w:val="auto"/>
                <w:w w:val="95"/>
                <w:vertAlign w:val="superscript"/>
              </w:rPr>
              <w:t>(2)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Organic Tenant Billings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≥4.3%</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~5%</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New Site Tenant Billings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0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Tenant Billings Growth</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≥4.3%</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44"/>
        </w:trPr>
        <w:tc>
          <w:tcPr>
            <w:tcW w:w="664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right="80" w:hanging="317"/>
        <w:spacing w:after="0" w:line="247" w:lineRule="auto"/>
        <w:tabs>
          <w:tab w:leader="none" w:pos="31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discussion regarding the component growth rates, please refer to “Revenue Components” below. Tenant Billings Growth is not applicable to the Data Centers segment. For additional details related to the Data Centers segment, please refer to the supplemental disclosure package available on the Company’s website.</w:t>
      </w:r>
    </w:p>
    <w:p>
      <w:pPr>
        <w:ind w:left="300" w:hanging="297"/>
        <w:spacing w:after="0"/>
        <w:tabs>
          <w:tab w:leader="none" w:pos="3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property Tenant Billings Growth reflects the Company’s Africa &amp; APAC, Europe and Latin America segments.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Outlook for Capital Expenditures: </w:t>
            </w:r>
            <w:r>
              <w:rPr>
                <w:rFonts w:ascii="Times New Roman" w:cs="Times New Roman" w:eastAsia="Times New Roman" w:hAnsi="Times New Roman"/>
                <w:sz w:val="15"/>
                <w:szCs w:val="15"/>
                <w:i w:val="1"/>
                <w:iCs w:val="1"/>
                <w:color w:val="auto"/>
              </w:rPr>
              <w:t>($ in millions, totals may not add due to rounding.)</w:t>
            </w:r>
          </w:p>
        </w:tc>
        <w:tc>
          <w:tcPr>
            <w:tcW w:w="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Full Year 2025</w:t>
            </w:r>
          </w:p>
        </w:tc>
        <w:tc>
          <w:tcPr>
            <w:tcW w:w="780" w:type="dxa"/>
            <w:vAlign w:val="bottom"/>
            <w:tcBorders>
              <w:bottom w:val="single" w:sz="8" w:color="auto"/>
            </w:tcBorders>
          </w:tcPr>
          <w:p>
            <w:pPr>
              <w:spacing w:after="0"/>
              <w:rPr>
                <w:sz w:val="17"/>
                <w:szCs w:val="17"/>
                <w:color w:val="auto"/>
              </w:rPr>
            </w:pPr>
          </w:p>
        </w:tc>
      </w:tr>
      <w:tr>
        <w:trPr>
          <w:trHeight w:val="201"/>
        </w:trPr>
        <w:tc>
          <w:tcPr>
            <w:tcW w:w="79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5"/>
                <w:szCs w:val="15"/>
                <w:color w:val="auto"/>
              </w:rPr>
              <w:t>Discretionary capital projects</w:t>
            </w:r>
            <w:r>
              <w:rPr>
                <w:rFonts w:ascii="Times New Roman" w:cs="Times New Roman" w:eastAsia="Times New Roman" w:hAnsi="Times New Roman"/>
                <w:sz w:val="20"/>
                <w:szCs w:val="20"/>
                <w:color w:val="auto"/>
                <w:vertAlign w:val="superscript"/>
              </w:rPr>
              <w:t>(1)</w:t>
            </w:r>
          </w:p>
        </w:tc>
        <w:tc>
          <w:tcPr>
            <w:tcW w:w="56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6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910</w:t>
            </w: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Ground lease purchases</w:t>
            </w: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6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210</w:t>
            </w:r>
          </w:p>
        </w:tc>
      </w:tr>
      <w:tr>
        <w:trPr>
          <w:trHeight w:val="20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Start-up capital projects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w:t>
            </w: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Redevelopment</w:t>
            </w: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6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390</w:t>
            </w:r>
          </w:p>
        </w:tc>
      </w:tr>
      <w:tr>
        <w:trPr>
          <w:trHeight w:val="20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 improvement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w:t>
            </w:r>
          </w:p>
        </w:tc>
      </w:tr>
      <w:tr>
        <w:trPr>
          <w:trHeight w:val="20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Corporate</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w:t>
            </w:r>
          </w:p>
        </w:tc>
      </w:tr>
      <w:tr>
        <w:trPr>
          <w:trHeight w:val="198"/>
        </w:trPr>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1,745</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5"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construction of 1,950 to 2,550 communications sites globally and $610 million of development spend in the Company’s Data Centers segment.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76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Reconciliation of Outlook for Adjusted EBITDA to Net income: </w:t>
            </w:r>
            <w:r>
              <w:rPr>
                <w:rFonts w:ascii="Times New Roman" w:cs="Times New Roman" w:eastAsia="Times New Roman" w:hAnsi="Times New Roman"/>
                <w:sz w:val="15"/>
                <w:szCs w:val="15"/>
                <w:i w:val="1"/>
                <w:iCs w:val="1"/>
                <w:color w:val="auto"/>
              </w:rPr>
              <w:t>($ in millions, totals may not add due to rounding.)</w:t>
            </w:r>
          </w:p>
        </w:tc>
        <w:tc>
          <w:tcPr>
            <w:tcW w:w="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Full Year 2025</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5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2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2,840</w:t>
            </w: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1,350</w:t>
            </w: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2,010</w:t>
            </w: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provision</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365</w:t>
            </w:r>
          </w:p>
        </w:tc>
        <w:tc>
          <w:tcPr>
            <w:tcW w:w="0" w:type="dxa"/>
            <w:vAlign w:val="bottom"/>
          </w:tcPr>
          <w:p>
            <w:pPr>
              <w:spacing w:after="0"/>
              <w:rPr>
                <w:sz w:val="1"/>
                <w:szCs w:val="1"/>
                <w:color w:val="auto"/>
              </w:rPr>
            </w:pPr>
          </w:p>
        </w:tc>
      </w:tr>
      <w:tr>
        <w:trPr>
          <w:trHeight w:val="24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155"/>
        </w:trPr>
        <w:tc>
          <w:tcPr>
            <w:tcW w:w="794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Other, including other operating expenses, interest income, (gain) loss on retirement of long-term obligations and other</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20" w:type="dxa"/>
            <w:vAlign w:val="bottom"/>
          </w:tcPr>
          <w:p>
            <w:pPr>
              <w:spacing w:after="0"/>
              <w:rPr>
                <w:sz w:val="13"/>
                <w:szCs w:val="13"/>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202"/>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(income) expense</w:t>
            </w:r>
          </w:p>
        </w:tc>
        <w:tc>
          <w:tcPr>
            <w:tcW w:w="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Adjusted EBITDA</w:t>
            </w:r>
          </w:p>
        </w:tc>
        <w:tc>
          <w:tcPr>
            <w:tcW w:w="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6,885</w:t>
            </w: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6,955</w:t>
            </w:r>
          </w:p>
        </w:tc>
        <w:tc>
          <w:tcPr>
            <w:tcW w:w="0" w:type="dxa"/>
            <w:vAlign w:val="bottom"/>
          </w:tcPr>
          <w:p>
            <w:pPr>
              <w:spacing w:after="0"/>
              <w:rPr>
                <w:sz w:val="1"/>
                <w:szCs w:val="1"/>
                <w:color w:val="auto"/>
              </w:rPr>
            </w:pPr>
          </w:p>
        </w:tc>
      </w:tr>
      <w:tr>
        <w:trPr>
          <w:trHeight w:val="507"/>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Reconciliation of Outlook for AFFO attributable to AMT common stockholders to Net income: </w:t>
            </w:r>
            <w:r>
              <w:rPr>
                <w:rFonts w:ascii="Times New Roman" w:cs="Times New Roman" w:eastAsia="Times New Roman" w:hAnsi="Times New Roman"/>
                <w:sz w:val="15"/>
                <w:szCs w:val="15"/>
                <w:i w:val="1"/>
                <w:iCs w:val="1"/>
                <w:color w:val="auto"/>
              </w:rPr>
              <w:t>($ in millions, except</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gridSpan w:val="5"/>
            <w:vMerge w:val="restart"/>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Full Year 2025</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share and per share data, totals may not add due to rounding.)</w:t>
            </w:r>
          </w:p>
        </w:tc>
        <w:tc>
          <w:tcPr>
            <w:tcW w:w="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5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2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2,840</w:t>
            </w:r>
          </w:p>
        </w:tc>
        <w:tc>
          <w:tcPr>
            <w:tcW w:w="0" w:type="dxa"/>
            <w:vAlign w:val="bottom"/>
          </w:tcPr>
          <w:p>
            <w:pPr>
              <w:spacing w:after="0"/>
              <w:rPr>
                <w:sz w:val="1"/>
                <w:szCs w:val="1"/>
                <w:color w:val="auto"/>
              </w:rPr>
            </w:pPr>
          </w:p>
        </w:tc>
      </w:tr>
      <w:tr>
        <w:trPr>
          <w:trHeight w:val="203"/>
        </w:trPr>
        <w:tc>
          <w:tcPr>
            <w:tcW w:w="7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Straight-line revenue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Straight-line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3"/>
        </w:trPr>
        <w:tc>
          <w:tcPr>
            <w:tcW w:w="7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2,010</w:t>
            </w: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203"/>
        </w:trPr>
        <w:tc>
          <w:tcPr>
            <w:tcW w:w="7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Deferred portion of income tax and other income tax adjustments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58"/>
        </w:trPr>
        <w:tc>
          <w:tcPr>
            <w:tcW w:w="794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5"/>
                <w:szCs w:val="15"/>
                <w:color w:val="auto"/>
              </w:rPr>
              <w:t>Other, including other operating expense, amortization of deferred financing costs, debt discounts and premiums, (gain)</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375</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loss on retirement of long-term obligations, other (income) expense and long-term deferred interest charges</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Capital improvement capital expenditures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3"/>
          </w:tcPr>
          <w:p>
            <w:pPr>
              <w:jc w:val="right"/>
              <w:ind w:right="82"/>
              <w:spacing w:after="0"/>
              <w:rPr>
                <w:sz w:val="20"/>
                <w:szCs w:val="20"/>
                <w:color w:val="auto"/>
              </w:rPr>
            </w:pPr>
            <w:r>
              <w:rPr>
                <w:rFonts w:ascii="Times New Roman" w:cs="Times New Roman" w:eastAsia="Times New Roman" w:hAnsi="Times New Roman"/>
                <w:sz w:val="15"/>
                <w:szCs w:val="15"/>
                <w:color w:val="auto"/>
              </w:rPr>
              <w:t>(145) 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(155)</w:t>
            </w: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Corporate capital expenditures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Adjustments and distributions for unconsolidated affiliates and noncontrolling interests</w:t>
            </w:r>
          </w:p>
        </w:tc>
        <w:tc>
          <w:tcPr>
            <w:tcW w:w="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(373)</w:t>
            </w:r>
          </w:p>
        </w:tc>
        <w:tc>
          <w:tcPr>
            <w:tcW w:w="0" w:type="dxa"/>
            <w:vAlign w:val="bottom"/>
          </w:tcPr>
          <w:p>
            <w:pPr>
              <w:spacing w:after="0"/>
              <w:rPr>
                <w:sz w:val="1"/>
                <w:szCs w:val="1"/>
                <w:color w:val="auto"/>
              </w:rPr>
            </w:pPr>
          </w:p>
        </w:tc>
      </w:tr>
      <w:tr>
        <w:trPr>
          <w:trHeight w:val="20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AFFO attributable to AMT common stockholders</w:t>
            </w:r>
          </w:p>
        </w:tc>
        <w:tc>
          <w:tcPr>
            <w:tcW w:w="5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2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4,940</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Divided by weighted average diluted shares outstanding (in thousands)</w:t>
            </w:r>
          </w:p>
        </w:tc>
        <w:tc>
          <w:tcPr>
            <w:tcW w:w="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468,700</w:t>
            </w: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468,700</w:t>
            </w:r>
          </w:p>
        </w:tc>
        <w:tc>
          <w:tcPr>
            <w:tcW w:w="0" w:type="dxa"/>
            <w:vAlign w:val="bottom"/>
          </w:tcPr>
          <w:p>
            <w:pPr>
              <w:spacing w:after="0"/>
              <w:rPr>
                <w:sz w:val="1"/>
                <w:szCs w:val="1"/>
                <w:color w:val="auto"/>
              </w:rPr>
            </w:pPr>
          </w:p>
        </w:tc>
      </w:tr>
      <w:tr>
        <w:trPr>
          <w:trHeight w:val="20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AFFO attributable to AMT common stockholders per Share</w:t>
            </w:r>
          </w:p>
        </w:tc>
        <w:tc>
          <w:tcPr>
            <w:tcW w:w="5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w:t>
            </w:r>
          </w:p>
        </w:tc>
        <w:tc>
          <w:tcPr>
            <w:tcW w:w="62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10.54</w:t>
            </w:r>
          </w:p>
        </w:tc>
        <w:tc>
          <w:tcPr>
            <w:tcW w:w="0" w:type="dxa"/>
            <w:vAlign w:val="bottom"/>
          </w:tcPr>
          <w:p>
            <w:pPr>
              <w:spacing w:after="0"/>
              <w:rPr>
                <w:sz w:val="1"/>
                <w:szCs w:val="1"/>
                <w:color w:val="auto"/>
              </w:rPr>
            </w:pPr>
          </w:p>
        </w:tc>
      </w:tr>
      <w:tr>
        <w:trPr>
          <w:trHeight w:val="584"/>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 of Outlook for EBITDA to AFFO attributable to AMT common stockholders and AFFO attributable to</w:t>
            </w:r>
          </w:p>
        </w:tc>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94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 xml:space="preserve">American Tower Corporation common stockholders per Share: </w:t>
            </w:r>
            <w:r>
              <w:rPr>
                <w:rFonts w:ascii="Times New Roman" w:cs="Times New Roman" w:eastAsia="Times New Roman" w:hAnsi="Times New Roman"/>
                <w:sz w:val="15"/>
                <w:szCs w:val="15"/>
                <w:i w:val="1"/>
                <w:iCs w:val="1"/>
                <w:color w:val="auto"/>
              </w:rPr>
              <w:t>($ in millions, except share and per share data, totals may</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gridSpan w:val="5"/>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Full Year 2025</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not add due to rounding.)</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w:t>
            </w:r>
          </w:p>
        </w:tc>
        <w:tc>
          <w:tcPr>
            <w:tcW w:w="50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6,885 to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Straight-line revenue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3"/>
          </w:tcPr>
          <w:p>
            <w:pPr>
              <w:jc w:val="right"/>
              <w:ind w:right="62"/>
              <w:spacing w:after="0"/>
              <w:rPr>
                <w:sz w:val="20"/>
                <w:szCs w:val="20"/>
                <w:color w:val="auto"/>
              </w:rPr>
            </w:pPr>
            <w:r>
              <w:rPr>
                <w:rFonts w:ascii="Times New Roman" w:cs="Times New Roman" w:eastAsia="Times New Roman" w:hAnsi="Times New Roman"/>
                <w:sz w:val="15"/>
                <w:szCs w:val="15"/>
                <w:color w:val="auto"/>
              </w:rPr>
              <w:t>(61)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Straight-line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Cash interest expense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3"/>
          </w:tcPr>
          <w:p>
            <w:pPr>
              <w:jc w:val="right"/>
              <w:ind w:right="102"/>
              <w:spacing w:after="0"/>
              <w:rPr>
                <w:sz w:val="20"/>
                <w:szCs w:val="20"/>
                <w:color w:val="auto"/>
              </w:rPr>
            </w:pPr>
            <w:r>
              <w:rPr>
                <w:rFonts w:ascii="Times New Roman" w:cs="Times New Roman" w:eastAsia="Times New Roman" w:hAnsi="Times New Roman"/>
                <w:sz w:val="15"/>
                <w:szCs w:val="15"/>
                <w:color w:val="auto"/>
              </w:rPr>
              <w:t>(1,320) 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income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3"/>
          </w:tcPr>
          <w:p>
            <w:pPr>
              <w:jc w:val="right"/>
              <w:ind w:right="102"/>
              <w:spacing w:after="0"/>
              <w:rPr>
                <w:sz w:val="20"/>
                <w:szCs w:val="20"/>
                <w:color w:val="auto"/>
              </w:rPr>
            </w:pPr>
            <w:r>
              <w:rPr>
                <w:rFonts w:ascii="Times New Roman" w:cs="Times New Roman" w:eastAsia="Times New Roman" w:hAnsi="Times New Roman"/>
                <w:sz w:val="15"/>
                <w:szCs w:val="15"/>
                <w:color w:val="auto"/>
              </w:rPr>
              <w:t>(270) 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Capital improvement capital expenditures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(145) to</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Corporate capital expenditures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3"/>
          </w:tcPr>
          <w:p>
            <w:pPr>
              <w:jc w:val="right"/>
              <w:ind w:right="62"/>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and dividends from non-controlling interest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(373)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AFFO Attributable to Common Stockholders</w:t>
            </w:r>
          </w:p>
        </w:tc>
        <w:tc>
          <w:tcPr>
            <w:tcW w:w="500" w:type="dxa"/>
            <w:vAlign w:val="bottom"/>
            <w:tcBorders>
              <w:top w:val="single" w:sz="8" w:color="auto"/>
              <w:bottom w:val="single" w:sz="8" w:color="auto"/>
            </w:tcBorders>
            <w:gridSpan w:val="2"/>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4,850</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Divided by weighted average shares outstanding</w:t>
            </w:r>
          </w:p>
        </w:tc>
        <w:tc>
          <w:tcPr>
            <w:tcW w:w="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468,700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468,700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AFFO attributable to AMT common stockholders per Share</w:t>
            </w:r>
          </w:p>
        </w:tc>
        <w:tc>
          <w:tcPr>
            <w:tcW w:w="500" w:type="dxa"/>
            <w:vAlign w:val="bottom"/>
            <w:tcBorders>
              <w:bottom w:val="single" w:sz="8" w:color="auto"/>
            </w:tcBorders>
            <w:gridSpan w:val="2"/>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2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to</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20"/>
          </w:cols>
          <w:pgMar w:left="320" w:top="106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color w:val="auto"/>
        </w:rPr>
        <w:t>Conference Call Information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American Tower will host a conference call today at 8:30 a.m. ET to discuss its financial results for the quarter and full year ended March 31, 2025 and its updated outlook for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Supplemental materials for the call will be available on the Company’s website, </w:t>
      </w:r>
      <w:r>
        <w:rPr>
          <w:rFonts w:ascii="Times New Roman" w:cs="Times New Roman" w:eastAsia="Times New Roman" w:hAnsi="Times New Roman"/>
          <w:sz w:val="15"/>
          <w:szCs w:val="15"/>
          <w:u w:val="single" w:color="auto"/>
          <w:color w:val="0000FF"/>
        </w:rPr>
        <w:t>www.americantower.com</w:t>
      </w:r>
      <w:r>
        <w:rPr>
          <w:rFonts w:ascii="Times New Roman" w:cs="Times New Roman" w:eastAsia="Times New Roman" w:hAnsi="Times New Roman"/>
          <w:sz w:val="15"/>
          <w:szCs w:val="15"/>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Pre-Registration Link for Dial-in Access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Participants can pre-register for the conference call </w:t>
      </w:r>
      <w:r>
        <w:rPr>
          <w:rFonts w:ascii="Times New Roman" w:cs="Times New Roman" w:eastAsia="Times New Roman" w:hAnsi="Times New Roman"/>
          <w:sz w:val="15"/>
          <w:szCs w:val="15"/>
          <w:u w:val="single" w:color="auto"/>
          <w:color w:val="0000FF"/>
        </w:rPr>
        <w:t>here</w:t>
      </w:r>
      <w:r>
        <w:rPr>
          <w:rFonts w:ascii="Times New Roman" w:cs="Times New Roman" w:eastAsia="Times New Roman" w:hAnsi="Times New Roman"/>
          <w:sz w:val="15"/>
          <w:szCs w:val="15"/>
          <w:color w:val="auto"/>
        </w:rPr>
        <w:t xml:space="preserve"> in order to receive dial-in information and a personalized PIN.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Access via Webcast</w:t>
      </w:r>
    </w:p>
    <w:p>
      <w:pPr>
        <w:spacing w:after="0" w:line="31" w:lineRule="exact"/>
        <w:rPr>
          <w:sz w:val="20"/>
          <w:szCs w:val="20"/>
          <w:color w:val="auto"/>
        </w:rPr>
      </w:pPr>
    </w:p>
    <w:p>
      <w:pPr>
        <w:ind w:right="2080"/>
        <w:spacing w:after="0" w:line="278" w:lineRule="auto"/>
        <w:rPr>
          <w:sz w:val="20"/>
          <w:szCs w:val="20"/>
          <w:color w:val="auto"/>
        </w:rPr>
      </w:pPr>
      <w:r>
        <w:rPr>
          <w:rFonts w:ascii="Times New Roman" w:cs="Times New Roman" w:eastAsia="Times New Roman" w:hAnsi="Times New Roman"/>
          <w:sz w:val="15"/>
          <w:szCs w:val="15"/>
          <w:color w:val="auto"/>
        </w:rPr>
        <w:t xml:space="preserve">The earnings call will be broadcast live (listen only) and can be replayed shortly after the conclusion of the call via the Investor Relations webcast at </w:t>
      </w:r>
      <w:r>
        <w:rPr>
          <w:rFonts w:ascii="Times New Roman" w:cs="Times New Roman" w:eastAsia="Times New Roman" w:hAnsi="Times New Roman"/>
          <w:sz w:val="15"/>
          <w:szCs w:val="15"/>
          <w:u w:val="single" w:color="auto"/>
          <w:color w:val="0000FF"/>
        </w:rPr>
        <w:t>https://www.americantower.com/investor-relations/webcasts/.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American Tower</w:t>
      </w:r>
    </w:p>
    <w:p>
      <w:pPr>
        <w:spacing w:after="0" w:line="3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5"/>
          <w:szCs w:val="15"/>
          <w:color w:val="auto"/>
        </w:rPr>
        <w:t xml:space="preserve">American Tower, one of the largest global REITs, is a leading independent owner, operator and developer of multitenant communications real estate with a portfolio of over 149,000 communications sites and a highly interconnected footprint of U.S. data center facilities. For more information about American Tower, please visit the “Earnings Materials” and “Investor Presentations” sections of our investor relations hub at </w:t>
      </w:r>
      <w:r>
        <w:rPr>
          <w:rFonts w:ascii="Times New Roman" w:cs="Times New Roman" w:eastAsia="Times New Roman" w:hAnsi="Times New Roman"/>
          <w:sz w:val="15"/>
          <w:szCs w:val="15"/>
          <w:u w:val="single" w:color="auto"/>
          <w:color w:val="0000FF"/>
        </w:rPr>
        <w:t>www.americantower.com</w:t>
      </w:r>
      <w:r>
        <w:rPr>
          <w:rFonts w:ascii="Times New Roman" w:cs="Times New Roman" w:eastAsia="Times New Roman" w:hAnsi="Times New Roman"/>
          <w:sz w:val="15"/>
          <w:szCs w:val="15"/>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Non-GAAP and Defined Financial Measures</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In addition to the results prepared in accordance with generally accepted accounting principles in the United States (GAAP) provided throughout this press release, the Company has presented the following Non-GAAP and Defined Financial Measures: Segment Gross Margin, Segment Operating Profit, Segment Operating Profit Margin, Adjusted EBITDA, Adjusted EBITDA Margin, Nareit Funds From Operations (FFO) attributable to American Tower Corporation common stockholders, Adjusted Funds From Operations (AFFO) attributable to American Tower Corporation common stockholders, AFFO attributable to American Tower Corporation common stockholders, as adjusted, AFFO attributable to American Tower Corporation common stockholders per Share, AFFO attributable to American Tower Corporation common stockholders per Share, as adjusted, Free Cash Flow, Net Debt and Net Leverage Ratio. In addition, the Company presents: Tenant Billings, Tenant Billings Growth, Organic Tenant Billings Growth and New Site Tenant Billings Growth.</w:t>
      </w:r>
    </w:p>
    <w:p>
      <w:pPr>
        <w:spacing w:after="0" w:line="3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5"/>
          <w:szCs w:val="15"/>
          <w:color w:val="auto"/>
        </w:rPr>
        <w:t>These measures are not intended to replace financial performance measures determined in accordance with GAAP. Rather, they are presented as additional information because management believes they are useful indicators of the current financial performance of the Company's core businesses and are commonly used across its industry peer group. As outlined in detail below, the Company believes that these measures can assist in comparing company performance on a consistent basis irrespective of depreciation and amortization or capital structure, while also providing valuable incremental insight into the underlying operating trends of its business.</w:t>
      </w:r>
    </w:p>
    <w:p>
      <w:pPr>
        <w:spacing w:after="0" w:line="22" w:lineRule="exact"/>
        <w:rPr>
          <w:sz w:val="20"/>
          <w:szCs w:val="20"/>
          <w:color w:val="auto"/>
        </w:rPr>
      </w:pPr>
    </w:p>
    <w:p>
      <w:pPr>
        <w:jc w:val="both"/>
        <w:ind w:right="520"/>
        <w:spacing w:after="0" w:line="305" w:lineRule="auto"/>
        <w:rPr>
          <w:sz w:val="20"/>
          <w:szCs w:val="20"/>
          <w:color w:val="auto"/>
        </w:rPr>
      </w:pPr>
      <w:r>
        <w:rPr>
          <w:rFonts w:ascii="Times New Roman" w:cs="Times New Roman" w:eastAsia="Times New Roman" w:hAnsi="Times New Roman"/>
          <w:sz w:val="15"/>
          <w:szCs w:val="15"/>
          <w:color w:val="auto"/>
        </w:rPr>
        <w:t>Depreciation and amortization can vary significantly among companies depending on accounting methods, particularly where acquisitions or non-operating factors, including historical cost basis, are involved. The Company's Non-GAAP and Defined Financial Measures may not be comparable to similarly titled measures used by other companies.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Revenue Components</w:t>
      </w:r>
    </w:p>
    <w:p>
      <w:pPr>
        <w:spacing w:after="0" w:line="11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5"/>
          <w:szCs w:val="15"/>
          <w:color w:val="auto"/>
        </w:rPr>
        <w:t>In addition to reporting total revenue, the Company believes that providing transparency around the components of its revenue provides investors with insight into the indicators of the underlying demand for, and operating performance of, its real estate portfolio. Accordingly, the Company has provided disclosure of the following revenue components: (i) Tenant Billings; (ii) New Site Tenant Billings; (iii) Organic Tenant Billings; (iv) International pass-through revenue; (v) Straight-line revenue; (vi) Pre-paid amortization revenue; (vii) Foreign currency exchange impact; and (viii) Other revenue.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Tenant Billings: </w:t>
      </w:r>
      <w:r>
        <w:rPr>
          <w:rFonts w:ascii="Times New Roman" w:cs="Times New Roman" w:eastAsia="Times New Roman" w:hAnsi="Times New Roman"/>
          <w:sz w:val="15"/>
          <w:szCs w:val="15"/>
          <w:color w:val="auto"/>
        </w:rPr>
        <w:t>The majority of the Company’s revenue is generated from non-cancellable, long-term tenant leases. Revenue from Tenant Billings reflects several key aspects of the</w:t>
      </w:r>
    </w:p>
    <w:p>
      <w:pPr>
        <w:spacing w:after="0" w:line="3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Company’s real estate business: (i) “colocations/amendments” reflects new tenant leases for space on existing sites and amendments to existing leases to add additional tenant equipment; (ii) “escalations” reflects contractual increases in billing rates, which are typically tied to fixed percentages or a variable percentage based on a consumer price index; (iii) “cancellations” reflects the impact of tenant lease terminations or non-renewals or, in limited circumstances, when the lease rates on existing leases are reduced; and (iv) “new sites” reflects the impact of new property construction and acquisitions.</w:t>
      </w:r>
    </w:p>
    <w:p>
      <w:pPr>
        <w:spacing w:after="0" w:line="3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New Site Tenant Billings: </w:t>
      </w:r>
      <w:r>
        <w:rPr>
          <w:rFonts w:ascii="Times New Roman" w:cs="Times New Roman" w:eastAsia="Times New Roman" w:hAnsi="Times New Roman"/>
          <w:sz w:val="15"/>
          <w:szCs w:val="15"/>
          <w:color w:val="auto"/>
        </w:rPr>
        <w:t>Day-one Tenant Billings associated with sites that have been built or acquired since the beginning of the prior-year period. Incremental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colocations/amendments, escalations or cancellations that occur on these sites after the date of their addition to our portfolio are not included in New Site Tenant Billings. In certain cases, this could also include the net impact of certain divestitures. The Company believes providing New Site Tenant Billings enhances an investor’s ability to analyze the Company’s existing real estate portfolio growth as well as its development program growth, as the Company’s construction and acquisition activities can drive variability in growth rates from period to period.</w:t>
      </w:r>
    </w:p>
    <w:p>
      <w:pPr>
        <w:spacing w:after="0" w:line="37"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5"/>
          <w:szCs w:val="15"/>
          <w:b w:val="1"/>
          <w:bCs w:val="1"/>
          <w:color w:val="auto"/>
        </w:rPr>
        <w:t xml:space="preserve">Organic Tenant Billings: </w:t>
      </w:r>
      <w:r>
        <w:rPr>
          <w:rFonts w:ascii="Times New Roman" w:cs="Times New Roman" w:eastAsia="Times New Roman" w:hAnsi="Times New Roman"/>
          <w:sz w:val="15"/>
          <w:szCs w:val="15"/>
          <w:color w:val="auto"/>
        </w:rPr>
        <w:t>Tenant Billings on sites that the Company has owned since the beginning of the prior-year period, as well as Tenant Billings activity on new sites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occurred after the date of their addition to the Company’s portfolio.</w:t>
      </w:r>
    </w:p>
    <w:p>
      <w:pPr>
        <w:spacing w:after="0" w:line="1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International pass-through revenue: </w:t>
      </w:r>
      <w:r>
        <w:rPr>
          <w:rFonts w:ascii="Times New Roman" w:cs="Times New Roman" w:eastAsia="Times New Roman" w:hAnsi="Times New Roman"/>
          <w:sz w:val="15"/>
          <w:szCs w:val="15"/>
          <w:color w:val="auto"/>
        </w:rPr>
        <w:t>A portion of the Company’s pass-through revenue is based on power and fuel expense reimbursements and therefore subject to fluctuations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fuel prices. As a result, revenue growth rates may fluctuate depending on the market price for fuel in any given period, which is not representative of the Company’s real estate business and its economic exposure to power and fuel costs. Furthermore, this expense reimbursement mitigates the economic impact associated with fluctuations in operating expenses, such as power and fuel costs and land rents in certain of the Company’s markets. As a result, the Company believes that it is appropriate to provide insight into the impact of pass-through revenue on certain revenue growth rates.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740" w:right="339" w:bottom="1440" w:gutter="0" w:footer="0" w:header="0"/>
        </w:sectPr>
      </w:pPr>
    </w:p>
    <w:bookmarkStart w:id="9" w:name="page10"/>
    <w:bookmarkEnd w:id="9"/>
    <w:p>
      <w:pPr>
        <w:ind w:right="180"/>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Straight-line revenue: </w:t>
      </w:r>
      <w:r>
        <w:rPr>
          <w:rFonts w:ascii="Times New Roman" w:cs="Times New Roman" w:eastAsia="Times New Roman" w:hAnsi="Times New Roman"/>
          <w:sz w:val="15"/>
          <w:szCs w:val="15"/>
          <w:color w:val="auto"/>
        </w:rPr>
        <w:t>Under GAAP, the Company recognizes revenue on a straight-line basis over the term of the contract for certain of its tenant leases. Due to the Company’s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significant base of non-cancellable, long-term tenant leases, this can result in significant fluctuations in growth rates upon tenant lease signings and renewals (typically increases), when amounts billed or received upfront upon these events are initially deferred. These signings and renewals are only a portion of the Company’s underlying business growth and can distort the underlying performance of our Tenant Billings Growth. As a result, the Company believes that it is appropriate to provide insight into the impact of straight-line revenue on certain growth rates in revenue and select other measures.</w:t>
      </w:r>
    </w:p>
    <w:p>
      <w:pPr>
        <w:spacing w:after="0" w:line="3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Pre-paid amortization revenue: </w:t>
      </w:r>
      <w:r>
        <w:rPr>
          <w:rFonts w:ascii="Times New Roman" w:cs="Times New Roman" w:eastAsia="Times New Roman" w:hAnsi="Times New Roman"/>
          <w:sz w:val="15"/>
          <w:szCs w:val="15"/>
          <w:color w:val="auto"/>
        </w:rPr>
        <w:t>The Company recovers a portion of the costs it incurs for the redevelopment and development of its properties from its tenants. These upfront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payments are then amortized over the initial term of the corresponding tenant lease. Given this amortization is not necessarily directly representative of underlying leasing activity on its real estate portfolio (i.e., does not have a renewal option or escalation as our tenant leases do), the Company believes that it is appropriate to provide insight into the impact of pre-paid amortization revenue on certain revenue growth rates to provide transparency into the underlying performance of our real estate business.</w:t>
      </w:r>
    </w:p>
    <w:p>
      <w:pPr>
        <w:spacing w:after="0" w:line="3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Foreign currency exchange impact: </w:t>
      </w:r>
      <w:r>
        <w:rPr>
          <w:rFonts w:ascii="Times New Roman" w:cs="Times New Roman" w:eastAsia="Times New Roman" w:hAnsi="Times New Roman"/>
          <w:sz w:val="15"/>
          <w:szCs w:val="15"/>
          <w:color w:val="auto"/>
        </w:rPr>
        <w:t>The majority of the Company’s international revenue and operating expenses are denominated in each country’s local currency. As a result,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foreign currency fluctuations may distort the underlying performance of our real estate business from period to period, depending on the movement of foreign currency exchange rates versus the U.S. Dollar. The Company believes it is appropriate to quantify the impact of foreign currency exchange rate fluctuations on its reported growth to provide transparency into the underlying performance of its real estate business.</w:t>
      </w:r>
    </w:p>
    <w:p>
      <w:pPr>
        <w:spacing w:after="0" w:line="20"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5"/>
          <w:szCs w:val="15"/>
          <w:b w:val="1"/>
          <w:bCs w:val="1"/>
          <w:color w:val="auto"/>
        </w:rPr>
        <w:t xml:space="preserve">Other revenue: </w:t>
      </w:r>
      <w:r>
        <w:rPr>
          <w:rFonts w:ascii="Times New Roman" w:cs="Times New Roman" w:eastAsia="Times New Roman" w:hAnsi="Times New Roman"/>
          <w:sz w:val="15"/>
          <w:szCs w:val="15"/>
          <w:color w:val="auto"/>
        </w:rPr>
        <w:t>Other revenue represents revenue not captured by the above listed items and can include items such as customer settlements, fiber solutions revenue and data centers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revenue.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Non-GAAP and Defined Financial Measure Definitions</w:t>
      </w:r>
    </w:p>
    <w:p>
      <w:pPr>
        <w:spacing w:after="0" w:line="8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Adjusted EBITDA: </w:t>
      </w:r>
      <w:r>
        <w:rPr>
          <w:rFonts w:ascii="Times New Roman" w:cs="Times New Roman" w:eastAsia="Times New Roman" w:hAnsi="Times New Roman"/>
          <w:sz w:val="15"/>
          <w:szCs w:val="15"/>
          <w:color w:val="auto"/>
        </w:rPr>
        <w:t>Net income before Income (loss) from equity method investments; Income (loss) from discontinued operations, net of taxes; Income tax benefit (provision);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 income (expense); Gain (loss) on retirement of long-term obligations; Interest expense; Interest income; Other operating income (expense), including Goodwill impairment; Depreciation, amortization and accretion; and Stock-based compensation expense. The Company believes this measure provides valuable insight into the profitability of its operations while at the same time taking into account the central overhead expenses required to manage its global operations. In addition, it is a widely used performance measure across the telecommunications real estate sector.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Adjusted EBITDA Margin: </w:t>
      </w:r>
      <w:r>
        <w:rPr>
          <w:rFonts w:ascii="Times New Roman" w:cs="Times New Roman" w:eastAsia="Times New Roman" w:hAnsi="Times New Roman"/>
          <w:sz w:val="15"/>
          <w:szCs w:val="15"/>
          <w:color w:val="auto"/>
        </w:rPr>
        <w:t>The percentage that results from dividing Adjusted EBITDA by total revenue.</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Adjusted Funds From Operations (AFFO) attributable to American Tower Corporation common stockholders: </w:t>
      </w:r>
      <w:r>
        <w:rPr>
          <w:rFonts w:ascii="Times New Roman" w:cs="Times New Roman" w:eastAsia="Times New Roman" w:hAnsi="Times New Roman"/>
          <w:sz w:val="15"/>
          <w:szCs w:val="15"/>
          <w:color w:val="auto"/>
        </w:rPr>
        <w:t>Nareit FFO attributable to American Tower Corporation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stockholders before (i) straight-line revenue and expense, (ii) stock-based compensation expense, (iii) the deferred portion of income tax and other income tax adjustments,</w:t>
      </w:r>
    </w:p>
    <w:p>
      <w:pPr>
        <w:spacing w:after="0" w:line="1" w:lineRule="exact"/>
        <w:rPr>
          <w:sz w:val="20"/>
          <w:szCs w:val="20"/>
          <w:color w:val="auto"/>
        </w:rPr>
      </w:pPr>
    </w:p>
    <w:p>
      <w:pPr>
        <w:ind w:right="120" w:firstLine="3"/>
        <w:spacing w:after="0" w:line="260" w:lineRule="auto"/>
        <w:tabs>
          <w:tab w:leader="none" w:pos="26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non-real estate related depreciation, amortization and accretion, (v) amortization of deferred financing costs, debt discounts and premiums and long-term deferred interest charges, (vi) other income (expense), (vii) gain (loss) on retirement of long-term obligations, and (viii) other operating income (expense), less cash payments related to capital improvements and cash payments related to corporate capital expenditures and including adjustments and distributions for unconsolidated affiliates and noncontrolling interests and adjustments for discontinued operations, which includes the impact of noncontrolling interests and discontinued operations on both Nareit FFO and the corresponding adjustments included in AFFO. The Company believes this measure provides valuable insight into the operating performance of its assets by further adjusting the Nareit AFFO attributable to American Tower Corporation common stockholders metric to exclude the factors outlined above, which if unadjusted, may otherwise cause material fluctuations in Nareit FFO attributable to American Tower Corporation common stockholders growth from period to period that would not be representative of the underlying performance of the Company’s property assets in those periods. In addition, it is a widely used performance measure across the telecommunications real estate sector. The Company believes providing this metric, excluding the impacts of noncontrolling interests, enhances transparency, given the minority interests in its Europe business and its U.S. data center business.</w:t>
      </w:r>
    </w:p>
    <w:p>
      <w:pPr>
        <w:spacing w:after="0" w:line="4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AFFO attributable to American Tower Corporation common stockholders, as adjusted: </w:t>
      </w:r>
      <w:r>
        <w:rPr>
          <w:rFonts w:ascii="Times New Roman" w:cs="Times New Roman" w:eastAsia="Times New Roman" w:hAnsi="Times New Roman"/>
          <w:sz w:val="15"/>
          <w:szCs w:val="15"/>
          <w:color w:val="auto"/>
        </w:rPr>
        <w:t>Represents AFFO attributable to AMT common stockholders from continuing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operations adjusted for a full period of interest expense savings associated with the use of approximately $2.0 billion of proceeds from the ATC TIPL Transaction to pay down existing indebtedness under the 2021 Multicurrency Credit Facility, at the applicable historical borrowing cost for the respective period. No additional adjustments are required related to the repayment of approximately $120 million under the India Term Loan, as the historical interest expense associated with the India Term Loan is already considered as part of AFFO attributable to AMT common stockholders from discontinued operations when deriving AFFO attributable to AMT common stockholders from continued operations.</w:t>
      </w:r>
    </w:p>
    <w:p>
      <w:pPr>
        <w:spacing w:after="0" w:line="3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5"/>
          <w:szCs w:val="15"/>
          <w:b w:val="1"/>
          <w:bCs w:val="1"/>
          <w:color w:val="auto"/>
        </w:rPr>
        <w:t xml:space="preserve">AFFO attributable to American Tower Corporation common stockholders per Share, as adjusted: </w:t>
      </w:r>
      <w:r>
        <w:rPr>
          <w:rFonts w:ascii="Times New Roman" w:cs="Times New Roman" w:eastAsia="Times New Roman" w:hAnsi="Times New Roman"/>
          <w:sz w:val="15"/>
          <w:szCs w:val="15"/>
          <w:color w:val="auto"/>
        </w:rPr>
        <w:t>AFFO attributable to American Tower Corporation common stockholders,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adjusted, divided by the diluted weighted average common shares outstanding.</w:t>
      </w:r>
    </w:p>
    <w:p>
      <w:pPr>
        <w:spacing w:after="0" w:line="16"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5"/>
          <w:szCs w:val="15"/>
          <w:b w:val="1"/>
          <w:bCs w:val="1"/>
          <w:color w:val="auto"/>
        </w:rPr>
        <w:t xml:space="preserve">AFFO attributable to American Tower Corporation common stockholders per Share: </w:t>
      </w:r>
      <w:r>
        <w:rPr>
          <w:rFonts w:ascii="Times New Roman" w:cs="Times New Roman" w:eastAsia="Times New Roman" w:hAnsi="Times New Roman"/>
          <w:sz w:val="15"/>
          <w:szCs w:val="15"/>
          <w:color w:val="auto"/>
        </w:rPr>
        <w:t>AFFO attributable to American Tower Corporation common stockholders divided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diluted weighted average common shares outstanding.</w:t>
      </w:r>
    </w:p>
    <w:p>
      <w:pPr>
        <w:spacing w:after="0" w:line="1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5"/>
          <w:szCs w:val="15"/>
          <w:b w:val="1"/>
          <w:bCs w:val="1"/>
          <w:color w:val="auto"/>
        </w:rPr>
        <w:t xml:space="preserve">Free Cash Flow: </w:t>
      </w:r>
      <w:r>
        <w:rPr>
          <w:rFonts w:ascii="Times New Roman" w:cs="Times New Roman" w:eastAsia="Times New Roman" w:hAnsi="Times New Roman"/>
          <w:sz w:val="15"/>
          <w:szCs w:val="15"/>
          <w:color w:val="auto"/>
        </w:rPr>
        <w:t>Cash provided by operating activities less total cash capital expenditures, including the impacts associated with discontinued operations and payments on finance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leases and perpetual land easements. The Company believes that Free Cash Flow is useful to investors as the basis for comparing our performance and coverage ratios with other companies in its industry, although this measure of Free Cash Flow may not be directly comparable to similar measures used by other companies.</w:t>
      </w:r>
    </w:p>
    <w:p>
      <w:pPr>
        <w:spacing w:after="0" w:line="2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Nareit Funds From Operations (FFO), as defined by the National Association of Real Estate Investment Trusts (Nareit), attributable to American Tower Corporation common stockholders: </w:t>
      </w:r>
      <w:r>
        <w:rPr>
          <w:rFonts w:ascii="Times New Roman" w:cs="Times New Roman" w:eastAsia="Times New Roman" w:hAnsi="Times New Roman"/>
          <w:sz w:val="15"/>
          <w:szCs w:val="15"/>
          <w:color w:val="auto"/>
        </w:rPr>
        <w:t>Net income before gains or losses from the sale or disposal of real estate, real estate related impairment charges, real estate related depreciation, amortization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accretion including adjustments and distributions for unconsolidated affiliates and noncontrolling interests and adjustments for discontinued operations. The Company believes this measure provides valuable insight into the operating performance of its property assets by excluding the charges described above,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804" w:right="339" w:bottom="1440" w:gutter="0" w:footer="0" w:header="0"/>
        </w:sectPr>
      </w:pPr>
    </w:p>
    <w:bookmarkStart w:id="10" w:name="page11"/>
    <w:bookmarkEnd w:id="10"/>
    <w:p>
      <w:pPr>
        <w:spacing w:after="0" w:line="292" w:lineRule="auto"/>
        <w:rPr>
          <w:sz w:val="20"/>
          <w:szCs w:val="20"/>
          <w:color w:val="auto"/>
        </w:rPr>
      </w:pPr>
      <w:r>
        <w:rPr>
          <w:rFonts w:ascii="Times New Roman" w:cs="Times New Roman" w:eastAsia="Times New Roman" w:hAnsi="Times New Roman"/>
          <w:sz w:val="15"/>
          <w:szCs w:val="15"/>
          <w:color w:val="auto"/>
        </w:rPr>
        <w:t>particularly depreciation expenses, given the high initial, up-front capital intensity of the Company’s operating model. In addition, it is a widely used performance measure across the telecommunications real estate sector.</w:t>
      </w:r>
    </w:p>
    <w:p>
      <w:pPr>
        <w:spacing w:after="0"/>
        <w:rPr>
          <w:sz w:val="20"/>
          <w:szCs w:val="20"/>
          <w:color w:val="auto"/>
        </w:rPr>
      </w:pPr>
      <w:r>
        <w:rPr>
          <w:rFonts w:ascii="Times New Roman" w:cs="Times New Roman" w:eastAsia="Times New Roman" w:hAnsi="Times New Roman"/>
          <w:sz w:val="15"/>
          <w:szCs w:val="15"/>
          <w:b w:val="1"/>
          <w:bCs w:val="1"/>
          <w:color w:val="auto"/>
        </w:rPr>
        <w:t xml:space="preserve">Net Debt: </w:t>
      </w:r>
      <w:r>
        <w:rPr>
          <w:rFonts w:ascii="Times New Roman" w:cs="Times New Roman" w:eastAsia="Times New Roman" w:hAnsi="Times New Roman"/>
          <w:sz w:val="15"/>
          <w:szCs w:val="15"/>
          <w:color w:val="auto"/>
        </w:rPr>
        <w:t>Total long-term debt, including current portion and for periods beginning in the first quarter of 2019, finance lease liabilities, less cash and cash equivalents.</w:t>
      </w:r>
    </w:p>
    <w:p>
      <w:pPr>
        <w:spacing w:after="0" w:line="7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Net Leverage Ratio: </w:t>
      </w:r>
      <w:r>
        <w:rPr>
          <w:rFonts w:ascii="Times New Roman" w:cs="Times New Roman" w:eastAsia="Times New Roman" w:hAnsi="Times New Roman"/>
          <w:sz w:val="15"/>
          <w:szCs w:val="15"/>
          <w:color w:val="auto"/>
        </w:rPr>
        <w:t>Net debt (total long-term debt, including current portion, and for periods beginning in the first quarter of 2019, finance lease liabilities, less cash and cash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equivalents) divided by the quarter’s annualized Adjusted EBITDA (the quarter’s Adjusted EBITDA multiplied by four). The Company believes that including this calculation is important for investors and analysts given it is a critical component underlying its credit agency ratings.</w:t>
      </w:r>
    </w:p>
    <w:p>
      <w:pPr>
        <w:spacing w:after="0" w:line="32"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5"/>
          <w:szCs w:val="15"/>
          <w:b w:val="1"/>
          <w:bCs w:val="1"/>
          <w:color w:val="auto"/>
        </w:rPr>
        <w:t xml:space="preserve">New Site Tenant Billings Growth: </w:t>
      </w:r>
      <w:r>
        <w:rPr>
          <w:rFonts w:ascii="Times New Roman" w:cs="Times New Roman" w:eastAsia="Times New Roman" w:hAnsi="Times New Roman"/>
          <w:sz w:val="15"/>
          <w:szCs w:val="15"/>
          <w:color w:val="auto"/>
        </w:rPr>
        <w:t>The portion of Tenant Billings Growth attributable to New Site Tenant Billings. The Company believes this measure provides valuable insight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into the growth attributable to Tenant Billings from recently acquired or constructed properties.</w:t>
      </w:r>
    </w:p>
    <w:p>
      <w:pPr>
        <w:spacing w:after="0" w:line="16"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5"/>
          <w:szCs w:val="15"/>
          <w:b w:val="1"/>
          <w:bCs w:val="1"/>
          <w:color w:val="auto"/>
        </w:rPr>
        <w:t xml:space="preserve">Organic Tenant Billings Growth: </w:t>
      </w:r>
      <w:r>
        <w:rPr>
          <w:rFonts w:ascii="Times New Roman" w:cs="Times New Roman" w:eastAsia="Times New Roman" w:hAnsi="Times New Roman"/>
          <w:sz w:val="15"/>
          <w:szCs w:val="15"/>
          <w:color w:val="auto"/>
        </w:rPr>
        <w:t>The portion of Tenant Billings Growth attributable to Organic Tenant Billings. The Company believes that organic growth is a useful measure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its ability to add tenancy and incremental revenue to its assets for the reported period, which enables investors and analysts to gain additional insight into the relative attractiveness, and therefore the value, of the Company’s property assets.</w:t>
      </w:r>
    </w:p>
    <w:p>
      <w:pPr>
        <w:spacing w:after="0" w:line="26" w:lineRule="exact"/>
        <w:rPr>
          <w:sz w:val="20"/>
          <w:szCs w:val="20"/>
          <w:color w:val="auto"/>
        </w:rPr>
      </w:pPr>
    </w:p>
    <w:p>
      <w:pPr>
        <w:jc w:val="both"/>
        <w:ind w:right="60"/>
        <w:spacing w:after="0" w:line="293" w:lineRule="auto"/>
        <w:rPr>
          <w:sz w:val="20"/>
          <w:szCs w:val="20"/>
          <w:color w:val="auto"/>
        </w:rPr>
      </w:pPr>
      <w:r>
        <w:rPr>
          <w:rFonts w:ascii="Times New Roman" w:cs="Times New Roman" w:eastAsia="Times New Roman" w:hAnsi="Times New Roman"/>
          <w:sz w:val="15"/>
          <w:szCs w:val="15"/>
          <w:b w:val="1"/>
          <w:bCs w:val="1"/>
          <w:color w:val="auto"/>
        </w:rPr>
        <w:t xml:space="preserve">Segment Gross Margin: </w:t>
      </w:r>
      <w:r>
        <w:rPr>
          <w:rFonts w:ascii="Times New Roman" w:cs="Times New Roman" w:eastAsia="Times New Roman" w:hAnsi="Times New Roman"/>
          <w:sz w:val="15"/>
          <w:szCs w:val="15"/>
          <w:color w:val="auto"/>
        </w:rPr>
        <w:t>Revenues less operating expenses, excluding depreciation, amortization and accretion, selling, general, administrative and development expense and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operating expenses. The Company believes this measure provides valuable insight into the site-level profitability of its assets.</w:t>
      </w:r>
    </w:p>
    <w:p>
      <w:pPr>
        <w:spacing w:after="0" w:line="1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5"/>
          <w:szCs w:val="15"/>
          <w:b w:val="1"/>
          <w:bCs w:val="1"/>
          <w:color w:val="auto"/>
        </w:rPr>
        <w:t xml:space="preserve">Segment Operating Profit: </w:t>
      </w:r>
      <w:r>
        <w:rPr>
          <w:rFonts w:ascii="Times New Roman" w:cs="Times New Roman" w:eastAsia="Times New Roman" w:hAnsi="Times New Roman"/>
          <w:sz w:val="15"/>
          <w:szCs w:val="15"/>
          <w:color w:val="auto"/>
        </w:rPr>
        <w:t>Segment Gross Margin less selling, general, administrative and development expense, excluding stock-based compensation expense and corporate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expenses. The Company believes this measure provides valuable insight into the site-level profitability of its assets while also taking into account the overhead expenses required to manage each of its operating segments.</w:t>
      </w:r>
    </w:p>
    <w:p>
      <w:pPr>
        <w:spacing w:after="0" w:line="17"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5"/>
          <w:szCs w:val="15"/>
          <w:color w:val="auto"/>
        </w:rPr>
        <w:t>Segment Operating Profit and Segment Gross Margin are before interest income, interest expense, gain (loss) on retirement of long-term obligations, other income (expense), net income (loss) attributable to noncontrolling interest and income tax benefit (provision).</w:t>
      </w:r>
    </w:p>
    <w:p>
      <w:pPr>
        <w:spacing w:after="0"/>
        <w:rPr>
          <w:sz w:val="20"/>
          <w:szCs w:val="20"/>
          <w:color w:val="auto"/>
        </w:rPr>
      </w:pPr>
      <w:r>
        <w:rPr>
          <w:rFonts w:ascii="Times New Roman" w:cs="Times New Roman" w:eastAsia="Times New Roman" w:hAnsi="Times New Roman"/>
          <w:sz w:val="15"/>
          <w:szCs w:val="15"/>
          <w:b w:val="1"/>
          <w:bCs w:val="1"/>
          <w:color w:val="auto"/>
        </w:rPr>
        <w:t xml:space="preserve">Segment Operating Profit Margin: </w:t>
      </w:r>
      <w:r>
        <w:rPr>
          <w:rFonts w:ascii="Times New Roman" w:cs="Times New Roman" w:eastAsia="Times New Roman" w:hAnsi="Times New Roman"/>
          <w:sz w:val="15"/>
          <w:szCs w:val="15"/>
          <w:color w:val="auto"/>
        </w:rPr>
        <w:t>The percentage that results from dividing Segment Operating Profit by revenue.</w:t>
      </w:r>
    </w:p>
    <w:p>
      <w:pPr>
        <w:spacing w:after="0" w:line="123"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5"/>
          <w:szCs w:val="15"/>
          <w:b w:val="1"/>
          <w:bCs w:val="1"/>
          <w:color w:val="auto"/>
        </w:rPr>
        <w:t xml:space="preserve">Tenant Billings Growth: </w:t>
      </w:r>
      <w:r>
        <w:rPr>
          <w:rFonts w:ascii="Times New Roman" w:cs="Times New Roman" w:eastAsia="Times New Roman" w:hAnsi="Times New Roman"/>
          <w:sz w:val="15"/>
          <w:szCs w:val="15"/>
          <w:color w:val="auto"/>
        </w:rPr>
        <w:t>The increase or decrease resulting from a comparison of Tenant Billings for a current period with Tenant Billings for the corresponding prior-year period,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each case adjusted for foreign currency exchange rate fluctuations. The Company believes this measure provides valuable insight into the growth in recurring Tenant Billings and underlying demand for its real estate portfolio.</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00"/>
          </w:cols>
          <w:pgMar w:left="320" w:top="80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auto"/>
        </w:rPr>
        <w:t>Cautionary Language Regarding Forward-Looking Statements</w:t>
      </w:r>
    </w:p>
    <w:p>
      <w:pPr>
        <w:spacing w:after="0" w:line="3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This press release contains “forward-looking statements” concerning our goals, beliefs, expectations, strategies, objectives, plans, future operating results and underlying assumptions and other statements that are not necessarily based on historical facts. Examples of these statements include, but are not limited to, statements regarding our full year 2025 outlook and other targets, foreign currency exchange rates, the creditworthiness and financial strength of our customers, the expected impacts of strategic partnerships on our business, our expectations for the closing of signed agreements and the expected impacts of such agreements on our business and our expectations regarding the leasing demand for communications real estate. Actual results may differ materially from those indicated in our forward-looking statements as a result of various important factors, including: (1) a significant decrease in leasing demand for our communications infrastructure would materially and adversely affect our business and operating results, and we cannot control that demand; (2) a substantial portion of our current and projected future revenue is derived from a small number of customers, and we are sensitive to adverse changes in the creditworthiness and financial strength of our customers; (3) if our customers consolidate their operations, exit their businesses or share site infrastructure to a significant degree, our growth, revenue and ability to generate positive cash flows could be materially and adversely affected; (4) increasing competition within our industries may materially and adversely affect our revenue; (5) competition to build or purchase assets could adversely affect our ability to achieve our return on investment criteria; (6) new technologies or changes, or lack thereof, in our or a customer’s business model could make our communications infrastructure leasing business less desirable and result in decreasing revenues and operating results;</w:t>
      </w:r>
    </w:p>
    <w:p>
      <w:pPr>
        <w:spacing w:after="0" w:line="6" w:lineRule="exact"/>
        <w:rPr>
          <w:sz w:val="20"/>
          <w:szCs w:val="20"/>
          <w:color w:val="auto"/>
        </w:rPr>
      </w:pPr>
    </w:p>
    <w:p>
      <w:pPr>
        <w:ind w:right="40" w:firstLine="3"/>
        <w:spacing w:after="0" w:line="258" w:lineRule="auto"/>
        <w:tabs>
          <w:tab w:leader="none" w:pos="21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divestitures and strategic partnerships may materially and adversely affect our financial condition, results of operations or cash flows; (8) our leverage and debt service obligations, including during a rising interest rates environment, may materially and adversely affect our ability to raise additional financing to fund capital expenditures, future growth and expansion initiatives and may reduce funds available to satisfy our distribution requirements; (9) high inflation may adversely affect us by increasing costs beyond what we can recover through price increases; (10) restrictive covenants in the agreements related to our securitization transactions, our credit facilities and our debt securities could materially and adversely affect our business by limiting flexibility, and we may be prohibited from paying dividends on our common stock, which may jeopardize our qualification for taxation as a REIT; (11) our foreign operations are subject to economic, political and other risks that could materially and adversely affect our revenues or financial position, including risks associated with fluctuations in foreign currency exchange rates; (12) our business, and that of our customers, is subject to laws, regulations and administrative and judicial decisions, and changes thereto, that could restrict our ability to operate our business as we currently do or impact our competitive landscape; (13) we may be adversely affected by regulations related to climate change; (14) if we fail to remain qualified for taxation as a REIT, we will be subject to tax at corporate income tax rates, which may substantially reduce funds otherwise available, and even if we qualify for taxation as a REIT, we may face tax liabilities that impact earnings and available cash flow; (15) complying with REIT requirements may limit our flexibility or cause us to forego otherwise attractive opportunities; (16) we could have liability under environmental and occupational safety and health laws; (17) if we are unable to protect our rights to the land under our towers and buildings in which our data centers are located, it could adversely affect our business and operating results; (18) if we, or third parties on which we rely, experience technology failures, including cybersecurity incidents or the loss of personally identifiable information, we may incur substantial costs and suffer other negative consequences, which may include reputational damage; (19) our expansion and operational initiatives involve a number of risks and uncertainties, including those related to integrating acquired or leased assets, that could adversely affect our operating results, disrupt our operations or expose us to additional risk; (20) our towers, fiber networks, data centers or computer systems may be affected by natural disasters (including as a result of climate change) and other unforeseen events for which our insurance may not provide adequate coverage or result in increased insurance premiums; and (21) if we are unable or choose not to exercise our rights to purchase towers that are subject to lease and sublease agreements at the end of the applicable period, our cash flows derived from those towers will be eliminated. For additional information regarding factors that may cause actual results to differ materially from those indicated in our forward-looking statements, we refer you to the information that is provided in the section entitled “Risk Factors” in our most recent annual report on Form 10-K, and other risks described in documents we subsequently file from time to time with the Securities and Exchange Commission. We undertake no obligation to update the information contained in this press release to reflect subsequently occurring events or circumstances.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8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8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1,999.6</w:t>
            </w: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Restricted cash</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0" w:type="dxa"/>
            <w:vAlign w:val="bottom"/>
          </w:tcPr>
          <w:p>
            <w:pPr>
              <w:spacing w:after="0"/>
              <w:rPr>
                <w:sz w:val="1"/>
                <w:szCs w:val="1"/>
                <w:color w:val="auto"/>
              </w:rPr>
            </w:pPr>
          </w:p>
        </w:tc>
      </w:tr>
      <w:tr>
        <w:trPr>
          <w:trHeight w:val="193"/>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current assets</w:t>
            </w:r>
          </w:p>
        </w:tc>
        <w:tc>
          <w:tcPr>
            <w:tcW w:w="15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3,178.8</w:t>
            </w:r>
          </w:p>
        </w:tc>
        <w:tc>
          <w:tcPr>
            <w:tcW w:w="0" w:type="dxa"/>
            <w:vAlign w:val="bottom"/>
          </w:tcPr>
          <w:p>
            <w:pPr>
              <w:spacing w:after="0"/>
              <w:rPr>
                <w:sz w:val="1"/>
                <w:szCs w:val="1"/>
                <w:color w:val="auto"/>
              </w:rPr>
            </w:pPr>
          </w:p>
        </w:tc>
      </w:tr>
      <w:tr>
        <w:trPr>
          <w:trHeight w:val="17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5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19,266.0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19,056.8</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11,921.5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11,768.1</w:t>
            </w:r>
          </w:p>
        </w:tc>
        <w:tc>
          <w:tcPr>
            <w:tcW w:w="0" w:type="dxa"/>
            <w:vAlign w:val="bottom"/>
          </w:tcPr>
          <w:p>
            <w:pPr>
              <w:spacing w:after="0"/>
              <w:rPr>
                <w:sz w:val="1"/>
                <w:szCs w:val="1"/>
                <w:color w:val="auto"/>
              </w:rPr>
            </w:pP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14,642.5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14,474.3</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0" w:type="dxa"/>
            <w:vAlign w:val="bottom"/>
          </w:tcPr>
          <w:p>
            <w:pPr>
              <w:spacing w:after="0"/>
              <w:rPr>
                <w:sz w:val="1"/>
                <w:szCs w:val="1"/>
                <w:color w:val="auto"/>
              </w:rPr>
            </w:pP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RENT ASSET</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3,710.2</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8,089.6</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NOTES RECEIVABLE AND OTHER NON-CURRENT ASSETS</w:t>
            </w: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676.9</w:t>
            </w:r>
          </w:p>
        </w:tc>
        <w:tc>
          <w:tcPr>
            <w:tcW w:w="0" w:type="dxa"/>
            <w:vAlign w:val="bottom"/>
          </w:tcPr>
          <w:p>
            <w:pPr>
              <w:spacing w:after="0"/>
              <w:rPr>
                <w:sz w:val="1"/>
                <w:szCs w:val="1"/>
                <w:color w:val="auto"/>
              </w:rPr>
            </w:pPr>
          </w:p>
        </w:tc>
      </w:tr>
      <w:tr>
        <w:trPr>
          <w:trHeight w:val="21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bottom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62,055.6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61,077.4</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8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1580" w:type="dxa"/>
            <w:vAlign w:val="bottom"/>
          </w:tcPr>
          <w:p>
            <w:pPr>
              <w:jc w:val="right"/>
              <w:ind w:right="14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0" w:type="dxa"/>
            <w:vAlign w:val="bottom"/>
          </w:tcPr>
          <w:p>
            <w:pPr>
              <w:spacing w:after="0"/>
              <w:rPr>
                <w:sz w:val="16"/>
                <w:szCs w:val="16"/>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expenses</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1,082.0</w:t>
            </w: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Distributions payable</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interest</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Current portion of long-term obligations</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3,693.0</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Unearned revenue</w:t>
            </w: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0" w:type="dxa"/>
            <w:vAlign w:val="bottom"/>
          </w:tcPr>
          <w:p>
            <w:pPr>
              <w:spacing w:after="0"/>
              <w:rPr>
                <w:sz w:val="1"/>
                <w:szCs w:val="1"/>
                <w:color w:val="auto"/>
              </w:rPr>
            </w:pPr>
          </w:p>
        </w:tc>
      </w:tr>
      <w:tr>
        <w:trPr>
          <w:trHeight w:val="193"/>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5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7,075.6</w:t>
            </w:r>
          </w:p>
        </w:tc>
        <w:tc>
          <w:tcPr>
            <w:tcW w:w="0" w:type="dxa"/>
            <w:vAlign w:val="bottom"/>
          </w:tcPr>
          <w:p>
            <w:pPr>
              <w:spacing w:after="0"/>
              <w:rPr>
                <w:sz w:val="1"/>
                <w:szCs w:val="1"/>
                <w:color w:val="auto"/>
              </w:rPr>
            </w:pPr>
          </w:p>
        </w:tc>
      </w:tr>
      <w:tr>
        <w:trPr>
          <w:trHeight w:val="17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OBLIGATIONS</w:t>
            </w:r>
          </w:p>
        </w:tc>
        <w:tc>
          <w:tcPr>
            <w:tcW w:w="15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34,045.4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32,808.8</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6,875.6</w:t>
            </w:r>
          </w:p>
        </w:tc>
        <w:tc>
          <w:tcPr>
            <w:tcW w:w="0" w:type="dxa"/>
            <w:vAlign w:val="bottom"/>
          </w:tcPr>
          <w:p>
            <w:pPr>
              <w:spacing w:after="0"/>
              <w:rPr>
                <w:sz w:val="1"/>
                <w:szCs w:val="1"/>
                <w:color w:val="auto"/>
              </w:rPr>
            </w:pP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2,393.8</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1,012.9</w:t>
            </w:r>
          </w:p>
        </w:tc>
        <w:tc>
          <w:tcPr>
            <w:tcW w:w="0" w:type="dxa"/>
            <w:vAlign w:val="bottom"/>
          </w:tcPr>
          <w:p>
            <w:pPr>
              <w:spacing w:after="0"/>
              <w:rPr>
                <w:sz w:val="1"/>
                <w:szCs w:val="1"/>
                <w:color w:val="auto"/>
              </w:rPr>
            </w:pPr>
          </w:p>
        </w:tc>
      </w:tr>
      <w:tr>
        <w:trPr>
          <w:trHeight w:val="193"/>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15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52,119.3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51,428.7</w:t>
            </w:r>
          </w:p>
        </w:tc>
        <w:tc>
          <w:tcPr>
            <w:tcW w:w="0" w:type="dxa"/>
            <w:vAlign w:val="bottom"/>
          </w:tcPr>
          <w:p>
            <w:pPr>
              <w:spacing w:after="0"/>
              <w:rPr>
                <w:sz w:val="1"/>
                <w:szCs w:val="1"/>
                <w:color w:val="auto"/>
              </w:rPr>
            </w:pPr>
          </w:p>
        </w:tc>
      </w:tr>
      <w:tr>
        <w:trPr>
          <w:trHeight w:val="166"/>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15,077.7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15,057.3</w:t>
            </w: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Distributions in excess of earnings</w:t>
            </w:r>
          </w:p>
        </w:tc>
        <w:tc>
          <w:tcPr>
            <w:tcW w:w="1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(4,732.5)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(4,424.1)</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(5,514.0)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(5,954.6)</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Treasury stock</w:t>
            </w: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(1,301.2)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(1,301.2)</w:t>
            </w:r>
          </w:p>
        </w:tc>
        <w:tc>
          <w:tcPr>
            <w:tcW w:w="0" w:type="dxa"/>
            <w:vAlign w:val="bottom"/>
          </w:tcPr>
          <w:p>
            <w:pPr>
              <w:spacing w:after="0"/>
              <w:rPr>
                <w:sz w:val="1"/>
                <w:szCs w:val="1"/>
                <w:color w:val="auto"/>
              </w:rPr>
            </w:pPr>
          </w:p>
        </w:tc>
      </w:tr>
      <w:tr>
        <w:trPr>
          <w:trHeight w:val="193"/>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American Tower Corporation equity</w:t>
            </w:r>
          </w:p>
        </w:tc>
        <w:tc>
          <w:tcPr>
            <w:tcW w:w="15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3,382.2</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6,266.5</w:t>
            </w:r>
          </w:p>
        </w:tc>
        <w:tc>
          <w:tcPr>
            <w:tcW w:w="0" w:type="dxa"/>
            <w:vAlign w:val="bottom"/>
          </w:tcPr>
          <w:p>
            <w:pPr>
              <w:spacing w:after="0"/>
              <w:rPr>
                <w:sz w:val="1"/>
                <w:szCs w:val="1"/>
                <w:color w:val="auto"/>
              </w:rPr>
            </w:pPr>
          </w:p>
        </w:tc>
      </w:tr>
      <w:tr>
        <w:trPr>
          <w:trHeight w:val="186"/>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equity</w:t>
            </w:r>
          </w:p>
        </w:tc>
        <w:tc>
          <w:tcPr>
            <w:tcW w:w="15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9,648.7</w:t>
            </w:r>
          </w:p>
        </w:tc>
        <w:tc>
          <w:tcPr>
            <w:tcW w:w="0" w:type="dxa"/>
            <w:vAlign w:val="bottom"/>
          </w:tcPr>
          <w:p>
            <w:pPr>
              <w:spacing w:after="0"/>
              <w:rPr>
                <w:sz w:val="1"/>
                <w:szCs w:val="1"/>
                <w:color w:val="auto"/>
              </w:rPr>
            </w:pP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62,055.6</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61,077.4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8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 millions, except share and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8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7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Property</w:t>
            </w:r>
          </w:p>
        </w:tc>
        <w:tc>
          <w:tcPr>
            <w:tcW w:w="1240" w:type="dxa"/>
            <w:vAlign w:val="bottom"/>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2,488.2</w:t>
            </w:r>
          </w:p>
        </w:tc>
        <w:tc>
          <w:tcPr>
            <w:tcW w:w="100" w:type="dxa"/>
            <w:vAlign w:val="bottom"/>
          </w:tcPr>
          <w:p>
            <w:pPr>
              <w:spacing w:after="0"/>
              <w:rPr>
                <w:sz w:val="16"/>
                <w:szCs w:val="16"/>
                <w:color w:val="auto"/>
              </w:rPr>
            </w:pP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2,482.4</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Services</w:t>
            </w:r>
          </w:p>
        </w:tc>
        <w:tc>
          <w:tcPr>
            <w:tcW w:w="1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78"/>
        </w:trPr>
        <w:tc>
          <w:tcPr>
            <w:tcW w:w="68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2,562.8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2,512.6</w:t>
            </w:r>
          </w:p>
        </w:tc>
        <w:tc>
          <w:tcPr>
            <w:tcW w:w="0" w:type="dxa"/>
            <w:vAlign w:val="bottom"/>
          </w:tcPr>
          <w:p>
            <w:pPr>
              <w:spacing w:after="0"/>
              <w:rPr>
                <w:sz w:val="1"/>
                <w:szCs w:val="1"/>
                <w:color w:val="auto"/>
              </w:rPr>
            </w:pPr>
          </w:p>
        </w:tc>
      </w:tr>
      <w:tr>
        <w:trPr>
          <w:trHeight w:val="180"/>
        </w:trPr>
        <w:tc>
          <w:tcPr>
            <w:tcW w:w="6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OPERATING EXPENSES:</w:t>
            </w:r>
          </w:p>
        </w:tc>
        <w:tc>
          <w:tcPr>
            <w:tcW w:w="1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Costs of operations (exclusive of items shown separately below):</w:t>
            </w: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Property</w:t>
            </w: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0" w:type="dxa"/>
            <w:vAlign w:val="bottom"/>
          </w:tcPr>
          <w:p>
            <w:pPr>
              <w:spacing w:after="0"/>
              <w:rPr>
                <w:sz w:val="1"/>
                <w:szCs w:val="1"/>
                <w:color w:val="auto"/>
              </w:rPr>
            </w:pPr>
          </w:p>
        </w:tc>
      </w:tr>
      <w:tr>
        <w:trPr>
          <w:trHeight w:val="184"/>
        </w:trPr>
        <w:tc>
          <w:tcPr>
            <w:tcW w:w="68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Services</w:t>
            </w:r>
          </w:p>
        </w:tc>
        <w:tc>
          <w:tcPr>
            <w:tcW w:w="1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Selling, general, administrative and development expense</w:t>
            </w:r>
            <w:r>
              <w:rPr>
                <w:rFonts w:ascii="Times New Roman" w:cs="Times New Roman" w:eastAsia="Times New Roman" w:hAnsi="Times New Roman"/>
                <w:sz w:val="8"/>
                <w:szCs w:val="8"/>
                <w:color w:val="auto"/>
              </w:rPr>
              <w:t>(1)</w:t>
            </w:r>
          </w:p>
        </w:tc>
        <w:tc>
          <w:tcPr>
            <w:tcW w:w="1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operating income</w:t>
            </w:r>
          </w:p>
        </w:tc>
        <w:tc>
          <w:tcPr>
            <w:tcW w:w="1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8"/>
        </w:trPr>
        <w:tc>
          <w:tcPr>
            <w:tcW w:w="68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1,371.6</w:t>
            </w:r>
          </w:p>
        </w:tc>
        <w:tc>
          <w:tcPr>
            <w:tcW w:w="0" w:type="dxa"/>
            <w:vAlign w:val="bottom"/>
          </w:tcPr>
          <w:p>
            <w:pPr>
              <w:spacing w:after="0"/>
              <w:rPr>
                <w:sz w:val="1"/>
                <w:szCs w:val="1"/>
                <w:color w:val="auto"/>
              </w:rPr>
            </w:pPr>
          </w:p>
        </w:tc>
      </w:tr>
      <w:tr>
        <w:trPr>
          <w:trHeight w:val="19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1,254.1</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0" w:type="dxa"/>
            <w:vAlign w:val="bottom"/>
          </w:tcPr>
          <w:p>
            <w:pPr>
              <w:spacing w:after="0"/>
              <w:rPr>
                <w:sz w:val="1"/>
                <w:szCs w:val="1"/>
                <w:color w:val="auto"/>
              </w:rPr>
            </w:pPr>
          </w:p>
        </w:tc>
      </w:tr>
      <w:tr>
        <w:trPr>
          <w:trHeight w:val="164"/>
        </w:trPr>
        <w:tc>
          <w:tcPr>
            <w:tcW w:w="68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OTHER INCOME (EXPENSE):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 income</w:t>
            </w: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expense</w:t>
            </w:r>
          </w:p>
        </w:tc>
        <w:tc>
          <w:tcPr>
            <w:tcW w:w="1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(expense) income (including foreign currency (losses) gains of $(345.7) and $127.7, respectively</w:t>
            </w:r>
          </w:p>
        </w:tc>
        <w:tc>
          <w:tcPr>
            <w:tcW w:w="1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78"/>
        </w:trPr>
        <w:tc>
          <w:tcPr>
            <w:tcW w:w="68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other expense</w:t>
            </w:r>
          </w:p>
        </w:tc>
        <w:tc>
          <w:tcPr>
            <w:tcW w:w="1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0" w:type="dxa"/>
            <w:vAlign w:val="bottom"/>
          </w:tcPr>
          <w:p>
            <w:pPr>
              <w:spacing w:after="0"/>
              <w:rPr>
                <w:sz w:val="1"/>
                <w:szCs w:val="1"/>
                <w:color w:val="auto"/>
              </w:rPr>
            </w:pPr>
          </w:p>
        </w:tc>
      </w:tr>
      <w:tr>
        <w:trPr>
          <w:trHeight w:val="19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921.3</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Income tax provision</w:t>
            </w:r>
          </w:p>
        </w:tc>
        <w:tc>
          <w:tcPr>
            <w:tcW w:w="1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9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24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0" w:type="dxa"/>
            <w:vAlign w:val="bottom"/>
          </w:tcPr>
          <w:p>
            <w:pPr>
              <w:spacing w:after="0"/>
              <w:rPr>
                <w:sz w:val="1"/>
                <w:szCs w:val="1"/>
                <w:color w:val="auto"/>
              </w:rPr>
            </w:pPr>
          </w:p>
        </w:tc>
      </w:tr>
      <w:tr>
        <w:trPr>
          <w:trHeight w:val="186"/>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TAXES</w:t>
            </w:r>
          </w:p>
        </w:tc>
        <w:tc>
          <w:tcPr>
            <w:tcW w:w="1240" w:type="dxa"/>
            <w:vAlign w:val="bottom"/>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93"/>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top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0" w:type="dxa"/>
            <w:vAlign w:val="bottom"/>
          </w:tcPr>
          <w:p>
            <w:pPr>
              <w:spacing w:after="0"/>
              <w:rPr>
                <w:sz w:val="1"/>
                <w:szCs w:val="1"/>
                <w:color w:val="auto"/>
              </w:rPr>
            </w:pPr>
          </w:p>
        </w:tc>
      </w:tr>
      <w:tr>
        <w:trPr>
          <w:trHeight w:val="186"/>
        </w:trPr>
        <w:tc>
          <w:tcPr>
            <w:tcW w:w="6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4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AMERICAN TOWER CORPORATION COMMON STOCKHOLDERS</w:t>
            </w:r>
          </w:p>
        </w:tc>
        <w:tc>
          <w:tcPr>
            <w:tcW w:w="1240" w:type="dxa"/>
            <w:vAlign w:val="bottom"/>
            <w:tcBorders>
              <w:bottom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NET INCOME FROM CONTINUING OPERATIONS ATTRIBUTABLE TO AMERICAN TOWER CORPORATION</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6880" w:type="dxa"/>
            <w:vAlign w:val="bottom"/>
            <w:vMerge w:val="continue"/>
          </w:tcPr>
          <w:p>
            <w:pPr>
              <w:spacing w:after="0"/>
              <w:rPr>
                <w:sz w:val="6"/>
                <w:szCs w:val="6"/>
                <w:color w:val="auto"/>
              </w:rPr>
            </w:pPr>
          </w:p>
        </w:tc>
        <w:tc>
          <w:tcPr>
            <w:tcW w:w="1240" w:type="dxa"/>
            <w:vAlign w:val="bottom"/>
            <w:vMerge w:val="restart"/>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100" w:type="dxa"/>
            <w:vAlign w:val="bottom"/>
          </w:tcPr>
          <w:p>
            <w:pPr>
              <w:spacing w:after="0"/>
              <w:rPr>
                <w:sz w:val="6"/>
                <w:szCs w:val="6"/>
                <w:color w:val="auto"/>
              </w:rPr>
            </w:pPr>
          </w:p>
        </w:tc>
        <w:tc>
          <w:tcPr>
            <w:tcW w:w="900" w:type="dxa"/>
            <w:vAlign w:val="bottom"/>
            <w:vMerge w:val="restart"/>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STOCKHOLDERS</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w w:val="98"/>
              </w:rPr>
              <w:t>NET INCOME FROM DISCONTINUED OPERATIONS ATTRIBUTABLE TO AMERICAN TOWER CORPORATION</w:t>
            </w:r>
          </w:p>
        </w:tc>
        <w:tc>
          <w:tcPr>
            <w:tcW w:w="1240" w:type="dxa"/>
            <w:vAlign w:val="bottom"/>
            <w:vMerge w:val="restart"/>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8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STOCKHOLDERS</w:t>
            </w:r>
          </w:p>
        </w:tc>
        <w:tc>
          <w:tcPr>
            <w:tcW w:w="124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COMMON SHARE AMOUNTS:</w:t>
            </w: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Basic net income from continuing operations attributable to American Tower Corporation common stockholders</w:t>
            </w:r>
          </w:p>
        </w:tc>
        <w:tc>
          <w:tcPr>
            <w:tcW w:w="124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86"/>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Basic net income from discontinued operations attributable to American Tower Corporation common stockholders</w:t>
            </w:r>
          </w:p>
        </w:tc>
        <w:tc>
          <w:tcPr>
            <w:tcW w:w="1240" w:type="dxa"/>
            <w:vAlign w:val="bottom"/>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18"/>
        </w:trPr>
        <w:tc>
          <w:tcPr>
            <w:tcW w:w="68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Basic net income attributable to American Tower Corporation common stockholders</w:t>
            </w:r>
          </w:p>
        </w:tc>
        <w:tc>
          <w:tcPr>
            <w:tcW w:w="1240" w:type="dxa"/>
            <w:vAlign w:val="bottom"/>
            <w:tcBorders>
              <w:top w:val="single" w:sz="8" w:color="auto"/>
              <w:bottom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Diluted net income from continuing operations attributable to American Tower Corporation common stockholders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80" w:type="dxa"/>
            <w:vAlign w:val="bottom"/>
            <w:vMerge w:val="continue"/>
          </w:tcPr>
          <w:p>
            <w:pPr>
              <w:spacing w:after="0"/>
              <w:rPr>
                <w:sz w:val="13"/>
                <w:szCs w:val="13"/>
                <w:color w:val="auto"/>
              </w:rPr>
            </w:pPr>
          </w:p>
        </w:tc>
        <w:tc>
          <w:tcPr>
            <w:tcW w:w="1240" w:type="dxa"/>
            <w:vAlign w:val="bottom"/>
          </w:tcPr>
          <w:p>
            <w:pPr>
              <w:jc w:val="right"/>
              <w:ind w:right="1072"/>
              <w:spacing w:after="0" w:line="15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3"/>
                <w:szCs w:val="13"/>
                <w:color w:val="auto"/>
              </w:rPr>
            </w:pPr>
          </w:p>
        </w:tc>
        <w:tc>
          <w:tcPr>
            <w:tcW w:w="900" w:type="dxa"/>
            <w:vAlign w:val="bottom"/>
          </w:tcPr>
          <w:p>
            <w:pPr>
              <w:jc w:val="right"/>
              <w:ind w:right="732"/>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Diluted net income from discontinued operations attributable to American Tower Corporation common stockholders</w:t>
            </w:r>
          </w:p>
        </w:tc>
        <w:tc>
          <w:tcPr>
            <w:tcW w:w="124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78"/>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Diluted net income attributable to American Tower Corporation common stockholders</w:t>
            </w:r>
          </w:p>
        </w:tc>
        <w:tc>
          <w:tcPr>
            <w:tcW w:w="1240" w:type="dxa"/>
            <w:vAlign w:val="bottom"/>
            <w:tcBorders>
              <w:top w:val="single" w:sz="8" w:color="auto"/>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COMMON SHARES OUTSTANDING (in thousands):</w:t>
            </w:r>
          </w:p>
        </w:tc>
        <w:tc>
          <w:tcPr>
            <w:tcW w:w="1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467,640</w:t>
            </w: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466,519</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468,519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467,660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20" w:right="260" w:hanging="317"/>
        <w:spacing w:after="0" w:line="255" w:lineRule="auto"/>
        <w:tabs>
          <w:tab w:leader="none" w:pos="316"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Selling, general, administrative and development expense includes stock-based compensation expense in aggregate amounts of $53.4 million and $62.8 million for the three months ended March 31, 2025 and March 31, 2024,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851" w:right="339" w:bottom="1440" w:gutter="0" w:footer="0" w:header="0"/>
        </w:sectPr>
      </w:pPr>
    </w:p>
    <w:bookmarkStart w:id="14" w:name="page15"/>
    <w:bookmarkEnd w:id="14"/>
    <w:p>
      <w:pPr>
        <w:ind w:right="502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UNAUDITED CONDENSED CONSOLIDATED STATEMENTS OF CASH FLOWS </w:t>
      </w:r>
      <w:r>
        <w:rPr>
          <w:rFonts w:ascii="Times New Roman" w:cs="Times New Roman" w:eastAsia="Times New Roman" w:hAnsi="Times New Roman"/>
          <w:sz w:val="15"/>
          <w:szCs w:val="15"/>
          <w:i w:val="1"/>
          <w:iCs w:val="1"/>
          <w:color w:val="auto"/>
        </w:rPr>
        <w:t>(In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80" w:type="dxa"/>
            <w:vAlign w:val="bottom"/>
          </w:tcPr>
          <w:p>
            <w:pPr>
              <w:spacing w:after="0"/>
              <w:rPr>
                <w:sz w:val="17"/>
                <w:szCs w:val="17"/>
                <w:color w:val="auto"/>
              </w:rPr>
            </w:pPr>
          </w:p>
        </w:tc>
        <w:tc>
          <w:tcPr>
            <w:tcW w:w="36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00"/>
        </w:trPr>
        <w:tc>
          <w:tcPr>
            <w:tcW w:w="68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5"/>
                <w:szCs w:val="15"/>
                <w:b w:val="1"/>
                <w:bCs w:val="1"/>
                <w:color w:val="auto"/>
              </w:rPr>
              <w:t>2025</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5"/>
                <w:szCs w:val="15"/>
                <w:b w:val="1"/>
                <w:bCs w:val="1"/>
                <w:color w:val="auto"/>
              </w:rPr>
              <w:t>2024</w:t>
            </w:r>
          </w:p>
        </w:tc>
        <w:tc>
          <w:tcPr>
            <w:tcW w:w="720" w:type="dxa"/>
            <w:vAlign w:val="bottom"/>
            <w:tcBorders>
              <w:bottom w:val="single" w:sz="8" w:color="auto"/>
            </w:tcBorders>
          </w:tcPr>
          <w:p>
            <w:pPr>
              <w:spacing w:after="0"/>
              <w:rPr>
                <w:sz w:val="17"/>
                <w:szCs w:val="17"/>
                <w:color w:val="auto"/>
              </w:rPr>
            </w:pPr>
          </w:p>
        </w:tc>
      </w:tr>
      <w:tr>
        <w:trPr>
          <w:trHeight w:val="174"/>
        </w:trPr>
        <w:tc>
          <w:tcPr>
            <w:tcW w:w="68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income</w:t>
            </w:r>
          </w:p>
        </w:tc>
        <w:tc>
          <w:tcPr>
            <w:tcW w:w="1400" w:type="dxa"/>
            <w:vAlign w:val="bottom"/>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20" w:type="dxa"/>
            <w:vAlign w:val="bottom"/>
          </w:tcPr>
          <w:p>
            <w:pPr>
              <w:spacing w:after="0"/>
              <w:rPr>
                <w:sz w:val="16"/>
                <w:szCs w:val="16"/>
                <w:color w:val="auto"/>
              </w:rPr>
            </w:pPr>
          </w:p>
        </w:tc>
        <w:tc>
          <w:tcPr>
            <w:tcW w:w="1400" w:type="dxa"/>
            <w:vAlign w:val="bottom"/>
          </w:tcPr>
          <w:p>
            <w:pPr>
              <w:jc w:val="right"/>
              <w:ind w:right="12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921.7</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4"/>
        </w:trPr>
        <w:tc>
          <w:tcPr>
            <w:tcW w:w="68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w:t>
            </w:r>
          </w:p>
        </w:tc>
      </w:tr>
      <w:tr>
        <w:trPr>
          <w:trHeight w:val="201"/>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4"/>
        </w:trPr>
        <w:tc>
          <w:tcPr>
            <w:tcW w:w="68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Other non-cash items reflected in statements of operations</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201"/>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Increase in net deferred rent balances</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84"/>
        </w:trPr>
        <w:tc>
          <w:tcPr>
            <w:tcW w:w="68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Right-of-use asset and Operating lease liability, net</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1"/>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Changes in unearned revenue</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184"/>
        </w:trPr>
        <w:tc>
          <w:tcPr>
            <w:tcW w:w="68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Increase in assets</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201"/>
        </w:trPr>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Decrease in liabilities</w:t>
            </w:r>
          </w:p>
        </w:tc>
        <w:tc>
          <w:tcPr>
            <w:tcW w:w="1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r>
      <w:tr>
        <w:trPr>
          <w:trHeight w:val="178"/>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1,295.0</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1,283.6</w:t>
            </w:r>
          </w:p>
        </w:tc>
      </w:tr>
      <w:tr>
        <w:trPr>
          <w:trHeight w:val="18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Payments for purchase of property and equipment and construction activities</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sales of short-term investments and other non-current assets</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Deposits and other</w:t>
            </w:r>
          </w:p>
        </w:tc>
        <w:tc>
          <w:tcPr>
            <w:tcW w:w="1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78"/>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used for investing activities</w:t>
            </w: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w:t>
            </w:r>
          </w:p>
        </w:tc>
      </w:tr>
      <w:tr>
        <w:trPr>
          <w:trHeight w:val="18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short-term borrowings, net</w:t>
            </w:r>
          </w:p>
        </w:tc>
        <w:tc>
          <w:tcPr>
            <w:tcW w:w="14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Borrowings under credit facilities</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2,790.5</w:t>
            </w: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issuance of senior notes, net</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998.0</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1,293.0</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other long-term borrowings</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Repayments of notes payable, credit facilities, senior notes, secured debt, term loans and finance leases</w:t>
            </w:r>
            <w:r>
              <w:rPr>
                <w:rFonts w:ascii="Times New Roman" w:cs="Times New Roman" w:eastAsia="Times New Roman" w:hAnsi="Times New Roman"/>
                <w:sz w:val="8"/>
                <w:szCs w:val="8"/>
                <w:color w:val="auto"/>
              </w:rPr>
              <w:t>(1)</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(1,840.7)</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(3,568.4)</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stock options</w:t>
            </w: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4"/>
        </w:trPr>
        <w:tc>
          <w:tcPr>
            <w:tcW w:w="6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Distributions paid on common stock</w:t>
            </w: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w:t>
            </w:r>
          </w:p>
        </w:tc>
      </w:tr>
      <w:tr>
        <w:trPr>
          <w:trHeight w:val="201"/>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financing costs and other financing activities</w:t>
            </w:r>
            <w:r>
              <w:rPr>
                <w:rFonts w:ascii="Times New Roman" w:cs="Times New Roman" w:eastAsia="Times New Roman" w:hAnsi="Times New Roman"/>
                <w:sz w:val="8"/>
                <w:szCs w:val="8"/>
                <w:color w:val="auto"/>
              </w:rPr>
              <w:t>(2)</w:t>
            </w:r>
          </w:p>
        </w:tc>
        <w:tc>
          <w:tcPr>
            <w:tcW w:w="1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178"/>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used for financing activities</w:t>
            </w: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w:t>
            </w:r>
          </w:p>
        </w:tc>
      </w:tr>
      <w:tr>
        <w:trPr>
          <w:trHeight w:val="19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effect of changes in foreign currency exchange rates on cash and cash equivalents, and restricted cash</w:t>
            </w:r>
          </w:p>
        </w:tc>
        <w:tc>
          <w:tcPr>
            <w:tcW w:w="1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w:t>
            </w:r>
          </w:p>
        </w:tc>
      </w:tr>
      <w:tr>
        <w:trPr>
          <w:trHeight w:val="19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1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2,108.2</w:t>
            </w:r>
          </w:p>
        </w:tc>
        <w:tc>
          <w:tcPr>
            <w:tcW w:w="12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2,093.4</w:t>
            </w: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2,239.2</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2,516.7</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r>
              <w:rPr>
                <w:rFonts w:ascii="Times New Roman" w:cs="Times New Roman" w:eastAsia="Times New Roman" w:hAnsi="Times New Roman"/>
                <w:sz w:val="8"/>
                <w:szCs w:val="8"/>
                <w:color w:val="auto"/>
              </w:rPr>
              <w:t>(3)</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120" w:type="dxa"/>
            <w:vAlign w:val="bottom"/>
          </w:tcPr>
          <w:p>
            <w:pPr>
              <w:spacing w:after="0"/>
              <w:rPr>
                <w:sz w:val="14"/>
                <w:szCs w:val="14"/>
                <w:color w:val="auto"/>
              </w:rPr>
            </w:pPr>
          </w:p>
        </w:tc>
        <w:tc>
          <w:tcPr>
            <w:tcW w:w="140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442.3</w:t>
            </w:r>
          </w:p>
        </w:tc>
      </w:tr>
      <w:tr>
        <w:trPr>
          <w:trHeight w:val="20"/>
        </w:trPr>
        <w:tc>
          <w:tcPr>
            <w:tcW w:w="68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w:t>
      </w:r>
    </w:p>
    <w:p>
      <w:pPr>
        <w:spacing w:after="0" w:line="17"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Three months ended March 31, 2025 and March 31, 2024 include $0.7 million and $1.1 million of finance lease payments, respectively.</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Three months ended March 31, 2025 and March 31, 2024 include $8.2 million and $8.6 million of perpetual land easement payments, respectively.</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Three months ended March 31, 2024 includes withholding taxes paid in Singapore of $11.8 million, which were incurred as a result of the ATC TIPL Transaction.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851" w:right="339" w:bottom="1440" w:gutter="0" w:footer="0" w:header="0"/>
        </w:sectPr>
      </w:pPr>
    </w:p>
    <w:bookmarkStart w:id="15" w:name="page16"/>
    <w:bookmarkEnd w:id="15"/>
    <w:p>
      <w:pPr>
        <w:ind w:right="462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UNAUDITED CONSOLIDATED RESULTS FROM OPERATIONS, BY SEGMENT </w:t>
      </w:r>
      <w:r>
        <w:rPr>
          <w:rFonts w:ascii="Times New Roman" w:cs="Times New Roman" w:eastAsia="Times New Roman" w:hAnsi="Times New Roman"/>
          <w:sz w:val="15"/>
          <w:szCs w:val="15"/>
          <w:i w:val="1"/>
          <w:iCs w:val="1"/>
          <w:color w:val="auto"/>
        </w:rPr>
        <w:t>($ in millions, totals may not add due to rounding.)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U.S. &amp;</w:t>
            </w:r>
          </w:p>
        </w:tc>
        <w:tc>
          <w:tcPr>
            <w:tcW w:w="120" w:type="dxa"/>
            <w:vAlign w:val="bottom"/>
          </w:tcPr>
          <w:p>
            <w:pPr>
              <w:spacing w:after="0"/>
              <w:rPr>
                <w:sz w:val="22"/>
                <w:szCs w:val="2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Latin</w:t>
            </w:r>
          </w:p>
        </w:tc>
        <w:tc>
          <w:tcPr>
            <w:tcW w:w="100" w:type="dxa"/>
            <w:vAlign w:val="bottom"/>
          </w:tcPr>
          <w:p>
            <w:pPr>
              <w:spacing w:after="0"/>
              <w:rPr>
                <w:sz w:val="22"/>
                <w:szCs w:val="2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Africa &amp;</w:t>
            </w:r>
          </w:p>
        </w:tc>
        <w:tc>
          <w:tcPr>
            <w:tcW w:w="14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Europe</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 International</w:t>
            </w:r>
            <w:r>
              <w:rPr>
                <w:rFonts w:ascii="Times New Roman" w:cs="Times New Roman" w:eastAsia="Times New Roman" w:hAnsi="Times New Roman"/>
                <w:sz w:val="16"/>
                <w:szCs w:val="16"/>
                <w:b w:val="1"/>
                <w:bCs w:val="1"/>
                <w:color w:val="auto"/>
                <w:vertAlign w:val="superscript"/>
              </w:rPr>
              <w:t>(1)</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Data Centers</w:t>
            </w:r>
            <w:r>
              <w:rPr>
                <w:rFonts w:ascii="Times New Roman" w:cs="Times New Roman" w:eastAsia="Times New Roman" w:hAnsi="Times New Roman"/>
                <w:sz w:val="16"/>
                <w:szCs w:val="16"/>
                <w:b w:val="1"/>
                <w:bCs w:val="1"/>
                <w:color w:val="auto"/>
                <w:vertAlign w:val="superscript"/>
              </w:rPr>
              <w:t>(2)</w:t>
            </w:r>
          </w:p>
        </w:tc>
        <w:tc>
          <w:tcPr>
            <w:tcW w:w="120" w:type="dxa"/>
            <w:vAlign w:val="bottom"/>
          </w:tcPr>
          <w:p>
            <w:pPr>
              <w:spacing w:after="0"/>
              <w:rPr>
                <w:sz w:val="22"/>
                <w:szCs w:val="22"/>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80" w:type="dxa"/>
            <w:vAlign w:val="bottom"/>
          </w:tcPr>
          <w:p>
            <w:pPr>
              <w:spacing w:after="0"/>
              <w:rPr>
                <w:sz w:val="22"/>
                <w:szCs w:val="22"/>
                <w:color w:val="auto"/>
              </w:rPr>
            </w:pPr>
          </w:p>
        </w:tc>
        <w:tc>
          <w:tcPr>
            <w:tcW w:w="64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Canada</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America</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APAC</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Property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2,563</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9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CCEEFF"/>
            </w:tcBorders>
          </w:tcPr>
          <w:p>
            <w:pPr>
              <w:ind w:left="20"/>
              <w:spacing w:after="0" w:line="185" w:lineRule="exact"/>
              <w:rPr>
                <w:sz w:val="20"/>
                <w:szCs w:val="20"/>
                <w:color w:val="auto"/>
              </w:rPr>
            </w:pPr>
            <w:r>
              <w:rPr>
                <w:rFonts w:ascii="Times New Roman" w:cs="Times New Roman" w:eastAsia="Times New Roman" w:hAnsi="Times New Roman"/>
                <w:sz w:val="14"/>
                <w:szCs w:val="14"/>
                <w:color w:val="auto"/>
              </w:rPr>
              <w:t>Segment SG&amp;A</w:t>
            </w:r>
            <w:r>
              <w:rPr>
                <w:rFonts w:ascii="Times New Roman" w:cs="Times New Roman" w:eastAsia="Times New Roman" w:hAnsi="Times New Roman"/>
                <w:sz w:val="17"/>
                <w:szCs w:val="17"/>
                <w:color w:val="auto"/>
                <w:vertAlign w:val="superscript"/>
              </w:rPr>
              <w:t>(3)</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11"/>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Segment Operating Profit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81 %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57 %</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62 %</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71 %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Growth Metrics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Growth</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Tenant Billings Growth</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Organic Tenant Billings Growth</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line="193" w:lineRule="exact"/>
              <w:rPr>
                <w:sz w:val="20"/>
                <w:szCs w:val="20"/>
                <w:color w:val="auto"/>
              </w:rPr>
            </w:pPr>
            <w:r>
              <w:rPr>
                <w:rFonts w:ascii="Times New Roman" w:cs="Times New Roman" w:eastAsia="Times New Roman" w:hAnsi="Times New Roman"/>
                <w:sz w:val="14"/>
                <w:szCs w:val="14"/>
                <w:b w:val="1"/>
                <w:bCs w:val="1"/>
                <w:color w:val="auto"/>
              </w:rPr>
              <w:t>Revenue Components</w:t>
            </w:r>
            <w:r>
              <w:rPr>
                <w:rFonts w:ascii="Times New Roman" w:cs="Times New Roman" w:eastAsia="Times New Roman" w:hAnsi="Times New Roman"/>
                <w:sz w:val="17"/>
                <w:szCs w:val="17"/>
                <w:b w:val="1"/>
                <w:bCs w:val="1"/>
                <w:color w:val="auto"/>
                <w:vertAlign w:val="superscript"/>
              </w:rPr>
              <w:t>(4)</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Prior-Year Tenant Billings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Colocations/Amendments</w:t>
            </w:r>
          </w:p>
        </w:tc>
        <w:tc>
          <w:tcPr>
            <w:tcW w:w="14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Escalations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14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Organic Tenant Billings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Site Tenant Billings</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Tenant Billings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1,961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4"/>
                <w:szCs w:val="14"/>
                <w:color w:val="auto"/>
              </w:rPr>
              <w:t>Foreign Currency Exchange Impact</w:t>
            </w:r>
            <w:r>
              <w:rPr>
                <w:rFonts w:ascii="Times New Roman" w:cs="Times New Roman" w:eastAsia="Times New Roman" w:hAnsi="Times New Roman"/>
                <w:sz w:val="17"/>
                <w:szCs w:val="17"/>
                <w:color w:val="auto"/>
                <w:vertAlign w:val="superscript"/>
              </w:rPr>
              <w:t>(5)</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Tenant Billings (Current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1,908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Straight-Line Revenue</w:t>
            </w:r>
          </w:p>
        </w:tc>
        <w:tc>
          <w:tcPr>
            <w:tcW w:w="14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Amortization Revenue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14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Pass-Through Revenue</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line="193" w:lineRule="exact"/>
              <w:rPr>
                <w:sz w:val="20"/>
                <w:szCs w:val="20"/>
                <w:color w:val="auto"/>
              </w:rPr>
            </w:pPr>
            <w:r>
              <w:rPr>
                <w:rFonts w:ascii="Times New Roman" w:cs="Times New Roman" w:eastAsia="Times New Roman" w:hAnsi="Times New Roman"/>
                <w:sz w:val="14"/>
                <w:szCs w:val="14"/>
                <w:color w:val="auto"/>
              </w:rPr>
              <w:t>Foreign Currency Exchange Impact</w:t>
            </w:r>
            <w:r>
              <w:rPr>
                <w:rFonts w:ascii="Times New Roman" w:cs="Times New Roman" w:eastAsia="Times New Roman" w:hAnsi="Times New Roman"/>
                <w:sz w:val="17"/>
                <w:szCs w:val="17"/>
                <w:color w:val="auto"/>
                <w:vertAlign w:val="superscript"/>
              </w:rPr>
              <w:t>(6)</w:t>
            </w:r>
          </w:p>
        </w:tc>
        <w:tc>
          <w:tcPr>
            <w:tcW w:w="14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24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color w:val="auto"/>
              </w:rPr>
              <w:t>Total Property Revenue (Current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vMerge w:val="restart"/>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vMerge w:val="restart"/>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International reflects the Company’s international operations excluding Canada.</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details related to the Data Centers segment, please refer to the supplemental disclosure package available on the Company’s website.</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stock-based compensation expense.</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components of revenue, except those labeled current period, have been translated at prior-period foreign currency exchange rates.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foreign currency exchange impact on all components of Total Tenant Billings.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foreign currency exchange impact on components of revenue, other than Total Tenant Billings.</w:t>
      </w:r>
    </w:p>
    <w:p>
      <w:pPr>
        <w:spacing w:after="0" w:line="200" w:lineRule="exact"/>
        <w:rPr>
          <w:sz w:val="20"/>
          <w:szCs w:val="20"/>
          <w:color w:val="auto"/>
        </w:rPr>
      </w:pPr>
    </w:p>
    <w:p>
      <w:pPr>
        <w:spacing w:after="0" w:line="3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840"/>
          </w:cols>
          <w:pgMar w:left="320" w:top="1096" w:right="7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UNAUDITED CONSOLIDATED RESULTS FROM OPERATIONS, BY SEGMENT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in millions, totals may not add due to rounding.)</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3"/>
              </w:rPr>
              <w:t>Property</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U.S. &amp;</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Latin America</w:t>
            </w:r>
          </w:p>
        </w:tc>
        <w:tc>
          <w:tcPr>
            <w:tcW w:w="14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Africa &amp;</w:t>
            </w:r>
          </w:p>
        </w:tc>
        <w:tc>
          <w:tcPr>
            <w:tcW w:w="14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Europe</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 International</w:t>
            </w:r>
            <w:r>
              <w:rPr>
                <w:rFonts w:ascii="Times New Roman" w:cs="Times New Roman" w:eastAsia="Times New Roman" w:hAnsi="Times New Roman"/>
                <w:sz w:val="16"/>
                <w:szCs w:val="16"/>
                <w:b w:val="1"/>
                <w:bCs w:val="1"/>
                <w:color w:val="auto"/>
                <w:vertAlign w:val="superscript"/>
              </w:rPr>
              <w:t>(2)</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Data Centers</w:t>
            </w:r>
            <w:r>
              <w:rPr>
                <w:rFonts w:ascii="Times New Roman" w:cs="Times New Roman" w:eastAsia="Times New Roman" w:hAnsi="Times New Roman"/>
                <w:sz w:val="16"/>
                <w:szCs w:val="16"/>
                <w:b w:val="1"/>
                <w:bCs w:val="1"/>
                <w:color w:val="auto"/>
                <w:vertAlign w:val="superscript"/>
              </w:rPr>
              <w:t>(3)</w:t>
            </w:r>
          </w:p>
        </w:tc>
        <w:tc>
          <w:tcPr>
            <w:tcW w:w="14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80" w:type="dxa"/>
            <w:vAlign w:val="bottom"/>
          </w:tcPr>
          <w:p>
            <w:pPr>
              <w:spacing w:after="0"/>
              <w:rPr>
                <w:sz w:val="22"/>
                <w:szCs w:val="22"/>
                <w:color w:val="auto"/>
              </w:rPr>
            </w:pPr>
          </w:p>
        </w:tc>
        <w:tc>
          <w:tcPr>
            <w:tcW w:w="66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Canada</w:t>
            </w:r>
          </w:p>
        </w:tc>
        <w:tc>
          <w:tcPr>
            <w:tcW w:w="9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3"/>
                <w:szCs w:val="13"/>
                <w:b w:val="1"/>
                <w:bCs w:val="1"/>
                <w:color w:val="auto"/>
                <w:w w:val="90"/>
              </w:rPr>
              <w:t>APAC</w:t>
            </w:r>
            <w:r>
              <w:rPr>
                <w:rFonts w:ascii="Times New Roman" w:cs="Times New Roman" w:eastAsia="Times New Roman" w:hAnsi="Times New Roman"/>
                <w:sz w:val="16"/>
                <w:szCs w:val="16"/>
                <w:b w:val="1"/>
                <w:bCs w:val="1"/>
                <w:color w:val="auto"/>
                <w:w w:val="90"/>
                <w:vertAlign w:val="superscript"/>
              </w:rPr>
              <w:t>(1)</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Property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1,311</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2,482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2,513</w:t>
            </w:r>
          </w:p>
        </w:tc>
        <w:tc>
          <w:tcPr>
            <w:tcW w:w="0" w:type="dxa"/>
            <w:vAlign w:val="bottom"/>
          </w:tcPr>
          <w:p>
            <w:pPr>
              <w:spacing w:after="0"/>
              <w:rPr>
                <w:sz w:val="1"/>
                <w:szCs w:val="1"/>
                <w:color w:val="auto"/>
              </w:rPr>
            </w:pPr>
          </w:p>
        </w:tc>
      </w:tr>
      <w:tr>
        <w:trPr>
          <w:trHeight w:val="186"/>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1,894</w:t>
            </w:r>
          </w:p>
        </w:tc>
        <w:tc>
          <w:tcPr>
            <w:tcW w:w="0" w:type="dxa"/>
            <w:vAlign w:val="bottom"/>
          </w:tcPr>
          <w:p>
            <w:pPr>
              <w:spacing w:after="0"/>
              <w:rPr>
                <w:sz w:val="1"/>
                <w:szCs w:val="1"/>
                <w:color w:val="auto"/>
              </w:rPr>
            </w:pPr>
          </w:p>
        </w:tc>
      </w:tr>
      <w:tr>
        <w:trPr>
          <w:trHeight w:val="186"/>
        </w:trPr>
        <w:tc>
          <w:tcPr>
            <w:tcW w:w="2220" w:type="dxa"/>
            <w:vAlign w:val="bottom"/>
            <w:tcBorders>
              <w:bottom w:val="single" w:sz="8" w:color="CCEEFF"/>
            </w:tcBorders>
          </w:tcPr>
          <w:p>
            <w:pPr>
              <w:ind w:left="20"/>
              <w:spacing w:after="0" w:line="185" w:lineRule="exact"/>
              <w:rPr>
                <w:sz w:val="20"/>
                <w:szCs w:val="20"/>
                <w:color w:val="auto"/>
              </w:rPr>
            </w:pPr>
            <w:r>
              <w:rPr>
                <w:rFonts w:ascii="Times New Roman" w:cs="Times New Roman" w:eastAsia="Times New Roman" w:hAnsi="Times New Roman"/>
                <w:sz w:val="14"/>
                <w:szCs w:val="14"/>
                <w:color w:val="auto"/>
              </w:rPr>
              <w:t>Segment SG&amp;A</w:t>
            </w:r>
            <w:r>
              <w:rPr>
                <w:rFonts w:ascii="Times New Roman" w:cs="Times New Roman" w:eastAsia="Times New Roman" w:hAnsi="Times New Roman"/>
                <w:sz w:val="17"/>
                <w:szCs w:val="17"/>
                <w:color w:val="auto"/>
                <w:vertAlign w:val="superscript"/>
              </w:rPr>
              <w:t>(4)</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1"/>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1,763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Segment Operating Profit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82 %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56 %</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61 %</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Growth Metrics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Growth</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Tenant Billings Growth</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Organic Tenant Billings Growth</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line="193" w:lineRule="exact"/>
              <w:rPr>
                <w:sz w:val="20"/>
                <w:szCs w:val="20"/>
                <w:color w:val="auto"/>
              </w:rPr>
            </w:pPr>
            <w:r>
              <w:rPr>
                <w:rFonts w:ascii="Times New Roman" w:cs="Times New Roman" w:eastAsia="Times New Roman" w:hAnsi="Times New Roman"/>
                <w:sz w:val="14"/>
                <w:szCs w:val="14"/>
                <w:b w:val="1"/>
                <w:bCs w:val="1"/>
                <w:color w:val="auto"/>
              </w:rPr>
              <w:t>Revenue Components</w:t>
            </w:r>
            <w:r>
              <w:rPr>
                <w:rFonts w:ascii="Times New Roman" w:cs="Times New Roman" w:eastAsia="Times New Roman" w:hAnsi="Times New Roman"/>
                <w:sz w:val="17"/>
                <w:szCs w:val="17"/>
                <w:b w:val="1"/>
                <w:bCs w:val="1"/>
                <w:color w:val="auto"/>
                <w:vertAlign w:val="superscript"/>
              </w:rPr>
              <w:t>(5)</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Prior-Year Tenant Billings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Colocations/Amendments</w:t>
            </w:r>
          </w:p>
        </w:tc>
        <w:tc>
          <w:tcPr>
            <w:tcW w:w="14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Escalations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14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Organic Tenant Billings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1,872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Site Tenant Billings</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Tenant Billings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1,888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4"/>
                <w:szCs w:val="14"/>
                <w:color w:val="auto"/>
              </w:rPr>
              <w:t>Foreign Currency Exchange Impact</w:t>
            </w:r>
            <w:r>
              <w:rPr>
                <w:rFonts w:ascii="Times New Roman" w:cs="Times New Roman" w:eastAsia="Times New Roman" w:hAnsi="Times New Roman"/>
                <w:sz w:val="17"/>
                <w:szCs w:val="17"/>
                <w:color w:val="auto"/>
                <w:vertAlign w:val="superscript"/>
              </w:rPr>
              <w:t>(6)</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Tenant Billings (Current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1,864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Straight-Line Revenue</w:t>
            </w:r>
          </w:p>
        </w:tc>
        <w:tc>
          <w:tcPr>
            <w:tcW w:w="14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Amortization Revenue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14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Pass-Through Revenue</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line="193" w:lineRule="exact"/>
              <w:rPr>
                <w:sz w:val="20"/>
                <w:szCs w:val="20"/>
                <w:color w:val="auto"/>
              </w:rPr>
            </w:pPr>
            <w:r>
              <w:rPr>
                <w:rFonts w:ascii="Times New Roman" w:cs="Times New Roman" w:eastAsia="Times New Roman" w:hAnsi="Times New Roman"/>
                <w:sz w:val="14"/>
                <w:szCs w:val="14"/>
                <w:color w:val="auto"/>
              </w:rPr>
              <w:t>Foreign Currency Exchange Impact</w:t>
            </w:r>
            <w:r>
              <w:rPr>
                <w:rFonts w:ascii="Times New Roman" w:cs="Times New Roman" w:eastAsia="Times New Roman" w:hAnsi="Times New Roman"/>
                <w:sz w:val="17"/>
                <w:szCs w:val="17"/>
                <w:color w:val="auto"/>
                <w:vertAlign w:val="superscript"/>
              </w:rPr>
              <w:t>(7)</w:t>
            </w:r>
          </w:p>
        </w:tc>
        <w:tc>
          <w:tcPr>
            <w:tcW w:w="140" w:type="dxa"/>
            <w:vAlign w:val="bottom"/>
          </w:tcPr>
          <w:p>
            <w:pPr>
              <w:spacing w:after="0"/>
              <w:rPr>
                <w:sz w:val="16"/>
                <w:szCs w:val="16"/>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22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color w:val="auto"/>
              </w:rPr>
              <w:t>Total Property Revenue (Current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1,311</w:t>
            </w: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vMerge w:val="restart"/>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2,482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the operating results of ATC TIPL, which are reported as discontinued operations.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International reflects the Company’s international operations excluding Canada.</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additional details related to the Data Centers segment, please refer to the supplemental disclosure package available on the Company’s website.</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stock-based compensation expense.</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components of revenue, except those labeled current period, have been translated at prior-period foreign currency exchange rates.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foreign currency exchange impact on all components of Total Tenant Billings.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foreign currency exchange impact on components of revenue, other than Total Tenant Billings.</w:t>
      </w: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940"/>
          </w:cols>
          <w:pgMar w:left="320" w:top="1096" w:right="639" w:bottom="1440" w:gutter="0" w:footer="0" w:header="0"/>
        </w:sectPr>
      </w:pPr>
    </w:p>
    <w:bookmarkStart w:id="17" w:name="page18"/>
    <w:bookmarkEnd w:id="17"/>
    <w:p>
      <w:pPr>
        <w:ind w:right="4960"/>
        <w:spacing w:after="0" w:line="210" w:lineRule="auto"/>
        <w:rPr>
          <w:sz w:val="20"/>
          <w:szCs w:val="20"/>
          <w:color w:val="auto"/>
        </w:rPr>
      </w:pPr>
      <w:r>
        <w:rPr>
          <w:rFonts w:ascii="Times New Roman" w:cs="Times New Roman" w:eastAsia="Times New Roman" w:hAnsi="Times New Roman"/>
          <w:sz w:val="17"/>
          <w:szCs w:val="17"/>
          <w:b w:val="1"/>
          <w:bCs w:val="1"/>
          <w:color w:val="auto"/>
        </w:rPr>
        <w:t xml:space="preserve">UNAUDITED SELECTED CONSOLIDATED FINANCIAL INFORMATION </w:t>
      </w:r>
      <w:r>
        <w:rPr>
          <w:rFonts w:ascii="Times New Roman" w:cs="Times New Roman" w:eastAsia="Times New Roman" w:hAnsi="Times New Roman"/>
          <w:sz w:val="13"/>
          <w:szCs w:val="13"/>
          <w:i w:val="1"/>
          <w:iCs w:val="1"/>
          <w:color w:val="auto"/>
        </w:rPr>
        <w:t>($ in millions, except share and per share data, totals may not add due to rounding.)</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The reconciliation of Adjusted EBITDA to net income and the calculation of Adjusted EBITDA Margin are as follows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5"/>
          <w:szCs w:val="15"/>
          <w:b w:val="1"/>
          <w:bCs w:val="1"/>
          <w:color w:val="auto"/>
        </w:rPr>
        <w:t>:</w:t>
      </w:r>
    </w:p>
    <w:tbl>
      <w:tblPr>
        <w:tblLayout w:type="fixed"/>
        <w:tblInd w:w="0" w:type="dxa"/>
        <w:tblCellMar>
          <w:top w:w="0" w:type="dxa"/>
          <w:left w:w="0" w:type="dxa"/>
          <w:bottom w:w="0" w:type="dxa"/>
          <w:right w:w="0" w:type="dxa"/>
        </w:tblCellMar>
      </w:tblPr>
      <w:tr>
        <w:trPr>
          <w:trHeight w:val="183"/>
        </w:trPr>
        <w:tc>
          <w:tcPr>
            <w:tcW w:w="668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82"/>
        </w:trPr>
        <w:tc>
          <w:tcPr>
            <w:tcW w:w="66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r>
      <w:tr>
        <w:trPr>
          <w:trHeight w:val="19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921.7</w:t>
            </w:r>
          </w:p>
        </w:tc>
      </w:tr>
      <w:tr>
        <w:trPr>
          <w:trHeight w:val="184"/>
        </w:trPr>
        <w:tc>
          <w:tcPr>
            <w:tcW w:w="6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from discontinued operations, net of taxes</w:t>
            </w:r>
          </w:p>
        </w:tc>
        <w:tc>
          <w:tcPr>
            <w:tcW w:w="124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spacing w:after="0"/>
              <w:rPr>
                <w:sz w:val="16"/>
                <w:szCs w:val="16"/>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(91.7)</w:t>
            </w:r>
          </w:p>
        </w:tc>
      </w:tr>
      <w:tr>
        <w:trPr>
          <w:trHeight w:val="201"/>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 provision</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91.3</w:t>
            </w:r>
          </w:p>
        </w:tc>
      </w:tr>
      <w:tr>
        <w:trPr>
          <w:trHeight w:val="184"/>
        </w:trPr>
        <w:tc>
          <w:tcPr>
            <w:tcW w:w="6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expense (income)</w:t>
            </w:r>
          </w:p>
        </w:tc>
        <w:tc>
          <w:tcPr>
            <w:tcW w:w="1240" w:type="dxa"/>
            <w:vAlign w:val="bottom"/>
          </w:tcPr>
          <w:p>
            <w:pPr>
              <w:spacing w:after="0"/>
              <w:rPr>
                <w:sz w:val="16"/>
                <w:szCs w:val="16"/>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(113.1)</w:t>
            </w:r>
          </w:p>
        </w:tc>
      </w:tr>
      <w:tr>
        <w:trPr>
          <w:trHeight w:val="201"/>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 expense</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325.3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363.8</w:t>
            </w:r>
          </w:p>
        </w:tc>
      </w:tr>
      <w:tr>
        <w:trPr>
          <w:trHeight w:val="184"/>
        </w:trPr>
        <w:tc>
          <w:tcPr>
            <w:tcW w:w="6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income</w:t>
            </w:r>
          </w:p>
        </w:tc>
        <w:tc>
          <w:tcPr>
            <w:tcW w:w="1240" w:type="dxa"/>
            <w:vAlign w:val="bottom"/>
          </w:tcPr>
          <w:p>
            <w:pPr>
              <w:spacing w:after="0"/>
              <w:rPr>
                <w:sz w:val="16"/>
                <w:szCs w:val="16"/>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(31.0)</w:t>
            </w:r>
          </w:p>
        </w:tc>
      </w:tr>
      <w:tr>
        <w:trPr>
          <w:trHeight w:val="201"/>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operating income</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(0.4)</w:t>
            </w:r>
          </w:p>
        </w:tc>
      </w:tr>
      <w:tr>
        <w:trPr>
          <w:trHeight w:val="184"/>
        </w:trPr>
        <w:tc>
          <w:tcPr>
            <w:tcW w:w="6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240" w:type="dxa"/>
            <w:vAlign w:val="bottom"/>
          </w:tcPr>
          <w:p>
            <w:pPr>
              <w:spacing w:after="0"/>
              <w:rPr>
                <w:sz w:val="16"/>
                <w:szCs w:val="16"/>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492.5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508.8</w:t>
            </w:r>
          </w:p>
        </w:tc>
      </w:tr>
      <w:tr>
        <w:trPr>
          <w:trHeight w:val="194"/>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62.8</w:t>
            </w:r>
          </w:p>
        </w:tc>
      </w:tr>
      <w:tr>
        <w:trPr>
          <w:trHeight w:val="19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4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1,744.2</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1,712.2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4"/>
        </w:trPr>
        <w:tc>
          <w:tcPr>
            <w:tcW w:w="66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revenue</w:t>
            </w:r>
          </w:p>
        </w:tc>
        <w:tc>
          <w:tcPr>
            <w:tcW w:w="124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2,562.8</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2,512.6</w:t>
            </w:r>
          </w:p>
        </w:tc>
      </w:tr>
      <w:tr>
        <w:trPr>
          <w:trHeight w:val="178"/>
        </w:trPr>
        <w:tc>
          <w:tcPr>
            <w:tcW w:w="6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Adjusted EBITDA Margin</w:t>
            </w:r>
          </w:p>
        </w:tc>
        <w:tc>
          <w:tcPr>
            <w:tcW w:w="1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68 %</w:t>
            </w: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line items, except for Net income and Income from discontinued operations, net of taxes, exclude discontinued operations.</w:t>
      </w:r>
    </w:p>
    <w:p>
      <w:pPr>
        <w:spacing w:after="0" w:line="200" w:lineRule="exact"/>
        <w:rPr>
          <w:sz w:val="20"/>
          <w:szCs w:val="20"/>
          <w:color w:val="auto"/>
        </w:rPr>
      </w:pPr>
    </w:p>
    <w:p>
      <w:pPr>
        <w:spacing w:after="0" w:line="35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700"/>
          </w:cols>
          <w:pgMar w:left="320" w:top="967" w:right="879" w:bottom="1440" w:gutter="0" w:footer="0" w:header="0"/>
        </w:sectPr>
      </w:pPr>
    </w:p>
    <w:bookmarkStart w:id="18" w:name="page19"/>
    <w:bookmarkEnd w:id="18"/>
    <w:p>
      <w:pPr>
        <w:ind w:left="20" w:right="920"/>
        <w:spacing w:after="0"/>
        <w:rPr>
          <w:sz w:val="20"/>
          <w:szCs w:val="20"/>
          <w:color w:val="auto"/>
        </w:rPr>
      </w:pPr>
      <w:r>
        <w:rPr>
          <w:rFonts w:ascii="Times New Roman" w:cs="Times New Roman" w:eastAsia="Times New Roman" w:hAnsi="Times New Roman"/>
          <w:sz w:val="15"/>
          <w:szCs w:val="15"/>
          <w:b w:val="1"/>
          <w:bCs w:val="1"/>
          <w:color w:val="auto"/>
        </w:rPr>
        <w:t>The reconciliation of Nareit FFO attributable to American Tower Corporation common stockholders to net income and the calculation of AFFO attributable to American Tower Corporation common stockholders and AFFO attributable to American Tower Corporation common stockholders per Share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80" w:type="dxa"/>
            <w:vAlign w:val="bottom"/>
          </w:tcPr>
          <w:p>
            <w:pPr>
              <w:spacing w:after="0"/>
              <w:rPr>
                <w:sz w:val="15"/>
                <w:szCs w:val="15"/>
                <w:color w:val="auto"/>
              </w:rPr>
            </w:pPr>
          </w:p>
        </w:tc>
        <w:tc>
          <w:tcPr>
            <w:tcW w:w="33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3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Net income</w:t>
            </w:r>
            <w:r>
              <w:rPr>
                <w:rFonts w:ascii="Times New Roman" w:cs="Times New Roman" w:eastAsia="Times New Roman" w:hAnsi="Times New Roman"/>
                <w:sz w:val="17"/>
                <w:szCs w:val="17"/>
                <w:color w:val="auto"/>
                <w:vertAlign w:val="superscript"/>
              </w:rPr>
              <w:t>(1)</w:t>
            </w:r>
          </w:p>
        </w:tc>
        <w:tc>
          <w:tcPr>
            <w:tcW w:w="130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0" w:type="dxa"/>
            <w:vAlign w:val="bottom"/>
          </w:tcPr>
          <w:p>
            <w:pPr>
              <w:spacing w:after="0"/>
              <w:rPr>
                <w:sz w:val="1"/>
                <w:szCs w:val="1"/>
                <w:color w:val="auto"/>
              </w:rPr>
            </w:pPr>
          </w:p>
        </w:tc>
      </w:tr>
      <w:tr>
        <w:trPr>
          <w:trHeight w:val="184"/>
        </w:trPr>
        <w:tc>
          <w:tcPr>
            <w:tcW w:w="6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Real estate related depreciation, amortization and accretion</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201"/>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(Gain) losses from sale or disposal of real estate and real estate related impairment charges</w:t>
            </w:r>
            <w:r>
              <w:rPr>
                <w:rFonts w:ascii="Times New Roman" w:cs="Times New Roman" w:eastAsia="Times New Roman" w:hAnsi="Times New Roman"/>
                <w:sz w:val="17"/>
                <w:szCs w:val="17"/>
                <w:color w:val="auto"/>
                <w:vertAlign w:val="superscript"/>
              </w:rPr>
              <w:t>(2)</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6380" w:type="dxa"/>
            <w:vAlign w:val="bottom"/>
          </w:tcPr>
          <w:p>
            <w:pPr>
              <w:ind w:left="320"/>
              <w:spacing w:after="0" w:line="193" w:lineRule="exact"/>
              <w:rPr>
                <w:sz w:val="20"/>
                <w:szCs w:val="20"/>
                <w:color w:val="auto"/>
              </w:rPr>
            </w:pPr>
            <w:r>
              <w:rPr>
                <w:rFonts w:ascii="Times New Roman" w:cs="Times New Roman" w:eastAsia="Times New Roman" w:hAnsi="Times New Roman"/>
                <w:sz w:val="14"/>
                <w:szCs w:val="14"/>
                <w:color w:val="auto"/>
              </w:rPr>
              <w:t>Adjustments and distributions for unconsolidated affiliates and noncontrolling interests</w:t>
            </w:r>
            <w:r>
              <w:rPr>
                <w:rFonts w:ascii="Times New Roman" w:cs="Times New Roman" w:eastAsia="Times New Roman" w:hAnsi="Times New Roman"/>
                <w:sz w:val="17"/>
                <w:szCs w:val="17"/>
                <w:color w:val="auto"/>
                <w:vertAlign w:val="superscript"/>
              </w:rPr>
              <w:t>(3)</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ind w:left="320"/>
              <w:spacing w:after="0" w:line="193" w:lineRule="exact"/>
              <w:rPr>
                <w:sz w:val="20"/>
                <w:szCs w:val="20"/>
                <w:color w:val="auto"/>
              </w:rPr>
            </w:pPr>
            <w:r>
              <w:rPr>
                <w:rFonts w:ascii="Times New Roman" w:cs="Times New Roman" w:eastAsia="Times New Roman" w:hAnsi="Times New Roman"/>
                <w:sz w:val="14"/>
                <w:szCs w:val="14"/>
                <w:color w:val="auto"/>
              </w:rPr>
              <w:t>Adjustments for discontinued operations</w:t>
            </w:r>
            <w:r>
              <w:rPr>
                <w:rFonts w:ascii="Times New Roman" w:cs="Times New Roman" w:eastAsia="Times New Roman" w:hAnsi="Times New Roman"/>
                <w:sz w:val="17"/>
                <w:szCs w:val="17"/>
                <w:color w:val="auto"/>
                <w:vertAlign w:val="superscript"/>
              </w:rPr>
              <w:t>(4)</w:t>
            </w:r>
          </w:p>
        </w:tc>
        <w:tc>
          <w:tcPr>
            <w:tcW w:w="1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Nareit FFO attributable to AMT common stockholders</w:t>
            </w:r>
          </w:p>
        </w:tc>
        <w:tc>
          <w:tcPr>
            <w:tcW w:w="1300" w:type="dxa"/>
            <w:vAlign w:val="bottom"/>
            <w:tcBorders>
              <w:top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100" w:type="dxa"/>
            <w:vAlign w:val="bottom"/>
          </w:tcPr>
          <w:p>
            <w:pPr>
              <w:spacing w:after="0"/>
              <w:rPr>
                <w:sz w:val="15"/>
                <w:szCs w:val="15"/>
                <w:color w:val="auto"/>
              </w:rPr>
            </w:pPr>
          </w:p>
        </w:tc>
        <w:tc>
          <w:tcPr>
            <w:tcW w:w="1300" w:type="dxa"/>
            <w:vAlign w:val="bottom"/>
            <w:tcBorders>
              <w:top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0" w:type="dxa"/>
            <w:vAlign w:val="bottom"/>
          </w:tcPr>
          <w:p>
            <w:pPr>
              <w:spacing w:after="0"/>
              <w:rPr>
                <w:sz w:val="1"/>
                <w:szCs w:val="1"/>
                <w:color w:val="auto"/>
              </w:rPr>
            </w:pPr>
          </w:p>
        </w:tc>
      </w:tr>
      <w:tr>
        <w:trPr>
          <w:trHeight w:val="201"/>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Straight-line revenue</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84"/>
        </w:trPr>
        <w:tc>
          <w:tcPr>
            <w:tcW w:w="6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Straight-line expense</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1"/>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93"/>
        </w:trPr>
        <w:tc>
          <w:tcPr>
            <w:tcW w:w="6380" w:type="dxa"/>
            <w:vAlign w:val="bottom"/>
          </w:tcPr>
          <w:p>
            <w:pPr>
              <w:ind w:left="320"/>
              <w:spacing w:after="0" w:line="193" w:lineRule="exact"/>
              <w:rPr>
                <w:sz w:val="20"/>
                <w:szCs w:val="20"/>
                <w:color w:val="auto"/>
              </w:rPr>
            </w:pPr>
            <w:r>
              <w:rPr>
                <w:rFonts w:ascii="Times New Roman" w:cs="Times New Roman" w:eastAsia="Times New Roman" w:hAnsi="Times New Roman"/>
                <w:sz w:val="14"/>
                <w:szCs w:val="14"/>
                <w:color w:val="auto"/>
              </w:rPr>
              <w:t>Deferred portion of income tax and other income tax adjustments</w:t>
            </w:r>
            <w:r>
              <w:rPr>
                <w:rFonts w:ascii="Times New Roman" w:cs="Times New Roman" w:eastAsia="Times New Roman" w:hAnsi="Times New Roman"/>
                <w:sz w:val="17"/>
                <w:szCs w:val="17"/>
                <w:color w:val="auto"/>
                <w:vertAlign w:val="superscript"/>
              </w:rPr>
              <w:t>(5)</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Non-real estate related depreciation, amortization and accretion</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34"/>
        </w:trPr>
        <w:tc>
          <w:tcPr>
            <w:tcW w:w="6380" w:type="dxa"/>
            <w:vAlign w:val="bottom"/>
          </w:tcPr>
          <w:p>
            <w:pPr>
              <w:ind w:left="320"/>
              <w:spacing w:after="0" w:line="134" w:lineRule="exact"/>
              <w:rPr>
                <w:sz w:val="20"/>
                <w:szCs w:val="20"/>
                <w:color w:val="auto"/>
              </w:rPr>
            </w:pPr>
            <w:r>
              <w:rPr>
                <w:rFonts w:ascii="Times New Roman" w:cs="Times New Roman" w:eastAsia="Times New Roman" w:hAnsi="Times New Roman"/>
                <w:sz w:val="14"/>
                <w:szCs w:val="14"/>
                <w:color w:val="auto"/>
              </w:rPr>
              <w:t>Amortization of deferred financing costs, debt discounts and premiums and long-term deferred interest</w:t>
            </w:r>
          </w:p>
        </w:tc>
        <w:tc>
          <w:tcPr>
            <w:tcW w:w="1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2"/>
        </w:trPr>
        <w:tc>
          <w:tcPr>
            <w:tcW w:w="63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charges</w:t>
            </w:r>
          </w:p>
        </w:tc>
        <w:tc>
          <w:tcPr>
            <w:tcW w:w="1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expense (income)</w:t>
            </w:r>
            <w:r>
              <w:rPr>
                <w:rFonts w:ascii="Times New Roman" w:cs="Times New Roman" w:eastAsia="Times New Roman" w:hAnsi="Times New Roman"/>
                <w:sz w:val="17"/>
                <w:szCs w:val="17"/>
                <w:color w:val="auto"/>
                <w:vertAlign w:val="superscript"/>
              </w:rPr>
              <w:t>(6)</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93"/>
        </w:trPr>
        <w:tc>
          <w:tcPr>
            <w:tcW w:w="6380" w:type="dxa"/>
            <w:vAlign w:val="bottom"/>
          </w:tcPr>
          <w:p>
            <w:pPr>
              <w:ind w:left="320"/>
              <w:spacing w:after="0" w:line="193" w:lineRule="exact"/>
              <w:rPr>
                <w:sz w:val="20"/>
                <w:szCs w:val="20"/>
                <w:color w:val="auto"/>
              </w:rPr>
            </w:pPr>
            <w:r>
              <w:rPr>
                <w:rFonts w:ascii="Times New Roman" w:cs="Times New Roman" w:eastAsia="Times New Roman" w:hAnsi="Times New Roman"/>
                <w:sz w:val="14"/>
                <w:szCs w:val="14"/>
                <w:color w:val="auto"/>
              </w:rPr>
              <w:t>Other operating income</w:t>
            </w:r>
            <w:r>
              <w:rPr>
                <w:rFonts w:ascii="Times New Roman" w:cs="Times New Roman" w:eastAsia="Times New Roman" w:hAnsi="Times New Roman"/>
                <w:sz w:val="17"/>
                <w:szCs w:val="17"/>
                <w:color w:val="auto"/>
                <w:vertAlign w:val="superscript"/>
              </w:rPr>
              <w:t>(7)</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Capital improvement capital expenditures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4"/>
        </w:trPr>
        <w:tc>
          <w:tcPr>
            <w:tcW w:w="6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Corporate capital expenditures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1"/>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Adjustments and distributions for unconsolidated affiliates and noncontrolling interests</w:t>
            </w:r>
            <w:r>
              <w:rPr>
                <w:rFonts w:ascii="Times New Roman" w:cs="Times New Roman" w:eastAsia="Times New Roman" w:hAnsi="Times New Roman"/>
                <w:sz w:val="17"/>
                <w:szCs w:val="17"/>
                <w:color w:val="auto"/>
                <w:vertAlign w:val="superscript"/>
              </w:rPr>
              <w:t>(8)</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3"/>
        </w:trPr>
        <w:tc>
          <w:tcPr>
            <w:tcW w:w="6380" w:type="dxa"/>
            <w:vAlign w:val="bottom"/>
          </w:tcPr>
          <w:p>
            <w:pPr>
              <w:ind w:left="320"/>
              <w:spacing w:after="0" w:line="193" w:lineRule="exact"/>
              <w:rPr>
                <w:sz w:val="20"/>
                <w:szCs w:val="20"/>
                <w:color w:val="auto"/>
              </w:rPr>
            </w:pPr>
            <w:r>
              <w:rPr>
                <w:rFonts w:ascii="Times New Roman" w:cs="Times New Roman" w:eastAsia="Times New Roman" w:hAnsi="Times New Roman"/>
                <w:sz w:val="14"/>
                <w:szCs w:val="14"/>
                <w:color w:val="auto"/>
              </w:rPr>
              <w:t>Adjustments for discontinued operations</w:t>
            </w:r>
            <w:r>
              <w:rPr>
                <w:rFonts w:ascii="Times New Roman" w:cs="Times New Roman" w:eastAsia="Times New Roman" w:hAnsi="Times New Roman"/>
                <w:sz w:val="17"/>
                <w:szCs w:val="17"/>
                <w:color w:val="auto"/>
                <w:vertAlign w:val="superscript"/>
              </w:rPr>
              <w:t>(9)</w:t>
            </w:r>
          </w:p>
        </w:tc>
        <w:tc>
          <w:tcPr>
            <w:tcW w:w="1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6"/>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AFFO attributable to AMT common stockholders</w:t>
            </w:r>
          </w:p>
        </w:tc>
        <w:tc>
          <w:tcPr>
            <w:tcW w:w="1300" w:type="dxa"/>
            <w:vAlign w:val="bottom"/>
            <w:tcBorders>
              <w:top w:val="single" w:sz="8" w:color="auto"/>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1,290.2</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1,303.1</w:t>
            </w:r>
          </w:p>
        </w:tc>
        <w:tc>
          <w:tcPr>
            <w:tcW w:w="0" w:type="dxa"/>
            <w:vAlign w:val="bottom"/>
          </w:tcPr>
          <w:p>
            <w:pPr>
              <w:spacing w:after="0"/>
              <w:rPr>
                <w:sz w:val="1"/>
                <w:szCs w:val="1"/>
                <w:color w:val="auto"/>
              </w:rPr>
            </w:pPr>
          </w:p>
        </w:tc>
      </w:tr>
      <w:tr>
        <w:trPr>
          <w:trHeight w:val="178"/>
        </w:trPr>
        <w:tc>
          <w:tcPr>
            <w:tcW w:w="6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Divided by weighted average diluted shares outstanding (in thousands)</w:t>
            </w:r>
          </w:p>
        </w:tc>
        <w:tc>
          <w:tcPr>
            <w:tcW w:w="1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468,519</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467,660</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AFFO attributable to AMT common stockholders per Share</w:t>
            </w:r>
          </w:p>
        </w:tc>
        <w:tc>
          <w:tcPr>
            <w:tcW w:w="130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64"/>
        </w:trPr>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As Adjusted:</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AFFO attributable to AMT common stockholders from discontinued operations</w:t>
            </w:r>
          </w:p>
        </w:tc>
        <w:tc>
          <w:tcPr>
            <w:tcW w:w="1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0" w:type="dxa"/>
            <w:vAlign w:val="bottom"/>
          </w:tcPr>
          <w:p>
            <w:pPr>
              <w:spacing w:after="0"/>
              <w:rPr>
                <w:sz w:val="1"/>
                <w:szCs w:val="1"/>
                <w:color w:val="auto"/>
              </w:rPr>
            </w:pPr>
          </w:p>
        </w:tc>
      </w:tr>
      <w:tr>
        <w:trPr>
          <w:trHeight w:val="178"/>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AFFO attributable to American Tower Corporation common stockholders from continuing operations</w:t>
            </w:r>
          </w:p>
        </w:tc>
        <w:tc>
          <w:tcPr>
            <w:tcW w:w="1300" w:type="dxa"/>
            <w:vAlign w:val="bottom"/>
            <w:tcBorders>
              <w:top w:val="single" w:sz="8" w:color="auto"/>
              <w:bottom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1,290.2</w:t>
            </w:r>
          </w:p>
        </w:tc>
        <w:tc>
          <w:tcPr>
            <w:tcW w:w="10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1,171.8</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for interest expense savings associated with the use of ATC TIPL Transaction proceeds</w:t>
            </w:r>
          </w:p>
        </w:tc>
        <w:tc>
          <w:tcPr>
            <w:tcW w:w="1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86"/>
        </w:trPr>
        <w:tc>
          <w:tcPr>
            <w:tcW w:w="6380" w:type="dxa"/>
            <w:vAlign w:val="bottom"/>
            <w:tcBorders>
              <w:bottom w:val="single" w:sz="8" w:color="CCEEFF"/>
            </w:tcBorders>
          </w:tcPr>
          <w:p>
            <w:pPr>
              <w:ind w:left="20"/>
              <w:spacing w:after="0" w:line="185" w:lineRule="exact"/>
              <w:rPr>
                <w:sz w:val="20"/>
                <w:szCs w:val="20"/>
                <w:color w:val="auto"/>
              </w:rPr>
            </w:pPr>
            <w:r>
              <w:rPr>
                <w:rFonts w:ascii="Times New Roman" w:cs="Times New Roman" w:eastAsia="Times New Roman" w:hAnsi="Times New Roman"/>
                <w:sz w:val="14"/>
                <w:szCs w:val="14"/>
                <w:color w:val="auto"/>
              </w:rPr>
              <w:t>AFFO attributable to AMT common stockholders, as adjusted</w:t>
            </w:r>
            <w:r>
              <w:rPr>
                <w:rFonts w:ascii="Times New Roman" w:cs="Times New Roman" w:eastAsia="Times New Roman" w:hAnsi="Times New Roman"/>
                <w:sz w:val="17"/>
                <w:szCs w:val="17"/>
                <w:color w:val="auto"/>
                <w:vertAlign w:val="superscript"/>
              </w:rPr>
              <w:t>(10)</w:t>
            </w:r>
          </w:p>
        </w:tc>
        <w:tc>
          <w:tcPr>
            <w:tcW w:w="130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1,290.2</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1,204.8</w:t>
            </w:r>
          </w:p>
        </w:tc>
        <w:tc>
          <w:tcPr>
            <w:tcW w:w="0" w:type="dxa"/>
            <w:vAlign w:val="bottom"/>
          </w:tcPr>
          <w:p>
            <w:pPr>
              <w:spacing w:after="0"/>
              <w:rPr>
                <w:sz w:val="1"/>
                <w:szCs w:val="1"/>
                <w:color w:val="auto"/>
              </w:rPr>
            </w:pPr>
          </w:p>
        </w:tc>
      </w:tr>
      <w:tr>
        <w:trPr>
          <w:trHeight w:val="186"/>
        </w:trPr>
        <w:tc>
          <w:tcPr>
            <w:tcW w:w="63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4"/>
                <w:szCs w:val="14"/>
                <w:color w:val="auto"/>
              </w:rPr>
              <w:t>AFFO attributable to AMT common stockholders per Share, as adjusted</w:t>
            </w:r>
            <w:r>
              <w:rPr>
                <w:rFonts w:ascii="Times New Roman" w:cs="Times New Roman" w:eastAsia="Times New Roman" w:hAnsi="Times New Roman"/>
                <w:sz w:val="17"/>
                <w:szCs w:val="17"/>
                <w:color w:val="auto"/>
                <w:vertAlign w:val="superscript"/>
              </w:rPr>
              <w:t>(10)</w:t>
            </w:r>
          </w:p>
        </w:tc>
        <w:tc>
          <w:tcPr>
            <w:tcW w:w="130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2024, includes Income from discontinued operations, net of taxes of $91.7 million.</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impairment charges for the three months ended March 31, 2025 and 2024. For the three months ended March 31, 2025, includes a gain on the sale of South Africa Fiber of $53.6 million.</w:t>
      </w:r>
    </w:p>
    <w:p>
      <w:pPr>
        <w:spacing w:after="0" w:line="4" w:lineRule="exact"/>
        <w:rPr>
          <w:rFonts w:ascii="Times New Roman" w:cs="Times New Roman" w:eastAsia="Times New Roman" w:hAnsi="Times New Roman"/>
          <w:sz w:val="13"/>
          <w:szCs w:val="13"/>
          <w:color w:val="auto"/>
        </w:rPr>
      </w:pPr>
    </w:p>
    <w:p>
      <w:pPr>
        <w:ind w:left="320" w:right="280" w:hanging="317"/>
        <w:spacing w:after="0" w:line="247" w:lineRule="auto"/>
        <w:tabs>
          <w:tab w:leader="none" w:pos="316"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distributions to noncontrolling interest holders, distributions related to the outstanding mandatorily convertible preferred equity in connection with the Company’s agreements with certain investment vehicles affiliated with Stonepeak Partners LP and adjustments for the impact of noncontrolling interests on Nareit FFO attributable to American Tower Corporation common stockholders.</w:t>
      </w:r>
    </w:p>
    <w:p>
      <w:pPr>
        <w:ind w:left="320" w:hanging="317"/>
        <w:spacing w:after="0" w:line="247" w:lineRule="auto"/>
        <w:tabs>
          <w:tab w:leader="none" w:pos="316"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2024, includes (i) real estate related depreciation, amortization and accretion for discontinued operations of $38.9 million and (ii) gains from the sale or disposal of real estate and real estate related impairment charges for discontinued operations of $1.6 million.</w:t>
      </w:r>
    </w:p>
    <w:p>
      <w:pPr>
        <w:ind w:left="320" w:right="240" w:hanging="317"/>
        <w:spacing w:after="0" w:line="247" w:lineRule="auto"/>
        <w:tabs>
          <w:tab w:leader="none" w:pos="316"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2024, includes adjustments for withholding taxes paid in Singapore of $11.8 million, which were incurred as a result of the ATC TIPL Transaction. We believe that these withholding tax payments are nonrecurring, and do not believe these are an indication of our operating performance. Accordingly, we believe it is more meaningful to present AFFO attributable to American Tower Corporation common stockholders excluding these amounts.</w:t>
      </w:r>
    </w:p>
    <w:p>
      <w:pPr>
        <w:spacing w:after="0" w:line="1"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2025 and 2024, includes losses (gains) on foreign currency exchange rate fluctuations of $345.7 million and ($127.7) million, respectively.</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includes acquisition-related costs, integration costs and disposition costs.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adjustments for the impact of noncontrolling interests on other line items, excluding those already adjusted for in Nareit FFO attributable to American Tower Corporation common stockholders.</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impact of discontinued operations associated with other line items, excluding the impact already included in Nareit FFO attributable to American Tower Corporation common stockholders.</w:t>
      </w:r>
    </w:p>
    <w:p>
      <w:pPr>
        <w:spacing w:after="0" w:line="4" w:lineRule="exact"/>
        <w:rPr>
          <w:rFonts w:ascii="Times New Roman" w:cs="Times New Roman" w:eastAsia="Times New Roman" w:hAnsi="Times New Roman"/>
          <w:sz w:val="13"/>
          <w:szCs w:val="13"/>
          <w:color w:val="auto"/>
        </w:rPr>
      </w:pPr>
    </w:p>
    <w:p>
      <w:pPr>
        <w:ind w:left="320" w:right="2280" w:hanging="317"/>
        <w:spacing w:after="0" w:line="250" w:lineRule="auto"/>
        <w:tabs>
          <w:tab w:leader="none" w:pos="316"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AFFO attributable to AMT common stockholders from continuing operations adjusted for a full period of interest expense savings associated with the use of approximately $2.0 billion of proceeds from the ATC TIPL Transaction to pay down existing indebtedness under the 2021 Multicurrency Credit Facility, at the applicable historical borrowing cost for the respective period. No additional adjustments are required related to the repayment of approximately $120 million under the India Term Loan, as the historical interest expense associated with the India Term Loan is already considered as part of AFFO attributable to AMT common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779"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3"/>
          <w:szCs w:val="13"/>
          <w:color w:val="auto"/>
        </w:rPr>
        <w:t>stockholders from discontinued operations when deriving AFFO attributable to AMT common stockholders from continued operations.</w:t>
      </w:r>
    </w:p>
    <w:p>
      <w:pPr>
        <w:spacing w:after="0" w:line="271" w:lineRule="exact"/>
        <w:rPr>
          <w:sz w:val="20"/>
          <w:szCs w:val="20"/>
          <w:color w:val="auto"/>
        </w:rPr>
      </w:pPr>
    </w:p>
    <w:p>
      <w:pPr>
        <w:ind w:left="20" w:right="620"/>
        <w:spacing w:after="0"/>
        <w:rPr>
          <w:sz w:val="20"/>
          <w:szCs w:val="20"/>
          <w:color w:val="auto"/>
        </w:rPr>
      </w:pPr>
      <w:r>
        <w:rPr>
          <w:rFonts w:ascii="Times New Roman" w:cs="Times New Roman" w:eastAsia="Times New Roman" w:hAnsi="Times New Roman"/>
          <w:sz w:val="15"/>
          <w:szCs w:val="15"/>
          <w:b w:val="1"/>
          <w:bCs w:val="1"/>
          <w:color w:val="auto"/>
        </w:rPr>
        <w:t>The reconciliation of Adjusted EBITDA to AFFO attributable to American Tower Corporation common stockholders and AFFO attributable to American Tower Corporation common stockholders per Share and AFFO attributable to American Tower Corporation common stockholders per Share, as adjusted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4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00"/>
        </w:trPr>
        <w:tc>
          <w:tcPr>
            <w:tcW w:w="68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0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1,744.2</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1,712.2</w:t>
            </w:r>
          </w:p>
        </w:tc>
      </w:tr>
      <w:tr>
        <w:trPr>
          <w:trHeight w:val="203"/>
        </w:trPr>
        <w:tc>
          <w:tcPr>
            <w:tcW w:w="6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Straight-line revenue</w:t>
            </w: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r>
      <w:tr>
        <w:trPr>
          <w:trHeight w:val="20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Straight-line expense</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10.7</w:t>
            </w:r>
          </w:p>
        </w:tc>
      </w:tr>
      <w:tr>
        <w:trPr>
          <w:trHeight w:val="203"/>
        </w:trPr>
        <w:tc>
          <w:tcPr>
            <w:tcW w:w="6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Cash interest expense</w:t>
            </w: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(350.8)</w:t>
            </w:r>
          </w:p>
        </w:tc>
      </w:tr>
      <w:tr>
        <w:trPr>
          <w:trHeight w:val="20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income</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31.0</w:t>
            </w:r>
          </w:p>
        </w:tc>
      </w:tr>
      <w:tr>
        <w:trPr>
          <w:trHeight w:val="203"/>
        </w:trPr>
        <w:tc>
          <w:tcPr>
            <w:tcW w:w="6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w:t>
            </w:r>
          </w:p>
        </w:tc>
      </w:tr>
      <w:tr>
        <w:trPr>
          <w:trHeight w:val="20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Capital improvement capital expenditures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203"/>
        </w:trPr>
        <w:tc>
          <w:tcPr>
            <w:tcW w:w="6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Corporate capital expenditures</w:t>
            </w: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0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and dividends for non-controlling interests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w:t>
            </w:r>
          </w:p>
        </w:tc>
      </w:tr>
      <w:tr>
        <w:trPr>
          <w:trHeight w:val="203"/>
        </w:trPr>
        <w:tc>
          <w:tcPr>
            <w:tcW w:w="6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Adjustments from discontinued operations</w:t>
            </w:r>
          </w:p>
        </w:tc>
        <w:tc>
          <w:tcPr>
            <w:tcW w:w="12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131.3</w:t>
            </w:r>
          </w:p>
        </w:tc>
      </w:tr>
      <w:tr>
        <w:trPr>
          <w:trHeight w:val="201"/>
        </w:trPr>
        <w:tc>
          <w:tcPr>
            <w:tcW w:w="68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AFFO Attributable to Common Stockholders</w:t>
            </w:r>
          </w:p>
        </w:tc>
        <w:tc>
          <w:tcPr>
            <w:tcW w:w="122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1,290.2</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1,303.1</w:t>
            </w:r>
          </w:p>
        </w:tc>
      </w:tr>
      <w:tr>
        <w:trPr>
          <w:trHeight w:val="196"/>
        </w:trPr>
        <w:tc>
          <w:tcPr>
            <w:tcW w:w="6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Divided by weighted average diluted shares outstanding</w:t>
            </w:r>
          </w:p>
        </w:tc>
        <w:tc>
          <w:tcPr>
            <w:tcW w:w="122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468.5</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467.7</w:t>
            </w:r>
          </w:p>
        </w:tc>
      </w:tr>
      <w:tr>
        <w:trPr>
          <w:trHeight w:val="20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AFFO Attributable to Common Stockholders per Share</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2.75</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2.79</w:t>
            </w:r>
          </w:p>
        </w:tc>
      </w:tr>
      <w:tr>
        <w:trPr>
          <w:trHeight w:val="196"/>
        </w:trPr>
        <w:tc>
          <w:tcPr>
            <w:tcW w:w="6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AFFO attributable to AMT common stockholders, as adjusted</w:t>
            </w:r>
          </w:p>
        </w:tc>
        <w:tc>
          <w:tcPr>
            <w:tcW w:w="1220" w:type="dxa"/>
            <w:vAlign w:val="bottom"/>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1,290.2</w:t>
            </w:r>
          </w:p>
        </w:tc>
        <w:tc>
          <w:tcPr>
            <w:tcW w:w="100" w:type="dxa"/>
            <w:vAlign w:val="bottom"/>
          </w:tcPr>
          <w:p>
            <w:pPr>
              <w:spacing w:after="0"/>
              <w:rPr>
                <w:sz w:val="17"/>
                <w:szCs w:val="17"/>
                <w:color w:val="auto"/>
              </w:rPr>
            </w:pPr>
          </w:p>
        </w:tc>
        <w:tc>
          <w:tcPr>
            <w:tcW w:w="1220" w:type="dxa"/>
            <w:vAlign w:val="bottom"/>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1,204.8</w:t>
            </w:r>
          </w:p>
        </w:tc>
      </w:tr>
      <w:tr>
        <w:trPr>
          <w:trHeight w:val="20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AFFO attributable to AMT common stockholders per Share, as adjusted</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2.58</w:t>
            </w:r>
          </w:p>
        </w:tc>
      </w:tr>
    </w:tbl>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The reconciliations of segment gross margins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Three Months Ended March 31, 2025</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U.S. &amp;</w:t>
            </w:r>
          </w:p>
        </w:tc>
        <w:tc>
          <w:tcPr>
            <w:tcW w:w="12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Latin</w:t>
            </w: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Africa &amp;</w:t>
            </w:r>
          </w:p>
        </w:tc>
        <w:tc>
          <w:tcPr>
            <w:tcW w:w="120" w:type="dxa"/>
            <w:vAlign w:val="bottom"/>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Europe</w:t>
            </w: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Data</w:t>
            </w: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20" w:type="dxa"/>
            <w:vAlign w:val="bottom"/>
          </w:tcPr>
          <w:p>
            <w:pPr>
              <w:spacing w:after="0"/>
              <w:rPr>
                <w:sz w:val="24"/>
                <w:szCs w:val="2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Services</w:t>
            </w:r>
          </w:p>
        </w:tc>
        <w:tc>
          <w:tcPr>
            <w:tcW w:w="160" w:type="dxa"/>
            <w:vAlign w:val="bottom"/>
          </w:tcPr>
          <w:p>
            <w:pPr>
              <w:spacing w:after="0"/>
              <w:rPr>
                <w:sz w:val="24"/>
                <w:szCs w:val="24"/>
                <w:color w:val="auto"/>
              </w:rPr>
            </w:pPr>
          </w:p>
        </w:tc>
        <w:tc>
          <w:tcPr>
            <w:tcW w:w="66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Canada</w:t>
            </w: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America</w:t>
            </w: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APAC</w:t>
            </w: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line="206" w:lineRule="exact"/>
              <w:rPr>
                <w:sz w:val="20"/>
                <w:szCs w:val="20"/>
                <w:color w:val="auto"/>
              </w:rPr>
            </w:pPr>
            <w:r>
              <w:rPr>
                <w:rFonts w:ascii="Times New Roman" w:cs="Times New Roman" w:eastAsia="Times New Roman" w:hAnsi="Times New Roman"/>
                <w:sz w:val="15"/>
                <w:szCs w:val="15"/>
                <w:b w:val="1"/>
                <w:bCs w:val="1"/>
                <w:color w:val="auto"/>
                <w:w w:val="97"/>
              </w:rPr>
              <w:t>International</w:t>
            </w:r>
            <w:r>
              <w:rPr>
                <w:rFonts w:ascii="Times New Roman" w:cs="Times New Roman" w:eastAsia="Times New Roman" w:hAnsi="Times New Roman"/>
                <w:sz w:val="20"/>
                <w:szCs w:val="20"/>
                <w:b w:val="1"/>
                <w:bCs w:val="1"/>
                <w:color w:val="auto"/>
                <w:w w:val="97"/>
                <w:vertAlign w:val="superscript"/>
              </w:rPr>
              <w:t>(1)</w:t>
            </w:r>
          </w:p>
        </w:tc>
        <w:tc>
          <w:tcPr>
            <w:tcW w:w="14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Centers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1,471.0</w:t>
            </w:r>
          </w:p>
        </w:tc>
        <w:tc>
          <w:tcPr>
            <w:tcW w:w="0" w:type="dxa"/>
            <w:vAlign w:val="bottom"/>
          </w:tcPr>
          <w:p>
            <w:pPr>
              <w:spacing w:after="0"/>
              <w:rPr>
                <w:sz w:val="1"/>
                <w:szCs w:val="1"/>
                <w:color w:val="auto"/>
              </w:rPr>
            </w:pPr>
          </w:p>
        </w:tc>
      </w:tr>
      <w:tr>
        <w:trPr>
          <w:trHeight w:val="155"/>
        </w:trPr>
        <w:tc>
          <w:tcPr>
            <w:tcW w:w="24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Real estate related depreciation,</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45.7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147.1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457.3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457.3</w:t>
            </w: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and accretion</w:t>
            </w: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Segment Gross Margin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1,928.3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International reflects the Company’s international operations excluding Canada.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U.S. &amp;</w:t>
            </w:r>
          </w:p>
        </w:tc>
        <w:tc>
          <w:tcPr>
            <w:tcW w:w="12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Latin</w:t>
            </w: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Africa &amp;</w:t>
            </w:r>
          </w:p>
        </w:tc>
        <w:tc>
          <w:tcPr>
            <w:tcW w:w="120" w:type="dxa"/>
            <w:vAlign w:val="bottom"/>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Europe</w:t>
            </w: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Data</w:t>
            </w: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20" w:type="dxa"/>
            <w:vAlign w:val="bottom"/>
          </w:tcPr>
          <w:p>
            <w:pPr>
              <w:spacing w:after="0"/>
              <w:rPr>
                <w:sz w:val="24"/>
                <w:szCs w:val="2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Services</w:t>
            </w:r>
          </w:p>
        </w:tc>
        <w:tc>
          <w:tcPr>
            <w:tcW w:w="160" w:type="dxa"/>
            <w:vAlign w:val="bottom"/>
          </w:tcPr>
          <w:p>
            <w:pPr>
              <w:spacing w:after="0"/>
              <w:rPr>
                <w:sz w:val="24"/>
                <w:szCs w:val="24"/>
                <w:color w:val="auto"/>
              </w:rPr>
            </w:pPr>
          </w:p>
        </w:tc>
        <w:tc>
          <w:tcPr>
            <w:tcW w:w="66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Canada</w:t>
            </w: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America</w:t>
            </w:r>
          </w:p>
        </w:tc>
        <w:tc>
          <w:tcPr>
            <w:tcW w:w="120" w:type="dxa"/>
            <w:vAlign w:val="bottom"/>
          </w:tcPr>
          <w:p>
            <w:pPr>
              <w:spacing w:after="0"/>
              <w:rPr>
                <w:sz w:val="17"/>
                <w:szCs w:val="17"/>
                <w:color w:val="auto"/>
              </w:rPr>
            </w:pPr>
          </w:p>
        </w:tc>
        <w:tc>
          <w:tcPr>
            <w:tcW w:w="820" w:type="dxa"/>
            <w:vAlign w:val="bottom"/>
            <w:gridSpan w:val="2"/>
          </w:tcPr>
          <w:p>
            <w:pPr>
              <w:jc w:val="center"/>
              <w:ind w:right="220"/>
              <w:spacing w:after="0" w:line="206" w:lineRule="exact"/>
              <w:rPr>
                <w:sz w:val="20"/>
                <w:szCs w:val="20"/>
                <w:color w:val="auto"/>
              </w:rPr>
            </w:pPr>
            <w:r>
              <w:rPr>
                <w:rFonts w:ascii="Times New Roman" w:cs="Times New Roman" w:eastAsia="Times New Roman" w:hAnsi="Times New Roman"/>
                <w:sz w:val="15"/>
                <w:szCs w:val="15"/>
                <w:b w:val="1"/>
                <w:bCs w:val="1"/>
                <w:color w:val="auto"/>
                <w:w w:val="90"/>
              </w:rPr>
              <w:t>APAC</w:t>
            </w:r>
            <w:r>
              <w:rPr>
                <w:rFonts w:ascii="Times New Roman" w:cs="Times New Roman" w:eastAsia="Times New Roman" w:hAnsi="Times New Roman"/>
                <w:sz w:val="20"/>
                <w:szCs w:val="20"/>
                <w:b w:val="1"/>
                <w:bCs w:val="1"/>
                <w:color w:val="auto"/>
                <w:w w:val="90"/>
                <w:vertAlign w:val="superscript"/>
              </w:rPr>
              <w:t>(2)</w:t>
            </w: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line="206" w:lineRule="exact"/>
              <w:rPr>
                <w:sz w:val="20"/>
                <w:szCs w:val="20"/>
                <w:color w:val="auto"/>
              </w:rPr>
            </w:pPr>
            <w:r>
              <w:rPr>
                <w:rFonts w:ascii="Times New Roman" w:cs="Times New Roman" w:eastAsia="Times New Roman" w:hAnsi="Times New Roman"/>
                <w:sz w:val="15"/>
                <w:szCs w:val="15"/>
                <w:b w:val="1"/>
                <w:bCs w:val="1"/>
                <w:color w:val="auto"/>
                <w:w w:val="97"/>
              </w:rPr>
              <w:t>International</w:t>
            </w:r>
            <w:r>
              <w:rPr>
                <w:rFonts w:ascii="Times New Roman" w:cs="Times New Roman" w:eastAsia="Times New Roman" w:hAnsi="Times New Roman"/>
                <w:sz w:val="20"/>
                <w:szCs w:val="20"/>
                <w:b w:val="1"/>
                <w:bCs w:val="1"/>
                <w:color w:val="auto"/>
                <w:w w:val="97"/>
                <w:vertAlign w:val="superscript"/>
              </w:rPr>
              <w:t>(1)</w:t>
            </w:r>
          </w:p>
        </w:tc>
        <w:tc>
          <w:tcPr>
            <w:tcW w:w="14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Centers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1,423.7</w:t>
            </w:r>
          </w:p>
        </w:tc>
        <w:tc>
          <w:tcPr>
            <w:tcW w:w="0" w:type="dxa"/>
            <w:vAlign w:val="bottom"/>
          </w:tcPr>
          <w:p>
            <w:pPr>
              <w:spacing w:after="0"/>
              <w:rPr>
                <w:sz w:val="1"/>
                <w:szCs w:val="1"/>
                <w:color w:val="auto"/>
              </w:rPr>
            </w:pPr>
          </w:p>
        </w:tc>
      </w:tr>
      <w:tr>
        <w:trPr>
          <w:trHeight w:val="155"/>
        </w:trPr>
        <w:tc>
          <w:tcPr>
            <w:tcW w:w="24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Real estate related depreciation,</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44.9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156.9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and accretion</w:t>
            </w: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Segment Gross Margin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131.7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1,893.7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17"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International reflects the Company’s international operations excluding Canada.</w:t>
      </w:r>
    </w:p>
    <w:p>
      <w:pPr>
        <w:spacing w:after="0" w:line="4"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the operating results of ATC TIPL, which are reported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sectPr>
      <w:pgSz w:w="11900" w:h="16838" w:orient="portrait"/>
      <w:cols w:equalWidth="0" w:num="1">
        <w:col w:w="11240"/>
      </w:cols>
      <w:pgMar w:left="320" w:top="7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Roman"/>
      <w:start w:val="4"/>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2025-04-29T06:18:13Z</dcterms:created>
  <dcterms:modified xsi:type="dcterms:W3CDTF">2025-04-29T06:18:13Z</dcterms:modified>
</cp:coreProperties>
</file>