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610870</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w:t>
      </w:r>
    </w:p>
    <w:p>
      <w:pPr>
        <w:spacing w:after="0" w:line="4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2392045</wp:posOffset>
            </wp:positionH>
            <wp:positionV relativeFrom="paragraph">
              <wp:posOffset>44450</wp:posOffset>
            </wp:positionV>
            <wp:extent cx="23660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2392045</wp:posOffset>
            </wp:positionH>
            <wp:positionV relativeFrom="paragraph">
              <wp:posOffset>46990</wp:posOffset>
            </wp:positionV>
            <wp:extent cx="23660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CURRENT REPORT PURSUANT</w:t>
      </w:r>
    </w:p>
    <w:p>
      <w:pPr>
        <w:spacing w:after="0" w:line="2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TO SECTION 13 OR 15(d) OF THE</w:t>
      </w:r>
    </w:p>
    <w:p>
      <w:pPr>
        <w:spacing w:after="0" w:line="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SECURITIES EXCHANGE ACT OF 1934</w:t>
      </w:r>
    </w:p>
    <w:p>
      <w:pPr>
        <w:spacing w:after="0" w:line="8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2392045</wp:posOffset>
            </wp:positionH>
            <wp:positionV relativeFrom="paragraph">
              <wp:posOffset>40005</wp:posOffset>
            </wp:positionV>
            <wp:extent cx="23660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1"/>
          <w:szCs w:val="41"/>
          <w:b w:val="1"/>
          <w:bCs w:val="1"/>
          <w:color w:val="auto"/>
        </w:rPr>
        <w:t>AMERICAN TOWER CORPORATION</w:t>
      </w:r>
    </w:p>
    <w:p>
      <w:pPr>
        <w:spacing w:after="0" w:line="1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2392045</wp:posOffset>
            </wp:positionH>
            <wp:positionV relativeFrom="paragraph">
              <wp:posOffset>43815</wp:posOffset>
            </wp:positionV>
            <wp:extent cx="23660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5" w:lineRule="exact"/>
        <w:rPr>
          <w:sz w:val="24"/>
          <w:szCs w:val="24"/>
          <w:color w:val="auto"/>
        </w:rPr>
      </w:pPr>
    </w:p>
    <w:tbl>
      <w:tblPr>
        <w:tblLayout w:type="fixed"/>
        <w:tblInd w:w="240" w:type="dxa"/>
        <w:tblCellMar>
          <w:top w:w="0" w:type="dxa"/>
          <w:left w:w="0" w:type="dxa"/>
          <w:bottom w:w="0" w:type="dxa"/>
          <w:right w:w="0" w:type="dxa"/>
        </w:tblCellMar>
      </w:tblPr>
      <w:tr>
        <w:trPr>
          <w:trHeight w:val="206"/>
        </w:trPr>
        <w:tc>
          <w:tcPr>
            <w:tcW w:w="3580" w:type="dxa"/>
            <w:vAlign w:val="bottom"/>
          </w:tcPr>
          <w:p>
            <w:pPr>
              <w:jc w:val="center"/>
              <w:ind w:right="832"/>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3520" w:type="dxa"/>
            <w:vAlign w:val="bottom"/>
          </w:tcPr>
          <w:p>
            <w:pPr>
              <w:jc w:val="right"/>
              <w:ind w:right="1452"/>
              <w:spacing w:after="0"/>
              <w:rPr>
                <w:sz w:val="20"/>
                <w:szCs w:val="20"/>
                <w:color w:val="auto"/>
              </w:rPr>
            </w:pPr>
            <w:r>
              <w:rPr>
                <w:rFonts w:ascii="Times New Roman" w:cs="Times New Roman" w:eastAsia="Times New Roman" w:hAnsi="Times New Roman"/>
                <w:sz w:val="14"/>
                <w:szCs w:val="14"/>
                <w:b w:val="1"/>
                <w:bCs w:val="1"/>
                <w:color w:val="auto"/>
              </w:rPr>
              <w:t>001-14195</w:t>
            </w:r>
          </w:p>
        </w:tc>
        <w:tc>
          <w:tcPr>
            <w:tcW w:w="310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65-0723837</w:t>
            </w:r>
          </w:p>
        </w:tc>
      </w:tr>
      <w:tr>
        <w:trPr>
          <w:trHeight w:val="206"/>
        </w:trPr>
        <w:tc>
          <w:tcPr>
            <w:tcW w:w="3580" w:type="dxa"/>
            <w:vAlign w:val="bottom"/>
          </w:tcPr>
          <w:p>
            <w:pPr>
              <w:jc w:val="center"/>
              <w:ind w:right="832"/>
              <w:spacing w:after="0"/>
              <w:rPr>
                <w:sz w:val="20"/>
                <w:szCs w:val="20"/>
                <w:color w:val="auto"/>
              </w:rPr>
            </w:pPr>
            <w:r>
              <w:rPr>
                <w:rFonts w:ascii="Times New Roman" w:cs="Times New Roman" w:eastAsia="Times New Roman" w:hAnsi="Times New Roman"/>
                <w:sz w:val="14"/>
                <w:szCs w:val="14"/>
                <w:b w:val="1"/>
                <w:bCs w:val="1"/>
                <w:color w:val="auto"/>
                <w:w w:val="98"/>
              </w:rPr>
              <w:t>(State or Other Jurisdiction of Incorporation)</w:t>
            </w:r>
          </w:p>
        </w:tc>
        <w:tc>
          <w:tcPr>
            <w:tcW w:w="352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7"/>
              </w:rPr>
              <w:t>(Commission File Number)</w:t>
            </w:r>
          </w:p>
        </w:tc>
        <w:tc>
          <w:tcPr>
            <w:tcW w:w="3100" w:type="dxa"/>
            <w:vAlign w:val="bottom"/>
          </w:tcPr>
          <w:p>
            <w:pPr>
              <w:jc w:val="center"/>
              <w:ind w:left="932"/>
              <w:spacing w:after="0"/>
              <w:rPr>
                <w:sz w:val="20"/>
                <w:szCs w:val="20"/>
                <w:color w:val="auto"/>
              </w:rPr>
            </w:pPr>
            <w:r>
              <w:rPr>
                <w:rFonts w:ascii="Times New Roman" w:cs="Times New Roman" w:eastAsia="Times New Roman" w:hAnsi="Times New Roman"/>
                <w:sz w:val="14"/>
                <w:szCs w:val="14"/>
                <w:b w:val="1"/>
                <w:bCs w:val="1"/>
                <w:color w:val="auto"/>
                <w:w w:val="97"/>
              </w:rPr>
              <w:t>(I.R.S. Employer Identification No.)</w:t>
            </w:r>
          </w:p>
        </w:tc>
      </w:tr>
    </w:tbl>
    <w:p>
      <w:pPr>
        <w:spacing w:after="0" w:line="1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222 Berkeley Street</w:t>
      </w:r>
    </w:p>
    <w:p>
      <w:pPr>
        <w:spacing w:after="0" w:line="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Boston, Massachusetts 02116</w:t>
      </w:r>
    </w:p>
    <w:p>
      <w:pPr>
        <w:spacing w:after="0" w:line="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(617) 375-7500</w:t>
      </w:r>
    </w:p>
    <w:p>
      <w:pPr>
        <w:spacing w:after="0" w:line="4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Not Applicable</w:t>
      </w:r>
    </w:p>
    <w:p>
      <w:pPr>
        <w:spacing w:after="0" w:line="4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231F20"/>
        </w:rPr>
        <w:t>(Former name or former address, if changed since last report.)</w:t>
      </w:r>
    </w:p>
    <w:p>
      <w:pPr>
        <w:spacing w:after="0" w:line="31"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 (see General Instruction A.2. below):</w:t>
      </w:r>
    </w:p>
    <w:p>
      <w:pPr>
        <w:spacing w:after="0" w:line="1" w:lineRule="exact"/>
        <w:rPr>
          <w:sz w:val="24"/>
          <w:szCs w:val="24"/>
          <w:color w:val="auto"/>
        </w:rPr>
      </w:pPr>
    </w:p>
    <w:p>
      <w:pPr>
        <w:ind w:left="340" w:hanging="299"/>
        <w:spacing w:after="0"/>
        <w:tabs>
          <w:tab w:leader="none" w:pos="34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42" w:lineRule="exact"/>
        <w:rPr>
          <w:rFonts w:ascii="MS PGothic" w:cs="MS PGothic" w:eastAsia="MS PGothic" w:hAnsi="MS PGothic"/>
          <w:sz w:val="15"/>
          <w:szCs w:val="15"/>
          <w:color w:val="auto"/>
        </w:rPr>
      </w:pPr>
    </w:p>
    <w:p>
      <w:pPr>
        <w:ind w:left="340" w:hanging="299"/>
        <w:spacing w:after="0"/>
        <w:tabs>
          <w:tab w:leader="none" w:pos="34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231F20"/>
        </w:rPr>
        <w:t>Soliciting material pursuant to Rule 14a-12 under the Exchange Act (17 CFR 240.14a-12)</w:t>
      </w:r>
    </w:p>
    <w:p>
      <w:pPr>
        <w:spacing w:after="0" w:line="33" w:lineRule="exact"/>
        <w:rPr>
          <w:rFonts w:ascii="MS PGothic" w:cs="MS PGothic" w:eastAsia="MS PGothic" w:hAnsi="MS PGothic"/>
          <w:sz w:val="15"/>
          <w:szCs w:val="15"/>
          <w:color w:val="auto"/>
        </w:rPr>
      </w:pPr>
    </w:p>
    <w:p>
      <w:pPr>
        <w:ind w:left="340" w:hanging="299"/>
        <w:spacing w:after="0"/>
        <w:tabs>
          <w:tab w:leader="none" w:pos="34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231F20"/>
        </w:rPr>
        <w:t>Pre-commencement communications pursuant to Rule 14d-2(b) under the Exchange Act (17 CFR 240.14d-2(b))</w:t>
      </w:r>
    </w:p>
    <w:p>
      <w:pPr>
        <w:spacing w:after="0" w:line="20" w:lineRule="exact"/>
        <w:rPr>
          <w:rFonts w:ascii="MS PGothic" w:cs="MS PGothic" w:eastAsia="MS PGothic" w:hAnsi="MS PGothic"/>
          <w:sz w:val="15"/>
          <w:szCs w:val="15"/>
          <w:color w:val="auto"/>
        </w:rPr>
      </w:pPr>
    </w:p>
    <w:p>
      <w:pPr>
        <w:ind w:left="340" w:hanging="299"/>
        <w:spacing w:after="0"/>
        <w:tabs>
          <w:tab w:leader="none" w:pos="34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231F20"/>
        </w:rPr>
        <w:t>Pre-commencement communications pursuant to Rule 13e-4(c) under the Exchange Act (17 CFR 240.13e-4(c))</w:t>
      </w:r>
    </w:p>
    <w:p>
      <w:pPr>
        <w:spacing w:after="0" w:line="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pacing w:after="0" w:line="38" w:lineRule="exact"/>
        <w:rPr>
          <w:sz w:val="24"/>
          <w:szCs w:val="24"/>
          <w:color w:val="auto"/>
        </w:rPr>
      </w:pPr>
    </w:p>
    <w:tbl>
      <w:tblPr>
        <w:tblLayout w:type="fixed"/>
        <w:tblInd w:w="1120" w:type="dxa"/>
        <w:tblCellMar>
          <w:top w:w="0" w:type="dxa"/>
          <w:left w:w="0" w:type="dxa"/>
          <w:bottom w:w="0" w:type="dxa"/>
          <w:right w:w="0" w:type="dxa"/>
        </w:tblCellMar>
      </w:tblPr>
      <w:tr>
        <w:trPr>
          <w:trHeight w:val="180"/>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6"/>
              </w:rPr>
              <w:t>Trading Symbol(s)</w:t>
            </w:r>
          </w:p>
        </w:tc>
        <w:tc>
          <w:tcPr>
            <w:tcW w:w="3440" w:type="dxa"/>
            <w:vAlign w:val="bottom"/>
          </w:tcPr>
          <w:p>
            <w:pPr>
              <w:jc w:val="center"/>
              <w:ind w:left="832"/>
              <w:spacing w:after="0"/>
              <w:rPr>
                <w:sz w:val="20"/>
                <w:szCs w:val="20"/>
                <w:color w:val="auto"/>
              </w:rPr>
            </w:pPr>
            <w:r>
              <w:rPr>
                <w:rFonts w:ascii="Times New Roman" w:cs="Times New Roman" w:eastAsia="Times New Roman" w:hAnsi="Times New Roman"/>
                <w:sz w:val="14"/>
                <w:szCs w:val="14"/>
                <w:b w:val="1"/>
                <w:bCs w:val="1"/>
                <w:color w:val="auto"/>
                <w:w w:val="97"/>
              </w:rPr>
              <w:t>Name of each exchange on which registered</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Common Stock, $0.01 par value</w:t>
            </w:r>
          </w:p>
        </w:tc>
        <w:tc>
          <w:tcPr>
            <w:tcW w:w="2940" w:type="dxa"/>
            <w:vAlign w:val="bottom"/>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w w:val="97"/>
              </w:rPr>
              <w:t>AMT</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1.950% Senior Notes due 2026</w:t>
            </w:r>
          </w:p>
        </w:tc>
        <w:tc>
          <w:tcPr>
            <w:tcW w:w="2940" w:type="dxa"/>
            <w:vAlign w:val="bottom"/>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7"/>
              </w:rPr>
              <w:t>AMT 26B</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0.450% Senior Notes due 2027</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AMT 27C</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0.400% Senior Notes due 2027</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AMT 27D</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4.125% Senior Notes due 2027</w:t>
            </w:r>
          </w:p>
        </w:tc>
        <w:tc>
          <w:tcPr>
            <w:tcW w:w="2940" w:type="dxa"/>
            <w:vAlign w:val="bottom"/>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8"/>
              </w:rPr>
              <w:t>AMT 27F</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0.500% Senior Notes due 2028</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AMT 28A</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0.875% Senior Notes due 2029</w:t>
            </w:r>
          </w:p>
        </w:tc>
        <w:tc>
          <w:tcPr>
            <w:tcW w:w="2940" w:type="dxa"/>
            <w:vAlign w:val="bottom"/>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7"/>
              </w:rPr>
              <w:t>AMT 29B</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0.950% Senior Notes due 2030</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AMT 30C</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3.900% Senior Notes due 2030</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AMT 30D</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4.625% Senior Notes due 2031</w:t>
            </w:r>
          </w:p>
        </w:tc>
        <w:tc>
          <w:tcPr>
            <w:tcW w:w="2940" w:type="dxa"/>
            <w:vAlign w:val="bottom"/>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7"/>
              </w:rPr>
              <w:t>AMT 31B</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1.000% Senior Notes due 2032</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5"/>
              </w:rPr>
              <w:t>AMT 32</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3.625% Senior Notes due 2032</w:t>
            </w:r>
          </w:p>
        </w:tc>
        <w:tc>
          <w:tcPr>
            <w:tcW w:w="2940" w:type="dxa"/>
            <w:vAlign w:val="bottom"/>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7"/>
              </w:rPr>
              <w:t>AMT 32B</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1.250% Senior Notes due 2033</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5"/>
              </w:rPr>
              <w:t>AMT 33</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4.100% Senior Notes due 2034</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AMT 34A</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bl>
    <w:p>
      <w:pPr>
        <w:spacing w:after="0" w:line="154" w:lineRule="exact"/>
        <w:rPr>
          <w:sz w:val="24"/>
          <w:szCs w:val="24"/>
          <w:color w:val="auto"/>
        </w:rPr>
      </w:pPr>
    </w:p>
    <w:p>
      <w:pPr>
        <w:ind w:right="160"/>
        <w:spacing w:after="0" w:line="270"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3" w:lineRule="exact"/>
        <w:rPr>
          <w:sz w:val="20"/>
          <w:szCs w:val="20"/>
          <w:color w:val="auto"/>
        </w:rPr>
      </w:pPr>
      <w:r>
        <w:rPr>
          <w:rFonts w:ascii="Times New Roman" w:cs="Times New Roman" w:eastAsia="Times New Roman" w:hAnsi="Times New Roman"/>
          <w:sz w:val="15"/>
          <w:szCs w:val="15"/>
          <w:color w:val="231F20"/>
        </w:rPr>
        <w:t xml:space="preserve">Emerging growth company </w:t>
      </w:r>
      <w:r>
        <w:rPr>
          <w:rFonts w:ascii="MS PGothic" w:cs="MS PGothic" w:eastAsia="MS PGothic" w:hAnsi="MS PGothic"/>
          <w:sz w:val="15"/>
          <w:szCs w:val="15"/>
          <w:color w:val="000000"/>
        </w:rPr>
        <w:t>☐</w:t>
      </w:r>
    </w:p>
    <w:p>
      <w:pPr>
        <w:spacing w:after="0" w:line="94" w:lineRule="exact"/>
        <w:rPr>
          <w:sz w:val="24"/>
          <w:szCs w:val="24"/>
          <w:color w:val="auto"/>
        </w:rPr>
      </w:pPr>
    </w:p>
    <w:p>
      <w:pPr>
        <w:ind w:right="460"/>
        <w:spacing w:after="0" w:line="202" w:lineRule="exact"/>
        <w:rPr>
          <w:sz w:val="20"/>
          <w:szCs w:val="20"/>
          <w:color w:val="auto"/>
        </w:rPr>
      </w:pPr>
      <w:r>
        <w:rPr>
          <w:rFonts w:ascii="Times New Roman" w:cs="Times New Roman" w:eastAsia="Times New Roman" w:hAnsi="Times New Roman"/>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539115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wp:posOffset>
            </wp:positionV>
            <wp:extent cx="7122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27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5080</wp:posOffset>
            </wp:positionV>
            <wp:extent cx="7122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2795" cy="8255"/>
                    </a:xfrm>
                    <a:prstGeom prst="rect">
                      <a:avLst/>
                    </a:prstGeom>
                    <a:noFill/>
                  </pic:spPr>
                </pic:pic>
              </a:graphicData>
            </a:graphic>
          </wp:anchor>
        </w:drawing>
      </w:r>
    </w:p>
    <w:p>
      <w:pPr>
        <w:sectPr>
          <w:pgSz w:w="11900" w:h="16838" w:orient="portrait"/>
          <w:cols w:equalWidth="0" w:num="1">
            <w:col w:w="11180"/>
          </w:cols>
          <w:pgMar w:left="320" w:top="1045" w:right="399" w:bottom="1440" w:gutter="0" w:footer="0" w:header="0"/>
        </w:sectPr>
      </w:pPr>
    </w:p>
    <w:bookmarkStart w:id="1" w:name="page2"/>
    <w:bookmarkEnd w:id="1"/>
    <w:p>
      <w:pPr>
        <w:ind w:right="1060"/>
        <w:spacing w:after="0" w:line="286" w:lineRule="auto"/>
        <w:rPr>
          <w:sz w:val="20"/>
          <w:szCs w:val="20"/>
          <w:color w:val="auto"/>
        </w:rPr>
      </w:pPr>
      <w:r>
        <w:rPr>
          <w:rFonts w:ascii="Times New Roman" w:cs="Times New Roman" w:eastAsia="Times New Roman" w:hAnsi="Times New Roman"/>
          <w:sz w:val="19"/>
          <w:szCs w:val="19"/>
          <w:b w:val="1"/>
          <w:bCs w:val="1"/>
          <w:color w:val="auto"/>
        </w:rPr>
        <w:t>Item 5.02 Departure of Directors or Certain Officers; Election of Directors; Appointment of Certain Officers; Compensatory Arrangements of Certain Officers.</w:t>
      </w:r>
    </w:p>
    <w:p>
      <w:pPr>
        <w:spacing w:after="0" w:line="164" w:lineRule="exact"/>
        <w:rPr>
          <w:sz w:val="20"/>
          <w:szCs w:val="20"/>
          <w:color w:val="auto"/>
        </w:rPr>
      </w:pPr>
    </w:p>
    <w:p>
      <w:pPr>
        <w:ind w:firstLine="620"/>
        <w:spacing w:after="0" w:line="258" w:lineRule="auto"/>
        <w:tabs>
          <w:tab w:leader="none" w:pos="873"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May 20, 2026, at the 2026 Annual Meeting of Stockholders (the “Annual Meeting”) of American Tower Corporation (the “Company”), the stockholders of the Company approved the American Tower Corporation 2026 Equity Incentive Plan (the “2026 Equity Plan”), which became effective as of such date. The Board of Directors (the “Board”) of the Company previously adopted the 2026 Equity Plan on March 5, 2026, subject to stockholder approval.</w:t>
      </w:r>
    </w:p>
    <w:p>
      <w:pPr>
        <w:spacing w:after="0" w:line="204" w:lineRule="exact"/>
        <w:rPr>
          <w:sz w:val="20"/>
          <w:szCs w:val="20"/>
          <w:color w:val="auto"/>
        </w:rPr>
      </w:pPr>
    </w:p>
    <w:p>
      <w:pPr>
        <w:ind w:right="40" w:firstLine="617"/>
        <w:spacing w:after="0" w:line="251" w:lineRule="auto"/>
        <w:rPr>
          <w:sz w:val="20"/>
          <w:szCs w:val="20"/>
          <w:color w:val="auto"/>
        </w:rPr>
      </w:pPr>
      <w:r>
        <w:rPr>
          <w:rFonts w:ascii="Times New Roman" w:cs="Times New Roman" w:eastAsia="Times New Roman" w:hAnsi="Times New Roman"/>
          <w:sz w:val="19"/>
          <w:szCs w:val="19"/>
          <w:color w:val="auto"/>
        </w:rPr>
        <w:t>Under the 2026 Equity Plan, the Company may grant equity and equity-based awards, including options (including nonqualified stock options and incentive stock options), restricted stock, restricted stock units and other equity-based awards and cash awards, to employees, directors, consultants and advisors of the Company and its majority-owned subsidiaries. The 2026 Equity Plan will be administered by the Compensation and Human Capital Committee of the Board. Subject to adjustment as described therein, the 2026 Equity Plan authorizes the issuance of (i) 12,000,000 new shares of the Company’s common stock, (ii) up to 1,778,230 additional shares of the Company’s common stock if awards under the Company’s 2007 Equity Incentive Plan, as amended, (the “Prior Plan”) expire or otherwise terminate without having been exercised in full, or are forfeited due to failure to vest on or after May 20, 2026 and (iii) a number of shares of the Company’s common stock equal to the number of shares which remain available for issuance under the Prior Plan as of May 20, 2026.</w:t>
      </w:r>
    </w:p>
    <w:p>
      <w:pPr>
        <w:spacing w:after="0" w:line="202" w:lineRule="exact"/>
        <w:rPr>
          <w:sz w:val="20"/>
          <w:szCs w:val="20"/>
          <w:color w:val="auto"/>
        </w:rPr>
      </w:pPr>
    </w:p>
    <w:p>
      <w:pPr>
        <w:ind w:right="80" w:firstLine="617"/>
        <w:spacing w:after="0" w:line="277" w:lineRule="auto"/>
        <w:rPr>
          <w:sz w:val="20"/>
          <w:szCs w:val="20"/>
          <w:color w:val="auto"/>
        </w:rPr>
      </w:pPr>
      <w:r>
        <w:rPr>
          <w:rFonts w:ascii="Times New Roman" w:cs="Times New Roman" w:eastAsia="Times New Roman" w:hAnsi="Times New Roman"/>
          <w:sz w:val="18"/>
          <w:szCs w:val="18"/>
          <w:color w:val="auto"/>
        </w:rPr>
        <w:t>The foregoing summary of the 2026 Equity Plan is qualified in its entirety by reference to the detailed summary of the 2026 Equity Plan set forth in the section titled “Proposal 4: Approval of American Tower Corporation 2026 Equity Incentive Plan” in the Company’s definitive proxy statement filed with the Securities and Exchange Commission on April 8, 2026 (the “Proxy Statement”), which summary is incorporated herein by reference, and to the full text of the 2026 Equity Plan, a copy of which is filed herewith as Exhibit 10.1 and is incorporated herein by reference.</w:t>
      </w:r>
    </w:p>
    <w:p>
      <w:pPr>
        <w:spacing w:after="0" w:line="188" w:lineRule="exact"/>
        <w:rPr>
          <w:sz w:val="20"/>
          <w:szCs w:val="20"/>
          <w:color w:val="auto"/>
        </w:rPr>
      </w:pPr>
    </w:p>
    <w:p>
      <w:pPr>
        <w:jc w:val="both"/>
        <w:ind w:right="140" w:firstLine="617"/>
        <w:spacing w:after="0" w:line="260" w:lineRule="auto"/>
        <w:rPr>
          <w:sz w:val="20"/>
          <w:szCs w:val="20"/>
          <w:color w:val="auto"/>
        </w:rPr>
      </w:pPr>
      <w:r>
        <w:rPr>
          <w:rFonts w:ascii="Times New Roman" w:cs="Times New Roman" w:eastAsia="Times New Roman" w:hAnsi="Times New Roman"/>
          <w:sz w:val="19"/>
          <w:szCs w:val="19"/>
          <w:color w:val="auto"/>
        </w:rPr>
        <w:t>Additionally, the Company adopted forms of award agreement (the “Award Agreements”) for grants of restricted stock units (“RSUs”) and performance-based restricted stock units (“PSUs”) pursuant to the 2026 Equity Plan. Copies of the Award Agreements for the RSUs and the PSUs are filed herewith as Exhibits 10.2, 10.3, 10.4, 10.5 and 10.6.</w:t>
      </w:r>
    </w:p>
    <w:p>
      <w:pPr>
        <w:spacing w:after="0" w:line="18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9"/>
          <w:szCs w:val="19"/>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248" w:lineRule="exact"/>
        <w:rPr>
          <w:sz w:val="20"/>
          <w:szCs w:val="20"/>
          <w:color w:val="auto"/>
        </w:rPr>
      </w:pPr>
    </w:p>
    <w:p>
      <w:pPr>
        <w:ind w:right="220" w:firstLine="617"/>
        <w:spacing w:after="0" w:line="310" w:lineRule="auto"/>
        <w:rPr>
          <w:sz w:val="20"/>
          <w:szCs w:val="20"/>
          <w:color w:val="auto"/>
        </w:rPr>
      </w:pPr>
      <w:r>
        <w:rPr>
          <w:rFonts w:ascii="Times New Roman" w:cs="Times New Roman" w:eastAsia="Times New Roman" w:hAnsi="Times New Roman"/>
          <w:sz w:val="18"/>
          <w:szCs w:val="18"/>
          <w:color w:val="auto"/>
        </w:rPr>
        <w:t>The Annual Meeting of the Company was held virtually on May 20, 2026. At the Annual Meeting, the Company's stockholders elected eleven individuals to the Board and approved Proposals 2, 3 and 4. The proposals are described in more detail in the Company’s Proxy Statement.</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final results of the stockholder voting regarding each proposal were as follows: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 Election of the following directors for the ensuing year and until his or her successor is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73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8"/>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Nominee</w:t>
            </w:r>
          </w:p>
        </w:tc>
        <w:tc>
          <w:tcPr>
            <w:tcW w:w="2120" w:type="dxa"/>
            <w:vAlign w:val="bottom"/>
            <w:gridSpan w:val="2"/>
          </w:tcPr>
          <w:p>
            <w:pPr>
              <w:jc w:val="center"/>
              <w:ind w:left="906"/>
              <w:spacing w:after="0"/>
              <w:rPr>
                <w:sz w:val="20"/>
                <w:szCs w:val="20"/>
                <w:color w:val="auto"/>
              </w:rPr>
            </w:pPr>
            <w:r>
              <w:rPr>
                <w:rFonts w:ascii="Times New Roman" w:cs="Times New Roman" w:eastAsia="Times New Roman" w:hAnsi="Times New Roman"/>
                <w:sz w:val="19"/>
                <w:szCs w:val="19"/>
                <w:color w:val="auto"/>
                <w:w w:val="98"/>
              </w:rPr>
              <w:t>Votes Cast For</w:t>
            </w:r>
          </w:p>
        </w:tc>
        <w:tc>
          <w:tcPr>
            <w:tcW w:w="2300" w:type="dxa"/>
            <w:vAlign w:val="bottom"/>
            <w:gridSpan w:val="3"/>
          </w:tcPr>
          <w:p>
            <w:pPr>
              <w:ind w:left="860"/>
              <w:spacing w:after="0"/>
              <w:rPr>
                <w:sz w:val="20"/>
                <w:szCs w:val="20"/>
                <w:color w:val="auto"/>
              </w:rPr>
            </w:pPr>
            <w:r>
              <w:rPr>
                <w:rFonts w:ascii="Times New Roman" w:cs="Times New Roman" w:eastAsia="Times New Roman" w:hAnsi="Times New Roman"/>
                <w:sz w:val="19"/>
                <w:szCs w:val="19"/>
                <w:color w:val="auto"/>
              </w:rPr>
              <w:t>Votes Against</w:t>
            </w:r>
          </w:p>
        </w:tc>
        <w:tc>
          <w:tcPr>
            <w:tcW w:w="2400" w:type="dxa"/>
            <w:vAlign w:val="bottom"/>
            <w:gridSpan w:val="3"/>
          </w:tcPr>
          <w:p>
            <w:pPr>
              <w:ind w:left="400"/>
              <w:spacing w:after="0"/>
              <w:rPr>
                <w:sz w:val="20"/>
                <w:szCs w:val="20"/>
                <w:color w:val="auto"/>
              </w:rPr>
            </w:pPr>
            <w:r>
              <w:rPr>
                <w:rFonts w:ascii="Times New Roman" w:cs="Times New Roman" w:eastAsia="Times New Roman" w:hAnsi="Times New Roman"/>
                <w:sz w:val="19"/>
                <w:szCs w:val="19"/>
                <w:color w:val="auto"/>
              </w:rPr>
              <w:t>Votes Abstained</w:t>
            </w: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9"/>
                <w:szCs w:val="19"/>
                <w:color w:val="auto"/>
                <w:w w:val="97"/>
              </w:rPr>
              <w:t>Broker Non-Votes</w:t>
            </w:r>
          </w:p>
        </w:tc>
      </w:tr>
      <w:tr>
        <w:trPr>
          <w:trHeight w:val="44"/>
        </w:trPr>
        <w:tc>
          <w:tcPr>
            <w:tcW w:w="20" w:type="dxa"/>
            <w:vAlign w:val="bottom"/>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1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760" w:type="dxa"/>
            <w:vAlign w:val="bottom"/>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r>
      <w:tr>
        <w:trPr>
          <w:trHeight w:val="250"/>
        </w:trPr>
        <w:tc>
          <w:tcPr>
            <w:tcW w:w="25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Steven O. Vondran</w:t>
            </w:r>
          </w:p>
        </w:tc>
        <w:tc>
          <w:tcPr>
            <w:tcW w:w="2120" w:type="dxa"/>
            <w:vAlign w:val="bottom"/>
            <w:tcBorders>
              <w:bottom w:val="single" w:sz="8" w:color="CCEEFF"/>
            </w:tcBorders>
            <w:gridSpan w:val="2"/>
            <w:shd w:val="clear" w:color="auto" w:fill="CCEEFF"/>
          </w:tcPr>
          <w:p>
            <w:pPr>
              <w:jc w:val="center"/>
              <w:ind w:left="926"/>
              <w:spacing w:after="0"/>
              <w:rPr>
                <w:sz w:val="20"/>
                <w:szCs w:val="20"/>
                <w:color w:val="auto"/>
              </w:rPr>
            </w:pPr>
            <w:r>
              <w:rPr>
                <w:rFonts w:ascii="Times New Roman" w:cs="Times New Roman" w:eastAsia="Times New Roman" w:hAnsi="Times New Roman"/>
                <w:sz w:val="19"/>
                <w:szCs w:val="19"/>
                <w:color w:val="auto"/>
                <w:w w:val="98"/>
              </w:rPr>
              <w:t>402,194,387</w:t>
            </w:r>
          </w:p>
        </w:tc>
        <w:tc>
          <w:tcPr>
            <w:tcW w:w="1900" w:type="dxa"/>
            <w:vAlign w:val="bottom"/>
            <w:tcBorders>
              <w:bottom w:val="single" w:sz="8" w:color="CCEEFF"/>
            </w:tcBorders>
            <w:gridSpan w:val="2"/>
            <w:shd w:val="clear" w:color="auto" w:fill="CCEEFF"/>
          </w:tcPr>
          <w:p>
            <w:pPr>
              <w:jc w:val="center"/>
              <w:ind w:left="766"/>
              <w:spacing w:after="0"/>
              <w:rPr>
                <w:sz w:val="20"/>
                <w:szCs w:val="20"/>
                <w:color w:val="auto"/>
              </w:rPr>
            </w:pPr>
            <w:r>
              <w:rPr>
                <w:rFonts w:ascii="Times New Roman" w:cs="Times New Roman" w:eastAsia="Times New Roman" w:hAnsi="Times New Roman"/>
                <w:sz w:val="19"/>
                <w:szCs w:val="19"/>
                <w:color w:val="auto"/>
                <w:w w:val="97"/>
              </w:rPr>
              <w:t>906,744</w:t>
            </w: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center"/>
              <w:ind w:left="306"/>
              <w:spacing w:after="0"/>
              <w:rPr>
                <w:sz w:val="20"/>
                <w:szCs w:val="20"/>
                <w:color w:val="auto"/>
              </w:rPr>
            </w:pPr>
            <w:r>
              <w:rPr>
                <w:rFonts w:ascii="Times New Roman" w:cs="Times New Roman" w:eastAsia="Times New Roman" w:hAnsi="Times New Roman"/>
                <w:sz w:val="19"/>
                <w:szCs w:val="19"/>
                <w:color w:val="auto"/>
                <w:w w:val="97"/>
              </w:rPr>
              <w:t>663,162</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22,957,998</w:t>
            </w:r>
          </w:p>
        </w:tc>
        <w:tc>
          <w:tcPr>
            <w:tcW w:w="400" w:type="dxa"/>
            <w:vAlign w:val="bottom"/>
            <w:tcBorders>
              <w:bottom w:val="single" w:sz="8" w:color="CCEEFF"/>
            </w:tcBorders>
            <w:shd w:val="clear" w:color="auto" w:fill="CCEEFF"/>
          </w:tcPr>
          <w:p>
            <w:pPr>
              <w:spacing w:after="0"/>
              <w:rPr>
                <w:sz w:val="21"/>
                <w:szCs w:val="21"/>
                <w:color w:val="auto"/>
              </w:rPr>
            </w:pPr>
          </w:p>
        </w:tc>
      </w:tr>
      <w:tr>
        <w:trPr>
          <w:trHeight w:val="249"/>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Kelly C. Chambliss</w:t>
            </w:r>
          </w:p>
        </w:tc>
        <w:tc>
          <w:tcPr>
            <w:tcW w:w="2120" w:type="dxa"/>
            <w:vAlign w:val="bottom"/>
            <w:gridSpan w:val="2"/>
          </w:tcPr>
          <w:p>
            <w:pPr>
              <w:jc w:val="center"/>
              <w:ind w:left="926"/>
              <w:spacing w:after="0"/>
              <w:rPr>
                <w:sz w:val="20"/>
                <w:szCs w:val="20"/>
                <w:color w:val="auto"/>
              </w:rPr>
            </w:pPr>
            <w:r>
              <w:rPr>
                <w:rFonts w:ascii="Times New Roman" w:cs="Times New Roman" w:eastAsia="Times New Roman" w:hAnsi="Times New Roman"/>
                <w:sz w:val="19"/>
                <w:szCs w:val="19"/>
                <w:color w:val="auto"/>
                <w:w w:val="98"/>
              </w:rPr>
              <w:t>400,281,459</w:t>
            </w:r>
          </w:p>
        </w:tc>
        <w:tc>
          <w:tcPr>
            <w:tcW w:w="1900" w:type="dxa"/>
            <w:vAlign w:val="bottom"/>
            <w:gridSpan w:val="2"/>
          </w:tcPr>
          <w:p>
            <w:pPr>
              <w:jc w:val="center"/>
              <w:ind w:left="766"/>
              <w:spacing w:after="0"/>
              <w:rPr>
                <w:sz w:val="20"/>
                <w:szCs w:val="20"/>
                <w:color w:val="auto"/>
              </w:rPr>
            </w:pPr>
            <w:r>
              <w:rPr>
                <w:rFonts w:ascii="Times New Roman" w:cs="Times New Roman" w:eastAsia="Times New Roman" w:hAnsi="Times New Roman"/>
                <w:sz w:val="19"/>
                <w:szCs w:val="19"/>
                <w:color w:val="auto"/>
                <w:w w:val="99"/>
              </w:rPr>
              <w:t>2,821,988</w:t>
            </w:r>
          </w:p>
        </w:tc>
        <w:tc>
          <w:tcPr>
            <w:tcW w:w="400" w:type="dxa"/>
            <w:vAlign w:val="bottom"/>
          </w:tcPr>
          <w:p>
            <w:pPr>
              <w:spacing w:after="0"/>
              <w:rPr>
                <w:sz w:val="21"/>
                <w:szCs w:val="21"/>
                <w:color w:val="auto"/>
              </w:rPr>
            </w:pPr>
          </w:p>
        </w:tc>
        <w:tc>
          <w:tcPr>
            <w:tcW w:w="1640" w:type="dxa"/>
            <w:vAlign w:val="bottom"/>
            <w:gridSpan w:val="2"/>
          </w:tcPr>
          <w:p>
            <w:pPr>
              <w:jc w:val="center"/>
              <w:ind w:left="306"/>
              <w:spacing w:after="0"/>
              <w:rPr>
                <w:sz w:val="20"/>
                <w:szCs w:val="20"/>
                <w:color w:val="auto"/>
              </w:rPr>
            </w:pPr>
            <w:r>
              <w:rPr>
                <w:rFonts w:ascii="Times New Roman" w:cs="Times New Roman" w:eastAsia="Times New Roman" w:hAnsi="Times New Roman"/>
                <w:sz w:val="19"/>
                <w:szCs w:val="19"/>
                <w:color w:val="auto"/>
                <w:w w:val="97"/>
              </w:rPr>
              <w:t>660,846</w:t>
            </w:r>
          </w:p>
        </w:tc>
        <w:tc>
          <w:tcPr>
            <w:tcW w:w="7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22,957,998</w:t>
            </w:r>
          </w:p>
        </w:tc>
        <w:tc>
          <w:tcPr>
            <w:tcW w:w="400" w:type="dxa"/>
            <w:vAlign w:val="bottom"/>
          </w:tcPr>
          <w:p>
            <w:pPr>
              <w:spacing w:after="0"/>
              <w:rPr>
                <w:sz w:val="21"/>
                <w:szCs w:val="2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Teresa H. Clarke</w:t>
            </w:r>
          </w:p>
        </w:tc>
        <w:tc>
          <w:tcPr>
            <w:tcW w:w="2120" w:type="dxa"/>
            <w:vAlign w:val="bottom"/>
            <w:tcBorders>
              <w:bottom w:val="single" w:sz="8" w:color="CCEEFF"/>
            </w:tcBorders>
            <w:gridSpan w:val="2"/>
            <w:shd w:val="clear" w:color="auto" w:fill="CCEEFF"/>
          </w:tcPr>
          <w:p>
            <w:pPr>
              <w:jc w:val="center"/>
              <w:ind w:left="926"/>
              <w:spacing w:after="0"/>
              <w:rPr>
                <w:sz w:val="20"/>
                <w:szCs w:val="20"/>
                <w:color w:val="auto"/>
              </w:rPr>
            </w:pPr>
            <w:r>
              <w:rPr>
                <w:rFonts w:ascii="Times New Roman" w:cs="Times New Roman" w:eastAsia="Times New Roman" w:hAnsi="Times New Roman"/>
                <w:sz w:val="19"/>
                <w:szCs w:val="19"/>
                <w:color w:val="auto"/>
                <w:w w:val="98"/>
              </w:rPr>
              <w:t>396,243,977</w:t>
            </w:r>
          </w:p>
        </w:tc>
        <w:tc>
          <w:tcPr>
            <w:tcW w:w="1900" w:type="dxa"/>
            <w:vAlign w:val="bottom"/>
            <w:tcBorders>
              <w:bottom w:val="single" w:sz="8" w:color="CCEEFF"/>
            </w:tcBorders>
            <w:gridSpan w:val="2"/>
            <w:shd w:val="clear" w:color="auto" w:fill="CCEEFF"/>
          </w:tcPr>
          <w:p>
            <w:pPr>
              <w:jc w:val="center"/>
              <w:ind w:left="766"/>
              <w:spacing w:after="0"/>
              <w:rPr>
                <w:sz w:val="20"/>
                <w:szCs w:val="20"/>
                <w:color w:val="auto"/>
              </w:rPr>
            </w:pPr>
            <w:r>
              <w:rPr>
                <w:rFonts w:ascii="Times New Roman" w:cs="Times New Roman" w:eastAsia="Times New Roman" w:hAnsi="Times New Roman"/>
                <w:sz w:val="19"/>
                <w:szCs w:val="19"/>
                <w:color w:val="auto"/>
                <w:w w:val="99"/>
              </w:rPr>
              <w:t>6,863,820</w:t>
            </w: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center"/>
              <w:ind w:left="306"/>
              <w:spacing w:after="0"/>
              <w:rPr>
                <w:sz w:val="20"/>
                <w:szCs w:val="20"/>
                <w:color w:val="auto"/>
              </w:rPr>
            </w:pPr>
            <w:r>
              <w:rPr>
                <w:rFonts w:ascii="Times New Roman" w:cs="Times New Roman" w:eastAsia="Times New Roman" w:hAnsi="Times New Roman"/>
                <w:sz w:val="19"/>
                <w:szCs w:val="19"/>
                <w:color w:val="auto"/>
                <w:w w:val="97"/>
              </w:rPr>
              <w:t>656,496</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22,957,998</w:t>
            </w:r>
          </w:p>
        </w:tc>
        <w:tc>
          <w:tcPr>
            <w:tcW w:w="400" w:type="dxa"/>
            <w:vAlign w:val="bottom"/>
            <w:tcBorders>
              <w:bottom w:val="single" w:sz="8" w:color="CCEEFF"/>
            </w:tcBorders>
            <w:shd w:val="clear" w:color="auto" w:fill="CCEEFF"/>
          </w:tcPr>
          <w:p>
            <w:pPr>
              <w:spacing w:after="0"/>
              <w:rPr>
                <w:sz w:val="21"/>
                <w:szCs w:val="21"/>
                <w:color w:val="auto"/>
              </w:rPr>
            </w:pPr>
          </w:p>
        </w:tc>
      </w:tr>
      <w:tr>
        <w:trPr>
          <w:trHeight w:val="249"/>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Kenneth R. Frank</w:t>
            </w:r>
          </w:p>
        </w:tc>
        <w:tc>
          <w:tcPr>
            <w:tcW w:w="2120" w:type="dxa"/>
            <w:vAlign w:val="bottom"/>
            <w:gridSpan w:val="2"/>
          </w:tcPr>
          <w:p>
            <w:pPr>
              <w:jc w:val="center"/>
              <w:ind w:left="926"/>
              <w:spacing w:after="0"/>
              <w:rPr>
                <w:sz w:val="20"/>
                <w:szCs w:val="20"/>
                <w:color w:val="auto"/>
              </w:rPr>
            </w:pPr>
            <w:r>
              <w:rPr>
                <w:rFonts w:ascii="Times New Roman" w:cs="Times New Roman" w:eastAsia="Times New Roman" w:hAnsi="Times New Roman"/>
                <w:sz w:val="19"/>
                <w:szCs w:val="19"/>
                <w:color w:val="auto"/>
                <w:w w:val="98"/>
              </w:rPr>
              <w:t>382,538,289</w:t>
            </w:r>
          </w:p>
        </w:tc>
        <w:tc>
          <w:tcPr>
            <w:tcW w:w="1900" w:type="dxa"/>
            <w:vAlign w:val="bottom"/>
            <w:gridSpan w:val="2"/>
          </w:tcPr>
          <w:p>
            <w:pPr>
              <w:jc w:val="center"/>
              <w:ind w:left="766"/>
              <w:spacing w:after="0"/>
              <w:rPr>
                <w:sz w:val="20"/>
                <w:szCs w:val="20"/>
                <w:color w:val="auto"/>
              </w:rPr>
            </w:pPr>
            <w:r>
              <w:rPr>
                <w:rFonts w:ascii="Times New Roman" w:cs="Times New Roman" w:eastAsia="Times New Roman" w:hAnsi="Times New Roman"/>
                <w:sz w:val="19"/>
                <w:szCs w:val="19"/>
                <w:color w:val="auto"/>
                <w:w w:val="98"/>
              </w:rPr>
              <w:t>19,806,788</w:t>
            </w:r>
          </w:p>
        </w:tc>
        <w:tc>
          <w:tcPr>
            <w:tcW w:w="400" w:type="dxa"/>
            <w:vAlign w:val="bottom"/>
          </w:tcPr>
          <w:p>
            <w:pPr>
              <w:spacing w:after="0"/>
              <w:rPr>
                <w:sz w:val="21"/>
                <w:szCs w:val="21"/>
                <w:color w:val="auto"/>
              </w:rPr>
            </w:pPr>
          </w:p>
        </w:tc>
        <w:tc>
          <w:tcPr>
            <w:tcW w:w="1640" w:type="dxa"/>
            <w:vAlign w:val="bottom"/>
            <w:gridSpan w:val="2"/>
          </w:tcPr>
          <w:p>
            <w:pPr>
              <w:jc w:val="center"/>
              <w:ind w:left="306"/>
              <w:spacing w:after="0"/>
              <w:rPr>
                <w:sz w:val="20"/>
                <w:szCs w:val="20"/>
                <w:color w:val="auto"/>
              </w:rPr>
            </w:pPr>
            <w:r>
              <w:rPr>
                <w:rFonts w:ascii="Times New Roman" w:cs="Times New Roman" w:eastAsia="Times New Roman" w:hAnsi="Times New Roman"/>
                <w:sz w:val="19"/>
                <w:szCs w:val="19"/>
                <w:color w:val="auto"/>
                <w:w w:val="99"/>
              </w:rPr>
              <w:t>1,419,216</w:t>
            </w:r>
          </w:p>
        </w:tc>
        <w:tc>
          <w:tcPr>
            <w:tcW w:w="7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22,957,998</w:t>
            </w:r>
          </w:p>
        </w:tc>
        <w:tc>
          <w:tcPr>
            <w:tcW w:w="400" w:type="dxa"/>
            <w:vAlign w:val="bottom"/>
          </w:tcPr>
          <w:p>
            <w:pPr>
              <w:spacing w:after="0"/>
              <w:rPr>
                <w:sz w:val="21"/>
                <w:szCs w:val="2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Rajesh Kalathur</w:t>
            </w:r>
          </w:p>
        </w:tc>
        <w:tc>
          <w:tcPr>
            <w:tcW w:w="2120" w:type="dxa"/>
            <w:vAlign w:val="bottom"/>
            <w:tcBorders>
              <w:bottom w:val="single" w:sz="8" w:color="CCEEFF"/>
            </w:tcBorders>
            <w:gridSpan w:val="2"/>
            <w:shd w:val="clear" w:color="auto" w:fill="CCEEFF"/>
          </w:tcPr>
          <w:p>
            <w:pPr>
              <w:jc w:val="center"/>
              <w:ind w:left="906"/>
              <w:spacing w:after="0"/>
              <w:rPr>
                <w:sz w:val="20"/>
                <w:szCs w:val="20"/>
                <w:color w:val="auto"/>
              </w:rPr>
            </w:pPr>
            <w:r>
              <w:rPr>
                <w:rFonts w:ascii="Times New Roman" w:cs="Times New Roman" w:eastAsia="Times New Roman" w:hAnsi="Times New Roman"/>
                <w:sz w:val="19"/>
                <w:szCs w:val="19"/>
                <w:color w:val="auto"/>
                <w:w w:val="96"/>
              </w:rPr>
              <w:t>402,113,964</w:t>
            </w:r>
          </w:p>
        </w:tc>
        <w:tc>
          <w:tcPr>
            <w:tcW w:w="1900" w:type="dxa"/>
            <w:vAlign w:val="bottom"/>
            <w:tcBorders>
              <w:bottom w:val="single" w:sz="8" w:color="CCEEFF"/>
            </w:tcBorders>
            <w:gridSpan w:val="2"/>
            <w:shd w:val="clear" w:color="auto" w:fill="CCEEFF"/>
          </w:tcPr>
          <w:p>
            <w:pPr>
              <w:jc w:val="center"/>
              <w:ind w:left="766"/>
              <w:spacing w:after="0"/>
              <w:rPr>
                <w:sz w:val="20"/>
                <w:szCs w:val="20"/>
                <w:color w:val="auto"/>
              </w:rPr>
            </w:pPr>
            <w:r>
              <w:rPr>
                <w:rFonts w:ascii="Times New Roman" w:cs="Times New Roman" w:eastAsia="Times New Roman" w:hAnsi="Times New Roman"/>
                <w:sz w:val="19"/>
                <w:szCs w:val="19"/>
                <w:color w:val="auto"/>
                <w:w w:val="97"/>
              </w:rPr>
              <w:t>986,315</w:t>
            </w: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center"/>
              <w:ind w:left="306"/>
              <w:spacing w:after="0"/>
              <w:rPr>
                <w:sz w:val="20"/>
                <w:szCs w:val="20"/>
                <w:color w:val="auto"/>
              </w:rPr>
            </w:pPr>
            <w:r>
              <w:rPr>
                <w:rFonts w:ascii="Times New Roman" w:cs="Times New Roman" w:eastAsia="Times New Roman" w:hAnsi="Times New Roman"/>
                <w:sz w:val="19"/>
                <w:szCs w:val="19"/>
                <w:color w:val="auto"/>
                <w:w w:val="97"/>
              </w:rPr>
              <w:t>664,014</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22,957,998</w:t>
            </w:r>
          </w:p>
        </w:tc>
        <w:tc>
          <w:tcPr>
            <w:tcW w:w="400" w:type="dxa"/>
            <w:vAlign w:val="bottom"/>
            <w:tcBorders>
              <w:bottom w:val="single" w:sz="8" w:color="CCEEFF"/>
            </w:tcBorders>
            <w:shd w:val="clear" w:color="auto" w:fill="CCEEFF"/>
          </w:tcPr>
          <w:p>
            <w:pPr>
              <w:spacing w:after="0"/>
              <w:rPr>
                <w:sz w:val="21"/>
                <w:szCs w:val="21"/>
                <w:color w:val="auto"/>
              </w:rPr>
            </w:pPr>
          </w:p>
        </w:tc>
      </w:tr>
      <w:tr>
        <w:trPr>
          <w:trHeight w:val="249"/>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Grace D. Lieblein</w:t>
            </w:r>
          </w:p>
        </w:tc>
        <w:tc>
          <w:tcPr>
            <w:tcW w:w="2120" w:type="dxa"/>
            <w:vAlign w:val="bottom"/>
            <w:gridSpan w:val="2"/>
          </w:tcPr>
          <w:p>
            <w:pPr>
              <w:jc w:val="center"/>
              <w:ind w:left="926"/>
              <w:spacing w:after="0"/>
              <w:rPr>
                <w:sz w:val="20"/>
                <w:szCs w:val="20"/>
                <w:color w:val="auto"/>
              </w:rPr>
            </w:pPr>
            <w:r>
              <w:rPr>
                <w:rFonts w:ascii="Times New Roman" w:cs="Times New Roman" w:eastAsia="Times New Roman" w:hAnsi="Times New Roman"/>
                <w:sz w:val="19"/>
                <w:szCs w:val="19"/>
                <w:color w:val="auto"/>
                <w:w w:val="98"/>
              </w:rPr>
              <w:t>391,274,170</w:t>
            </w:r>
          </w:p>
        </w:tc>
        <w:tc>
          <w:tcPr>
            <w:tcW w:w="1900" w:type="dxa"/>
            <w:vAlign w:val="bottom"/>
            <w:gridSpan w:val="2"/>
          </w:tcPr>
          <w:p>
            <w:pPr>
              <w:jc w:val="center"/>
              <w:ind w:left="766"/>
              <w:spacing w:after="0"/>
              <w:rPr>
                <w:sz w:val="20"/>
                <w:szCs w:val="20"/>
                <w:color w:val="auto"/>
              </w:rPr>
            </w:pPr>
            <w:r>
              <w:rPr>
                <w:rFonts w:ascii="Times New Roman" w:cs="Times New Roman" w:eastAsia="Times New Roman" w:hAnsi="Times New Roman"/>
                <w:sz w:val="19"/>
                <w:szCs w:val="19"/>
                <w:color w:val="auto"/>
                <w:w w:val="98"/>
              </w:rPr>
              <w:t>11,830,476</w:t>
            </w:r>
          </w:p>
        </w:tc>
        <w:tc>
          <w:tcPr>
            <w:tcW w:w="400" w:type="dxa"/>
            <w:vAlign w:val="bottom"/>
          </w:tcPr>
          <w:p>
            <w:pPr>
              <w:spacing w:after="0"/>
              <w:rPr>
                <w:sz w:val="21"/>
                <w:szCs w:val="21"/>
                <w:color w:val="auto"/>
              </w:rPr>
            </w:pPr>
          </w:p>
        </w:tc>
        <w:tc>
          <w:tcPr>
            <w:tcW w:w="1640" w:type="dxa"/>
            <w:vAlign w:val="bottom"/>
            <w:gridSpan w:val="2"/>
          </w:tcPr>
          <w:p>
            <w:pPr>
              <w:jc w:val="center"/>
              <w:ind w:left="306"/>
              <w:spacing w:after="0"/>
              <w:rPr>
                <w:sz w:val="20"/>
                <w:szCs w:val="20"/>
                <w:color w:val="auto"/>
              </w:rPr>
            </w:pPr>
            <w:r>
              <w:rPr>
                <w:rFonts w:ascii="Times New Roman" w:cs="Times New Roman" w:eastAsia="Times New Roman" w:hAnsi="Times New Roman"/>
                <w:sz w:val="19"/>
                <w:szCs w:val="19"/>
                <w:color w:val="auto"/>
                <w:w w:val="97"/>
              </w:rPr>
              <w:t>659,647</w:t>
            </w:r>
          </w:p>
        </w:tc>
        <w:tc>
          <w:tcPr>
            <w:tcW w:w="7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22,957,998</w:t>
            </w:r>
          </w:p>
        </w:tc>
        <w:tc>
          <w:tcPr>
            <w:tcW w:w="400" w:type="dxa"/>
            <w:vAlign w:val="bottom"/>
          </w:tcPr>
          <w:p>
            <w:pPr>
              <w:spacing w:after="0"/>
              <w:rPr>
                <w:sz w:val="21"/>
                <w:szCs w:val="2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Craig Macnab</w:t>
            </w:r>
          </w:p>
        </w:tc>
        <w:tc>
          <w:tcPr>
            <w:tcW w:w="2120" w:type="dxa"/>
            <w:vAlign w:val="bottom"/>
            <w:tcBorders>
              <w:bottom w:val="single" w:sz="8" w:color="CCEEFF"/>
            </w:tcBorders>
            <w:gridSpan w:val="2"/>
            <w:shd w:val="clear" w:color="auto" w:fill="CCEEFF"/>
          </w:tcPr>
          <w:p>
            <w:pPr>
              <w:jc w:val="center"/>
              <w:ind w:left="926"/>
              <w:spacing w:after="0"/>
              <w:rPr>
                <w:sz w:val="20"/>
                <w:szCs w:val="20"/>
                <w:color w:val="auto"/>
              </w:rPr>
            </w:pPr>
            <w:r>
              <w:rPr>
                <w:rFonts w:ascii="Times New Roman" w:cs="Times New Roman" w:eastAsia="Times New Roman" w:hAnsi="Times New Roman"/>
                <w:sz w:val="19"/>
                <w:szCs w:val="19"/>
                <w:color w:val="auto"/>
                <w:w w:val="98"/>
              </w:rPr>
              <w:t>398,528,374</w:t>
            </w:r>
          </w:p>
        </w:tc>
        <w:tc>
          <w:tcPr>
            <w:tcW w:w="1900" w:type="dxa"/>
            <w:vAlign w:val="bottom"/>
            <w:tcBorders>
              <w:bottom w:val="single" w:sz="8" w:color="CCEEFF"/>
            </w:tcBorders>
            <w:gridSpan w:val="2"/>
            <w:shd w:val="clear" w:color="auto" w:fill="CCEEFF"/>
          </w:tcPr>
          <w:p>
            <w:pPr>
              <w:jc w:val="center"/>
              <w:ind w:left="766"/>
              <w:spacing w:after="0"/>
              <w:rPr>
                <w:sz w:val="20"/>
                <w:szCs w:val="20"/>
                <w:color w:val="auto"/>
              </w:rPr>
            </w:pPr>
            <w:r>
              <w:rPr>
                <w:rFonts w:ascii="Times New Roman" w:cs="Times New Roman" w:eastAsia="Times New Roman" w:hAnsi="Times New Roman"/>
                <w:sz w:val="19"/>
                <w:szCs w:val="19"/>
                <w:color w:val="auto"/>
                <w:w w:val="99"/>
              </w:rPr>
              <w:t>4,569,694</w:t>
            </w: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center"/>
              <w:ind w:left="306"/>
              <w:spacing w:after="0"/>
              <w:rPr>
                <w:sz w:val="20"/>
                <w:szCs w:val="20"/>
                <w:color w:val="auto"/>
              </w:rPr>
            </w:pPr>
            <w:r>
              <w:rPr>
                <w:rFonts w:ascii="Times New Roman" w:cs="Times New Roman" w:eastAsia="Times New Roman" w:hAnsi="Times New Roman"/>
                <w:sz w:val="19"/>
                <w:szCs w:val="19"/>
                <w:color w:val="auto"/>
                <w:w w:val="97"/>
              </w:rPr>
              <w:t>666,225</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22,957,998</w:t>
            </w:r>
          </w:p>
        </w:tc>
        <w:tc>
          <w:tcPr>
            <w:tcW w:w="400" w:type="dxa"/>
            <w:vAlign w:val="bottom"/>
            <w:tcBorders>
              <w:bottom w:val="single" w:sz="8" w:color="CCEEFF"/>
            </w:tcBorders>
            <w:shd w:val="clear" w:color="auto" w:fill="CCEEFF"/>
          </w:tcPr>
          <w:p>
            <w:pPr>
              <w:spacing w:after="0"/>
              <w:rPr>
                <w:sz w:val="21"/>
                <w:szCs w:val="21"/>
                <w:color w:val="auto"/>
              </w:rPr>
            </w:pPr>
          </w:p>
        </w:tc>
      </w:tr>
      <w:tr>
        <w:trPr>
          <w:trHeight w:val="249"/>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Neville R. Ray</w:t>
            </w:r>
          </w:p>
        </w:tc>
        <w:tc>
          <w:tcPr>
            <w:tcW w:w="2120" w:type="dxa"/>
            <w:vAlign w:val="bottom"/>
            <w:gridSpan w:val="2"/>
          </w:tcPr>
          <w:p>
            <w:pPr>
              <w:jc w:val="center"/>
              <w:ind w:left="926"/>
              <w:spacing w:after="0"/>
              <w:rPr>
                <w:sz w:val="20"/>
                <w:szCs w:val="20"/>
                <w:color w:val="auto"/>
              </w:rPr>
            </w:pPr>
            <w:r>
              <w:rPr>
                <w:rFonts w:ascii="Times New Roman" w:cs="Times New Roman" w:eastAsia="Times New Roman" w:hAnsi="Times New Roman"/>
                <w:sz w:val="19"/>
                <w:szCs w:val="19"/>
                <w:color w:val="auto"/>
                <w:w w:val="98"/>
              </w:rPr>
              <w:t>400,881,558</w:t>
            </w:r>
          </w:p>
        </w:tc>
        <w:tc>
          <w:tcPr>
            <w:tcW w:w="1900" w:type="dxa"/>
            <w:vAlign w:val="bottom"/>
            <w:gridSpan w:val="2"/>
          </w:tcPr>
          <w:p>
            <w:pPr>
              <w:jc w:val="center"/>
              <w:ind w:left="766"/>
              <w:spacing w:after="0"/>
              <w:rPr>
                <w:sz w:val="20"/>
                <w:szCs w:val="20"/>
                <w:color w:val="auto"/>
              </w:rPr>
            </w:pPr>
            <w:r>
              <w:rPr>
                <w:rFonts w:ascii="Times New Roman" w:cs="Times New Roman" w:eastAsia="Times New Roman" w:hAnsi="Times New Roman"/>
                <w:sz w:val="19"/>
                <w:szCs w:val="19"/>
                <w:color w:val="auto"/>
                <w:w w:val="99"/>
              </w:rPr>
              <w:t>2,216,617</w:t>
            </w:r>
          </w:p>
        </w:tc>
        <w:tc>
          <w:tcPr>
            <w:tcW w:w="400" w:type="dxa"/>
            <w:vAlign w:val="bottom"/>
          </w:tcPr>
          <w:p>
            <w:pPr>
              <w:spacing w:after="0"/>
              <w:rPr>
                <w:sz w:val="21"/>
                <w:szCs w:val="21"/>
                <w:color w:val="auto"/>
              </w:rPr>
            </w:pPr>
          </w:p>
        </w:tc>
        <w:tc>
          <w:tcPr>
            <w:tcW w:w="1640" w:type="dxa"/>
            <w:vAlign w:val="bottom"/>
            <w:gridSpan w:val="2"/>
          </w:tcPr>
          <w:p>
            <w:pPr>
              <w:jc w:val="center"/>
              <w:ind w:left="306"/>
              <w:spacing w:after="0"/>
              <w:rPr>
                <w:sz w:val="20"/>
                <w:szCs w:val="20"/>
                <w:color w:val="auto"/>
              </w:rPr>
            </w:pPr>
            <w:r>
              <w:rPr>
                <w:rFonts w:ascii="Times New Roman" w:cs="Times New Roman" w:eastAsia="Times New Roman" w:hAnsi="Times New Roman"/>
                <w:sz w:val="19"/>
                <w:szCs w:val="19"/>
                <w:color w:val="auto"/>
                <w:w w:val="97"/>
              </w:rPr>
              <w:t>666,118</w:t>
            </w:r>
          </w:p>
        </w:tc>
        <w:tc>
          <w:tcPr>
            <w:tcW w:w="7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22,957,998</w:t>
            </w:r>
          </w:p>
        </w:tc>
        <w:tc>
          <w:tcPr>
            <w:tcW w:w="400" w:type="dxa"/>
            <w:vAlign w:val="bottom"/>
          </w:tcPr>
          <w:p>
            <w:pPr>
              <w:spacing w:after="0"/>
              <w:rPr>
                <w:sz w:val="21"/>
                <w:szCs w:val="2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Pamela D. A. Reeve</w:t>
            </w:r>
          </w:p>
        </w:tc>
        <w:tc>
          <w:tcPr>
            <w:tcW w:w="2120" w:type="dxa"/>
            <w:vAlign w:val="bottom"/>
            <w:tcBorders>
              <w:bottom w:val="single" w:sz="8" w:color="CCEEFF"/>
            </w:tcBorders>
            <w:gridSpan w:val="2"/>
            <w:shd w:val="clear" w:color="auto" w:fill="CCEEFF"/>
          </w:tcPr>
          <w:p>
            <w:pPr>
              <w:jc w:val="center"/>
              <w:ind w:left="926"/>
              <w:spacing w:after="0"/>
              <w:rPr>
                <w:sz w:val="20"/>
                <w:szCs w:val="20"/>
                <w:color w:val="auto"/>
              </w:rPr>
            </w:pPr>
            <w:r>
              <w:rPr>
                <w:rFonts w:ascii="Times New Roman" w:cs="Times New Roman" w:eastAsia="Times New Roman" w:hAnsi="Times New Roman"/>
                <w:sz w:val="19"/>
                <w:szCs w:val="19"/>
                <w:color w:val="auto"/>
                <w:w w:val="98"/>
              </w:rPr>
              <w:t>382,100,785</w:t>
            </w:r>
          </w:p>
        </w:tc>
        <w:tc>
          <w:tcPr>
            <w:tcW w:w="1900" w:type="dxa"/>
            <w:vAlign w:val="bottom"/>
            <w:tcBorders>
              <w:bottom w:val="single" w:sz="8" w:color="CCEEFF"/>
            </w:tcBorders>
            <w:gridSpan w:val="2"/>
            <w:shd w:val="clear" w:color="auto" w:fill="CCEEFF"/>
          </w:tcPr>
          <w:p>
            <w:pPr>
              <w:jc w:val="center"/>
              <w:ind w:left="766"/>
              <w:spacing w:after="0"/>
              <w:rPr>
                <w:sz w:val="20"/>
                <w:szCs w:val="20"/>
                <w:color w:val="auto"/>
              </w:rPr>
            </w:pPr>
            <w:r>
              <w:rPr>
                <w:rFonts w:ascii="Times New Roman" w:cs="Times New Roman" w:eastAsia="Times New Roman" w:hAnsi="Times New Roman"/>
                <w:sz w:val="19"/>
                <w:szCs w:val="19"/>
                <w:color w:val="auto"/>
                <w:w w:val="98"/>
              </w:rPr>
              <w:t>20,502,822</w:t>
            </w: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center"/>
              <w:ind w:left="306"/>
              <w:spacing w:after="0"/>
              <w:rPr>
                <w:sz w:val="20"/>
                <w:szCs w:val="20"/>
                <w:color w:val="auto"/>
              </w:rPr>
            </w:pPr>
            <w:r>
              <w:rPr>
                <w:rFonts w:ascii="Times New Roman" w:cs="Times New Roman" w:eastAsia="Times New Roman" w:hAnsi="Times New Roman"/>
                <w:sz w:val="19"/>
                <w:szCs w:val="19"/>
                <w:color w:val="auto"/>
                <w:w w:val="99"/>
              </w:rPr>
              <w:t>1,160,686</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22,957,998</w:t>
            </w:r>
          </w:p>
        </w:tc>
        <w:tc>
          <w:tcPr>
            <w:tcW w:w="400" w:type="dxa"/>
            <w:vAlign w:val="bottom"/>
            <w:tcBorders>
              <w:bottom w:val="single" w:sz="8" w:color="CCEEFF"/>
            </w:tcBorders>
            <w:shd w:val="clear" w:color="auto" w:fill="CCEEFF"/>
          </w:tcPr>
          <w:p>
            <w:pPr>
              <w:spacing w:after="0"/>
              <w:rPr>
                <w:sz w:val="21"/>
                <w:szCs w:val="21"/>
                <w:color w:val="auto"/>
              </w:rPr>
            </w:pPr>
          </w:p>
        </w:tc>
      </w:tr>
      <w:tr>
        <w:trPr>
          <w:trHeight w:val="266"/>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Eugene F. Reilly</w:t>
            </w:r>
          </w:p>
        </w:tc>
        <w:tc>
          <w:tcPr>
            <w:tcW w:w="2120" w:type="dxa"/>
            <w:vAlign w:val="bottom"/>
            <w:gridSpan w:val="2"/>
          </w:tcPr>
          <w:p>
            <w:pPr>
              <w:jc w:val="center"/>
              <w:ind w:left="926"/>
              <w:spacing w:after="0"/>
              <w:rPr>
                <w:sz w:val="20"/>
                <w:szCs w:val="20"/>
                <w:color w:val="auto"/>
              </w:rPr>
            </w:pPr>
            <w:r>
              <w:rPr>
                <w:rFonts w:ascii="Times New Roman" w:cs="Times New Roman" w:eastAsia="Times New Roman" w:hAnsi="Times New Roman"/>
                <w:sz w:val="19"/>
                <w:szCs w:val="19"/>
                <w:color w:val="auto"/>
                <w:w w:val="98"/>
              </w:rPr>
              <w:t>391,036,438</w:t>
            </w:r>
          </w:p>
        </w:tc>
        <w:tc>
          <w:tcPr>
            <w:tcW w:w="1900" w:type="dxa"/>
            <w:vAlign w:val="bottom"/>
            <w:gridSpan w:val="2"/>
          </w:tcPr>
          <w:p>
            <w:pPr>
              <w:jc w:val="center"/>
              <w:ind w:left="766"/>
              <w:spacing w:after="0"/>
              <w:rPr>
                <w:sz w:val="20"/>
                <w:szCs w:val="20"/>
                <w:color w:val="auto"/>
              </w:rPr>
            </w:pPr>
            <w:r>
              <w:rPr>
                <w:rFonts w:ascii="Times New Roman" w:cs="Times New Roman" w:eastAsia="Times New Roman" w:hAnsi="Times New Roman"/>
                <w:sz w:val="19"/>
                <w:szCs w:val="19"/>
                <w:color w:val="auto"/>
                <w:w w:val="98"/>
              </w:rPr>
              <w:t>12,063,235</w:t>
            </w:r>
          </w:p>
        </w:tc>
        <w:tc>
          <w:tcPr>
            <w:tcW w:w="400" w:type="dxa"/>
            <w:vAlign w:val="bottom"/>
          </w:tcPr>
          <w:p>
            <w:pPr>
              <w:spacing w:after="0"/>
              <w:rPr>
                <w:sz w:val="23"/>
                <w:szCs w:val="23"/>
                <w:color w:val="auto"/>
              </w:rPr>
            </w:pPr>
          </w:p>
        </w:tc>
        <w:tc>
          <w:tcPr>
            <w:tcW w:w="1640" w:type="dxa"/>
            <w:vAlign w:val="bottom"/>
            <w:gridSpan w:val="2"/>
          </w:tcPr>
          <w:p>
            <w:pPr>
              <w:jc w:val="center"/>
              <w:ind w:left="306"/>
              <w:spacing w:after="0"/>
              <w:rPr>
                <w:sz w:val="20"/>
                <w:szCs w:val="20"/>
                <w:color w:val="auto"/>
              </w:rPr>
            </w:pPr>
            <w:r>
              <w:rPr>
                <w:rFonts w:ascii="Times New Roman" w:cs="Times New Roman" w:eastAsia="Times New Roman" w:hAnsi="Times New Roman"/>
                <w:sz w:val="19"/>
                <w:szCs w:val="19"/>
                <w:color w:val="auto"/>
                <w:w w:val="97"/>
              </w:rPr>
              <w:t>664,620</w:t>
            </w:r>
          </w:p>
        </w:tc>
        <w:tc>
          <w:tcPr>
            <w:tcW w:w="76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22,957,998</w:t>
            </w:r>
          </w:p>
        </w:tc>
        <w:tc>
          <w:tcPr>
            <w:tcW w:w="400" w:type="dxa"/>
            <w:vAlign w:val="bottom"/>
          </w:tcPr>
          <w:p>
            <w:pPr>
              <w:spacing w:after="0"/>
              <w:rPr>
                <w:sz w:val="23"/>
                <w:szCs w:val="23"/>
                <w:color w:val="auto"/>
              </w:rPr>
            </w:pPr>
          </w:p>
        </w:tc>
      </w:tr>
      <w:tr>
        <w:trPr>
          <w:trHeight w:val="253"/>
        </w:trPr>
        <w:tc>
          <w:tcPr>
            <w:tcW w:w="2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Bruce L. Tanner</w:t>
            </w:r>
          </w:p>
        </w:tc>
        <w:tc>
          <w:tcPr>
            <w:tcW w:w="2120" w:type="dxa"/>
            <w:vAlign w:val="bottom"/>
            <w:gridSpan w:val="2"/>
            <w:shd w:val="clear" w:color="auto" w:fill="CCEEFF"/>
          </w:tcPr>
          <w:p>
            <w:pPr>
              <w:jc w:val="center"/>
              <w:ind w:left="926"/>
              <w:spacing w:after="0"/>
              <w:rPr>
                <w:sz w:val="20"/>
                <w:szCs w:val="20"/>
                <w:color w:val="auto"/>
              </w:rPr>
            </w:pPr>
            <w:r>
              <w:rPr>
                <w:rFonts w:ascii="Times New Roman" w:cs="Times New Roman" w:eastAsia="Times New Roman" w:hAnsi="Times New Roman"/>
                <w:sz w:val="19"/>
                <w:szCs w:val="19"/>
                <w:color w:val="auto"/>
                <w:w w:val="98"/>
              </w:rPr>
              <w:t>399,958,316</w:t>
            </w:r>
          </w:p>
        </w:tc>
        <w:tc>
          <w:tcPr>
            <w:tcW w:w="1900" w:type="dxa"/>
            <w:vAlign w:val="bottom"/>
            <w:gridSpan w:val="2"/>
            <w:shd w:val="clear" w:color="auto" w:fill="CCEEFF"/>
          </w:tcPr>
          <w:p>
            <w:pPr>
              <w:jc w:val="center"/>
              <w:ind w:left="766"/>
              <w:spacing w:after="0"/>
              <w:rPr>
                <w:sz w:val="20"/>
                <w:szCs w:val="20"/>
                <w:color w:val="auto"/>
              </w:rPr>
            </w:pPr>
            <w:r>
              <w:rPr>
                <w:rFonts w:ascii="Times New Roman" w:cs="Times New Roman" w:eastAsia="Times New Roman" w:hAnsi="Times New Roman"/>
                <w:sz w:val="19"/>
                <w:szCs w:val="19"/>
                <w:color w:val="auto"/>
                <w:w w:val="99"/>
              </w:rPr>
              <w:t>3,139,503</w:t>
            </w:r>
          </w:p>
        </w:tc>
        <w:tc>
          <w:tcPr>
            <w:tcW w:w="4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center"/>
              <w:ind w:left="306"/>
              <w:spacing w:after="0"/>
              <w:rPr>
                <w:sz w:val="20"/>
                <w:szCs w:val="20"/>
                <w:color w:val="auto"/>
              </w:rPr>
            </w:pPr>
            <w:r>
              <w:rPr>
                <w:rFonts w:ascii="Times New Roman" w:cs="Times New Roman" w:eastAsia="Times New Roman" w:hAnsi="Times New Roman"/>
                <w:sz w:val="19"/>
                <w:szCs w:val="19"/>
                <w:color w:val="auto"/>
                <w:w w:val="97"/>
              </w:rPr>
              <w:t>666,474</w:t>
            </w:r>
          </w:p>
        </w:tc>
        <w:tc>
          <w:tcPr>
            <w:tcW w:w="760" w:type="dxa"/>
            <w:vAlign w:val="bottom"/>
            <w:shd w:val="clear" w:color="auto" w:fill="CCEEFF"/>
          </w:tcPr>
          <w:p>
            <w:pPr>
              <w:spacing w:after="0"/>
              <w:rPr>
                <w:sz w:val="21"/>
                <w:szCs w:val="21"/>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22,957,998</w:t>
            </w:r>
          </w:p>
        </w:tc>
        <w:tc>
          <w:tcPr>
            <w:tcW w:w="400" w:type="dxa"/>
            <w:vAlign w:val="bottom"/>
            <w:shd w:val="clear" w:color="auto" w:fill="CCEEFF"/>
          </w:tcPr>
          <w:p>
            <w:pPr>
              <w:spacing w:after="0"/>
              <w:rPr>
                <w:sz w:val="21"/>
                <w:szCs w:val="21"/>
                <w:color w:val="auto"/>
              </w:rPr>
            </w:pPr>
          </w:p>
        </w:tc>
      </w:tr>
      <w:tr>
        <w:trPr>
          <w:trHeight w:val="21"/>
        </w:trPr>
        <w:tc>
          <w:tcPr>
            <w:tcW w:w="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r>
    </w:tbl>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2.</w:t>
            </w:r>
          </w:p>
        </w:tc>
        <w:tc>
          <w:tcPr>
            <w:tcW w:w="5820" w:type="dxa"/>
            <w:vAlign w:val="bottom"/>
            <w:gridSpan w:val="7"/>
          </w:tcPr>
          <w:p>
            <w:pPr>
              <w:ind w:left="40"/>
              <w:spacing w:after="0"/>
              <w:rPr>
                <w:sz w:val="20"/>
                <w:szCs w:val="20"/>
                <w:color w:val="auto"/>
              </w:rPr>
            </w:pPr>
            <w:r>
              <w:rPr>
                <w:rFonts w:ascii="Times New Roman" w:cs="Times New Roman" w:eastAsia="Times New Roman" w:hAnsi="Times New Roman"/>
                <w:sz w:val="19"/>
                <w:szCs w:val="19"/>
                <w:color w:val="auto"/>
              </w:rPr>
              <w:t>Approval, on an advisory basis, of the Company’s executive compensation.</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7"/>
        </w:trPr>
        <w:tc>
          <w:tcPr>
            <w:tcW w:w="160" w:type="dxa"/>
            <w:vAlign w:val="bottom"/>
          </w:tcPr>
          <w:p>
            <w:pPr>
              <w:spacing w:after="0"/>
              <w:rPr>
                <w:sz w:val="19"/>
                <w:szCs w:val="19"/>
                <w:color w:val="auto"/>
              </w:rPr>
            </w:pPr>
          </w:p>
        </w:tc>
        <w:tc>
          <w:tcPr>
            <w:tcW w:w="1720" w:type="dxa"/>
            <w:vAlign w:val="bottom"/>
            <w:gridSpan w:val="3"/>
          </w:tcPr>
          <w:p>
            <w:pPr>
              <w:jc w:val="center"/>
              <w:ind w:left="506"/>
              <w:spacing w:after="0"/>
              <w:rPr>
                <w:sz w:val="20"/>
                <w:szCs w:val="20"/>
                <w:color w:val="auto"/>
              </w:rPr>
            </w:pPr>
            <w:r>
              <w:rPr>
                <w:rFonts w:ascii="Times New Roman" w:cs="Times New Roman" w:eastAsia="Times New Roman" w:hAnsi="Times New Roman"/>
                <w:sz w:val="19"/>
                <w:szCs w:val="19"/>
                <w:color w:val="auto"/>
                <w:w w:val="98"/>
              </w:rPr>
              <w:t>Votes Cast For</w:t>
            </w:r>
          </w:p>
        </w:tc>
        <w:tc>
          <w:tcPr>
            <w:tcW w:w="4100" w:type="dxa"/>
            <w:vAlign w:val="bottom"/>
            <w:gridSpan w:val="4"/>
          </w:tcPr>
          <w:p>
            <w:pPr>
              <w:jc w:val="center"/>
              <w:ind w:left="26"/>
              <w:spacing w:after="0"/>
              <w:rPr>
                <w:sz w:val="20"/>
                <w:szCs w:val="20"/>
                <w:color w:val="auto"/>
              </w:rPr>
            </w:pPr>
            <w:r>
              <w:rPr>
                <w:rFonts w:ascii="Times New Roman" w:cs="Times New Roman" w:eastAsia="Times New Roman" w:hAnsi="Times New Roman"/>
                <w:sz w:val="19"/>
                <w:szCs w:val="19"/>
                <w:color w:val="auto"/>
                <w:w w:val="97"/>
              </w:rPr>
              <w:t>Votes Against</w:t>
            </w:r>
          </w:p>
        </w:tc>
        <w:tc>
          <w:tcPr>
            <w:tcW w:w="2920" w:type="dxa"/>
            <w:vAlign w:val="bottom"/>
            <w:gridSpan w:val="5"/>
          </w:tcPr>
          <w:p>
            <w:pPr>
              <w:jc w:val="center"/>
              <w:ind w:right="1500"/>
              <w:spacing w:after="0"/>
              <w:rPr>
                <w:sz w:val="20"/>
                <w:szCs w:val="20"/>
                <w:color w:val="auto"/>
              </w:rPr>
            </w:pPr>
            <w:r>
              <w:rPr>
                <w:rFonts w:ascii="Times New Roman" w:cs="Times New Roman" w:eastAsia="Times New Roman" w:hAnsi="Times New Roman"/>
                <w:sz w:val="19"/>
                <w:szCs w:val="19"/>
                <w:color w:val="auto"/>
                <w:w w:val="96"/>
              </w:rPr>
              <w:t>Votes Abstained</w:t>
            </w:r>
          </w:p>
        </w:tc>
        <w:tc>
          <w:tcPr>
            <w:tcW w:w="2240" w:type="dxa"/>
            <w:vAlign w:val="bottom"/>
            <w:gridSpan w:val="4"/>
          </w:tcPr>
          <w:p>
            <w:pPr>
              <w:jc w:val="center"/>
              <w:ind w:right="880"/>
              <w:spacing w:after="0"/>
              <w:rPr>
                <w:sz w:val="20"/>
                <w:szCs w:val="20"/>
                <w:color w:val="auto"/>
              </w:rPr>
            </w:pPr>
            <w:r>
              <w:rPr>
                <w:rFonts w:ascii="Times New Roman" w:cs="Times New Roman" w:eastAsia="Times New Roman" w:hAnsi="Times New Roman"/>
                <w:sz w:val="19"/>
                <w:szCs w:val="19"/>
                <w:color w:val="auto"/>
                <w:w w:val="96"/>
              </w:rPr>
              <w:t>Broker Non-Votes</w:t>
            </w:r>
          </w:p>
        </w:tc>
        <w:tc>
          <w:tcPr>
            <w:tcW w:w="60" w:type="dxa"/>
            <w:vAlign w:val="bottom"/>
          </w:tcPr>
          <w:p>
            <w:pPr>
              <w:spacing w:after="0"/>
              <w:rPr>
                <w:sz w:val="19"/>
                <w:szCs w:val="19"/>
                <w:color w:val="auto"/>
              </w:rPr>
            </w:pPr>
          </w:p>
        </w:tc>
      </w:tr>
      <w:tr>
        <w:trPr>
          <w:trHeight w:val="44"/>
        </w:trPr>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58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center"/>
              <w:ind w:left="506"/>
              <w:spacing w:after="0"/>
              <w:rPr>
                <w:sz w:val="20"/>
                <w:szCs w:val="20"/>
                <w:color w:val="auto"/>
              </w:rPr>
            </w:pPr>
            <w:r>
              <w:rPr>
                <w:rFonts w:ascii="Times New Roman" w:cs="Times New Roman" w:eastAsia="Times New Roman" w:hAnsi="Times New Roman"/>
                <w:sz w:val="19"/>
                <w:szCs w:val="19"/>
                <w:color w:val="auto"/>
              </w:rPr>
              <w:t>377,995,948</w:t>
            </w:r>
          </w:p>
        </w:tc>
        <w:tc>
          <w:tcPr>
            <w:tcW w:w="2640" w:type="dxa"/>
            <w:vAlign w:val="bottom"/>
            <w:tcBorders>
              <w:bottom w:val="single" w:sz="8" w:color="CCEEFF"/>
            </w:tcBorders>
            <w:gridSpan w:val="3"/>
            <w:shd w:val="clear" w:color="auto" w:fill="CCEEFF"/>
          </w:tcPr>
          <w:p>
            <w:pPr>
              <w:jc w:val="center"/>
              <w:ind w:left="1486"/>
              <w:spacing w:after="0"/>
              <w:rPr>
                <w:sz w:val="20"/>
                <w:szCs w:val="20"/>
                <w:color w:val="auto"/>
              </w:rPr>
            </w:pPr>
            <w:r>
              <w:rPr>
                <w:rFonts w:ascii="Times New Roman" w:cs="Times New Roman" w:eastAsia="Times New Roman" w:hAnsi="Times New Roman"/>
                <w:sz w:val="19"/>
                <w:szCs w:val="19"/>
                <w:color w:val="auto"/>
              </w:rPr>
              <w:t>24,171,637</w:t>
            </w:r>
          </w:p>
        </w:tc>
        <w:tc>
          <w:tcPr>
            <w:tcW w:w="14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9"/>
                <w:szCs w:val="19"/>
                <w:color w:val="auto"/>
              </w:rPr>
              <w:t>1,596,708</w:t>
            </w:r>
          </w:p>
        </w:tc>
        <w:tc>
          <w:tcPr>
            <w:tcW w:w="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9"/>
                <w:szCs w:val="19"/>
                <w:color w:val="auto"/>
              </w:rPr>
              <w:t>22,957,998</w:t>
            </w:r>
          </w:p>
        </w:tc>
        <w:tc>
          <w:tcPr>
            <w:tcW w:w="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544"/>
        </w:trPr>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3.</w:t>
            </w:r>
          </w:p>
        </w:tc>
        <w:tc>
          <w:tcPr>
            <w:tcW w:w="10980" w:type="dxa"/>
            <w:vAlign w:val="bottom"/>
            <w:gridSpan w:val="16"/>
          </w:tcPr>
          <w:p>
            <w:pPr>
              <w:ind w:left="40"/>
              <w:spacing w:after="0"/>
              <w:rPr>
                <w:sz w:val="20"/>
                <w:szCs w:val="20"/>
                <w:color w:val="auto"/>
              </w:rPr>
            </w:pPr>
            <w:r>
              <w:rPr>
                <w:rFonts w:ascii="Times New Roman" w:cs="Times New Roman" w:eastAsia="Times New Roman" w:hAnsi="Times New Roman"/>
                <w:sz w:val="19"/>
                <w:szCs w:val="19"/>
                <w:color w:val="auto"/>
              </w:rPr>
              <w:t>Ratification of the selection of Deloitte &amp; Touche LLP as the Company’s independent registered public accounting firm for 2026.</w:t>
            </w:r>
          </w:p>
        </w:tc>
        <w:tc>
          <w:tcPr>
            <w:tcW w:w="60" w:type="dxa"/>
            <w:vAlign w:val="bottom"/>
          </w:tcPr>
          <w:p>
            <w:pPr>
              <w:spacing w:after="0"/>
              <w:rPr>
                <w:sz w:val="24"/>
                <w:szCs w:val="24"/>
                <w:color w:val="auto"/>
              </w:rPr>
            </w:pPr>
          </w:p>
        </w:tc>
      </w:tr>
      <w:tr>
        <w:trPr>
          <w:trHeight w:val="240"/>
        </w:trPr>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w w:val="96"/>
              </w:rPr>
              <w:t>Votes Cast For</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gridSpan w:val="2"/>
          </w:tcPr>
          <w:p>
            <w:pPr>
              <w:jc w:val="center"/>
              <w:ind w:right="1460"/>
              <w:spacing w:after="0"/>
              <w:rPr>
                <w:sz w:val="20"/>
                <w:szCs w:val="20"/>
                <w:color w:val="auto"/>
              </w:rPr>
            </w:pPr>
            <w:r>
              <w:rPr>
                <w:rFonts w:ascii="Times New Roman" w:cs="Times New Roman" w:eastAsia="Times New Roman" w:hAnsi="Times New Roman"/>
                <w:sz w:val="19"/>
                <w:szCs w:val="19"/>
                <w:color w:val="auto"/>
                <w:w w:val="96"/>
              </w:rPr>
              <w:t>Votes Against</w:t>
            </w:r>
          </w:p>
        </w:tc>
        <w:tc>
          <w:tcPr>
            <w:tcW w:w="100" w:type="dxa"/>
            <w:vAlign w:val="bottom"/>
          </w:tcPr>
          <w:p>
            <w:pPr>
              <w:spacing w:after="0"/>
              <w:rPr>
                <w:sz w:val="20"/>
                <w:szCs w:val="20"/>
                <w:color w:val="auto"/>
              </w:rPr>
            </w:pPr>
          </w:p>
        </w:tc>
        <w:tc>
          <w:tcPr>
            <w:tcW w:w="2820" w:type="dxa"/>
            <w:vAlign w:val="bottom"/>
            <w:gridSpan w:val="4"/>
          </w:tcPr>
          <w:p>
            <w:pPr>
              <w:ind w:left="20"/>
              <w:spacing w:after="0"/>
              <w:rPr>
                <w:sz w:val="20"/>
                <w:szCs w:val="20"/>
                <w:color w:val="auto"/>
              </w:rPr>
            </w:pPr>
            <w:r>
              <w:rPr>
                <w:rFonts w:ascii="Times New Roman" w:cs="Times New Roman" w:eastAsia="Times New Roman" w:hAnsi="Times New Roman"/>
                <w:sz w:val="19"/>
                <w:szCs w:val="19"/>
                <w:color w:val="auto"/>
              </w:rPr>
              <w:t>Votes Abstained</w:t>
            </w:r>
          </w:p>
        </w:tc>
        <w:tc>
          <w:tcPr>
            <w:tcW w:w="4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Broker Non-Votes</w:t>
            </w:r>
          </w:p>
        </w:tc>
        <w:tc>
          <w:tcPr>
            <w:tcW w:w="60" w:type="dxa"/>
            <w:vAlign w:val="bottom"/>
          </w:tcPr>
          <w:p>
            <w:pPr>
              <w:spacing w:after="0"/>
              <w:rPr>
                <w:sz w:val="20"/>
                <w:szCs w:val="20"/>
                <w:color w:val="auto"/>
              </w:rPr>
            </w:pPr>
          </w:p>
        </w:tc>
      </w:tr>
      <w:tr>
        <w:trPr>
          <w:trHeight w:val="44"/>
        </w:trPr>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center"/>
              <w:ind w:left="526"/>
              <w:spacing w:after="0"/>
              <w:rPr>
                <w:sz w:val="20"/>
                <w:szCs w:val="20"/>
                <w:color w:val="auto"/>
              </w:rPr>
            </w:pPr>
            <w:r>
              <w:rPr>
                <w:rFonts w:ascii="Times New Roman" w:cs="Times New Roman" w:eastAsia="Times New Roman" w:hAnsi="Times New Roman"/>
                <w:sz w:val="19"/>
                <w:szCs w:val="19"/>
                <w:color w:val="auto"/>
                <w:w w:val="98"/>
              </w:rPr>
              <w:t>394,729,619</w:t>
            </w:r>
          </w:p>
        </w:tc>
        <w:tc>
          <w:tcPr>
            <w:tcW w:w="2640" w:type="dxa"/>
            <w:vAlign w:val="bottom"/>
            <w:tcBorders>
              <w:bottom w:val="single" w:sz="8" w:color="CCEEFF"/>
            </w:tcBorders>
            <w:gridSpan w:val="3"/>
            <w:shd w:val="clear" w:color="auto" w:fill="CCEEFF"/>
          </w:tcPr>
          <w:p>
            <w:pPr>
              <w:jc w:val="center"/>
              <w:ind w:left="1506"/>
              <w:spacing w:after="0"/>
              <w:rPr>
                <w:sz w:val="20"/>
                <w:szCs w:val="20"/>
                <w:color w:val="auto"/>
              </w:rPr>
            </w:pPr>
            <w:r>
              <w:rPr>
                <w:rFonts w:ascii="Times New Roman" w:cs="Times New Roman" w:eastAsia="Times New Roman" w:hAnsi="Times New Roman"/>
                <w:sz w:val="19"/>
                <w:szCs w:val="19"/>
                <w:color w:val="auto"/>
                <w:w w:val="98"/>
              </w:rPr>
              <w:t>31,840,527</w:t>
            </w:r>
          </w:p>
        </w:tc>
        <w:tc>
          <w:tcPr>
            <w:tcW w:w="14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9"/>
                <w:szCs w:val="19"/>
                <w:color w:val="auto"/>
              </w:rPr>
              <w:t>152,145</w:t>
            </w:r>
          </w:p>
        </w:tc>
        <w:tc>
          <w:tcPr>
            <w:tcW w:w="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3"/>
            <w:shd w:val="clear" w:color="auto" w:fill="CCEEFF"/>
          </w:tcPr>
          <w:p>
            <w:pPr>
              <w:jc w:val="center"/>
              <w:ind w:right="820"/>
              <w:spacing w:after="0"/>
              <w:rPr>
                <w:sz w:val="20"/>
                <w:szCs w:val="20"/>
                <w:color w:val="auto"/>
              </w:rPr>
            </w:pPr>
            <w:r>
              <w:rPr>
                <w:rFonts w:ascii="Times New Roman" w:cs="Times New Roman" w:eastAsia="Times New Roman" w:hAnsi="Times New Roman"/>
                <w:sz w:val="19"/>
                <w:szCs w:val="19"/>
                <w:color w:val="auto"/>
                <w:w w:val="94"/>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531"/>
        </w:trPr>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4.</w:t>
            </w:r>
          </w:p>
        </w:tc>
        <w:tc>
          <w:tcPr>
            <w:tcW w:w="5820" w:type="dxa"/>
            <w:vAlign w:val="bottom"/>
            <w:gridSpan w:val="7"/>
          </w:tcPr>
          <w:p>
            <w:pPr>
              <w:ind w:left="40"/>
              <w:spacing w:after="0"/>
              <w:rPr>
                <w:sz w:val="20"/>
                <w:szCs w:val="20"/>
                <w:color w:val="auto"/>
              </w:rPr>
            </w:pPr>
            <w:r>
              <w:rPr>
                <w:rFonts w:ascii="Times New Roman" w:cs="Times New Roman" w:eastAsia="Times New Roman" w:hAnsi="Times New Roman"/>
                <w:sz w:val="19"/>
                <w:szCs w:val="19"/>
                <w:color w:val="auto"/>
              </w:rPr>
              <w:t>Approval of the American Tower Corporation 2026 Equity Incentive Plan.</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0"/>
        </w:trPr>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w w:val="96"/>
              </w:rPr>
              <w:t>Votes Cast For</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gridSpan w:val="2"/>
          </w:tcPr>
          <w:p>
            <w:pPr>
              <w:jc w:val="center"/>
              <w:ind w:right="1460"/>
              <w:spacing w:after="0"/>
              <w:rPr>
                <w:sz w:val="20"/>
                <w:szCs w:val="20"/>
                <w:color w:val="auto"/>
              </w:rPr>
            </w:pPr>
            <w:r>
              <w:rPr>
                <w:rFonts w:ascii="Times New Roman" w:cs="Times New Roman" w:eastAsia="Times New Roman" w:hAnsi="Times New Roman"/>
                <w:sz w:val="19"/>
                <w:szCs w:val="19"/>
                <w:color w:val="auto"/>
                <w:w w:val="96"/>
              </w:rPr>
              <w:t>Votes Against</w:t>
            </w:r>
          </w:p>
        </w:tc>
        <w:tc>
          <w:tcPr>
            <w:tcW w:w="100" w:type="dxa"/>
            <w:vAlign w:val="bottom"/>
          </w:tcPr>
          <w:p>
            <w:pPr>
              <w:spacing w:after="0"/>
              <w:rPr>
                <w:sz w:val="20"/>
                <w:szCs w:val="20"/>
                <w:color w:val="auto"/>
              </w:rPr>
            </w:pPr>
          </w:p>
        </w:tc>
        <w:tc>
          <w:tcPr>
            <w:tcW w:w="2820" w:type="dxa"/>
            <w:vAlign w:val="bottom"/>
            <w:gridSpan w:val="4"/>
          </w:tcPr>
          <w:p>
            <w:pPr>
              <w:ind w:left="20"/>
              <w:spacing w:after="0"/>
              <w:rPr>
                <w:sz w:val="20"/>
                <w:szCs w:val="20"/>
                <w:color w:val="auto"/>
              </w:rPr>
            </w:pPr>
            <w:r>
              <w:rPr>
                <w:rFonts w:ascii="Times New Roman" w:cs="Times New Roman" w:eastAsia="Times New Roman" w:hAnsi="Times New Roman"/>
                <w:sz w:val="19"/>
                <w:szCs w:val="19"/>
                <w:color w:val="auto"/>
              </w:rPr>
              <w:t>Votes Abstained</w:t>
            </w:r>
          </w:p>
        </w:tc>
        <w:tc>
          <w:tcPr>
            <w:tcW w:w="4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Broker Non-Votes</w:t>
            </w:r>
          </w:p>
        </w:tc>
        <w:tc>
          <w:tcPr>
            <w:tcW w:w="60" w:type="dxa"/>
            <w:vAlign w:val="bottom"/>
          </w:tcPr>
          <w:p>
            <w:pPr>
              <w:spacing w:after="0"/>
              <w:rPr>
                <w:sz w:val="20"/>
                <w:szCs w:val="20"/>
                <w:color w:val="auto"/>
              </w:rPr>
            </w:pPr>
          </w:p>
        </w:tc>
      </w:tr>
      <w:tr>
        <w:trPr>
          <w:trHeight w:val="44"/>
        </w:trPr>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49"/>
        </w:trPr>
        <w:tc>
          <w:tcPr>
            <w:tcW w:w="16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jc w:val="center"/>
              <w:ind w:left="526"/>
              <w:spacing w:after="0"/>
              <w:rPr>
                <w:sz w:val="20"/>
                <w:szCs w:val="20"/>
                <w:color w:val="auto"/>
              </w:rPr>
            </w:pPr>
            <w:r>
              <w:rPr>
                <w:rFonts w:ascii="Times New Roman" w:cs="Times New Roman" w:eastAsia="Times New Roman" w:hAnsi="Times New Roman"/>
                <w:sz w:val="19"/>
                <w:szCs w:val="19"/>
                <w:color w:val="auto"/>
                <w:w w:val="98"/>
              </w:rPr>
              <w:t>386,841,279</w:t>
            </w:r>
          </w:p>
        </w:tc>
        <w:tc>
          <w:tcPr>
            <w:tcW w:w="2640" w:type="dxa"/>
            <w:vAlign w:val="bottom"/>
            <w:gridSpan w:val="3"/>
            <w:shd w:val="clear" w:color="auto" w:fill="CCEEFF"/>
          </w:tcPr>
          <w:p>
            <w:pPr>
              <w:jc w:val="center"/>
              <w:ind w:left="1506"/>
              <w:spacing w:after="0"/>
              <w:rPr>
                <w:sz w:val="20"/>
                <w:szCs w:val="20"/>
                <w:color w:val="auto"/>
              </w:rPr>
            </w:pPr>
            <w:r>
              <w:rPr>
                <w:rFonts w:ascii="Times New Roman" w:cs="Times New Roman" w:eastAsia="Times New Roman" w:hAnsi="Times New Roman"/>
                <w:sz w:val="19"/>
                <w:szCs w:val="19"/>
                <w:color w:val="auto"/>
                <w:w w:val="98"/>
              </w:rPr>
              <w:t>15,883,799</w:t>
            </w:r>
          </w:p>
        </w:tc>
        <w:tc>
          <w:tcPr>
            <w:tcW w:w="146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9"/>
                <w:szCs w:val="19"/>
                <w:color w:val="auto"/>
              </w:rPr>
              <w:t>1,039,215</w:t>
            </w:r>
          </w:p>
        </w:tc>
        <w:tc>
          <w:tcPr>
            <w:tcW w:w="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9"/>
                <w:szCs w:val="19"/>
                <w:color w:val="auto"/>
              </w:rPr>
              <w:t>22,957,998</w:t>
            </w: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1"/>
        </w:trPr>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bl>
    <w:p>
      <w:pPr>
        <w:spacing w:after="0" w:line="28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9"/>
          <w:szCs w:val="19"/>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48" w:lineRule="exact"/>
        <w:rPr>
          <w:sz w:val="20"/>
          <w:szCs w:val="20"/>
          <w:color w:val="auto"/>
        </w:rPr>
      </w:pPr>
    </w:p>
    <w:p>
      <w:pPr>
        <w:ind w:right="20" w:firstLine="617"/>
        <w:spacing w:after="0" w:line="260" w:lineRule="auto"/>
        <w:rPr>
          <w:sz w:val="20"/>
          <w:szCs w:val="20"/>
          <w:color w:val="auto"/>
        </w:rPr>
      </w:pPr>
      <w:r>
        <w:rPr>
          <w:rFonts w:ascii="Times New Roman" w:cs="Times New Roman" w:eastAsia="Times New Roman" w:hAnsi="Times New Roman"/>
          <w:sz w:val="19"/>
          <w:szCs w:val="19"/>
          <w:color w:val="auto"/>
        </w:rPr>
        <w:t>On May 21, 2026, the Company issued a press release (the “Press Release”) announcing that the Board declared a cash distribution of $1.79 per share on shares of the Company’s common stock, payable on July 13, 2026 to the stockholders of record at the close of business on June 12, 2026.</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 copy of the Press Release is filed herewith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19"/>
          <w:szCs w:val="19"/>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3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9"/>
          <w:szCs w:val="19"/>
          <w:b w:val="1"/>
          <w:bCs w:val="1"/>
          <w:color w:val="auto"/>
        </w:rPr>
        <w:t>(d)</w:t>
        <w:tab/>
        <w:t>Exhibits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Exhibit No.</w:t>
            </w:r>
          </w:p>
        </w:tc>
        <w:tc>
          <w:tcPr>
            <w:tcW w:w="9440" w:type="dxa"/>
            <w:vAlign w:val="bottom"/>
            <w:gridSpan w:val="13"/>
          </w:tcPr>
          <w:p>
            <w:pPr>
              <w:spacing w:after="0"/>
              <w:rPr>
                <w:sz w:val="20"/>
                <w:szCs w:val="20"/>
                <w:color w:val="auto"/>
              </w:rPr>
            </w:pPr>
            <w:r>
              <w:rPr>
                <w:rFonts w:ascii="Times New Roman" w:cs="Times New Roman" w:eastAsia="Times New Roman" w:hAnsi="Times New Roman"/>
                <w:sz w:val="19"/>
                <w:szCs w:val="19"/>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10.1</w:t>
            </w:r>
          </w:p>
        </w:tc>
        <w:tc>
          <w:tcPr>
            <w:tcW w:w="860" w:type="dxa"/>
            <w:vAlign w:val="bottom"/>
          </w:tcPr>
          <w:p>
            <w:pPr>
              <w:spacing w:after="0"/>
              <w:rPr>
                <w:sz w:val="23"/>
                <w:szCs w:val="23"/>
                <w:color w:val="auto"/>
              </w:rPr>
            </w:pPr>
          </w:p>
        </w:tc>
        <w:tc>
          <w:tcPr>
            <w:tcW w:w="9440" w:type="dxa"/>
            <w:vAlign w:val="bottom"/>
            <w:gridSpan w:val="13"/>
          </w:tcPr>
          <w:p>
            <w:pPr>
              <w:spacing w:after="0"/>
              <w:rPr>
                <w:sz w:val="20"/>
                <w:szCs w:val="20"/>
                <w:color w:val="auto"/>
              </w:rPr>
            </w:pPr>
            <w:r>
              <w:rPr>
                <w:rFonts w:ascii="Times New Roman" w:cs="Times New Roman" w:eastAsia="Times New Roman" w:hAnsi="Times New Roman"/>
                <w:sz w:val="19"/>
                <w:szCs w:val="19"/>
                <w:color w:val="0000FF"/>
              </w:rPr>
              <w:t>American Tower Corporation 2026 Equity Incentive Plan.</w:t>
            </w:r>
          </w:p>
        </w:tc>
      </w:tr>
      <w:tr>
        <w:trPr>
          <w:trHeight w:val="20"/>
        </w:trPr>
        <w:tc>
          <w:tcPr>
            <w:tcW w:w="9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10.2</w:t>
            </w:r>
          </w:p>
        </w:tc>
        <w:tc>
          <w:tcPr>
            <w:tcW w:w="860" w:type="dxa"/>
            <w:vAlign w:val="bottom"/>
          </w:tcPr>
          <w:p>
            <w:pPr>
              <w:spacing w:after="0"/>
              <w:rPr>
                <w:sz w:val="23"/>
                <w:szCs w:val="23"/>
                <w:color w:val="auto"/>
              </w:rPr>
            </w:pPr>
          </w:p>
        </w:tc>
        <w:tc>
          <w:tcPr>
            <w:tcW w:w="9440" w:type="dxa"/>
            <w:vAlign w:val="bottom"/>
            <w:gridSpan w:val="13"/>
          </w:tcPr>
          <w:p>
            <w:pPr>
              <w:spacing w:after="0"/>
              <w:rPr>
                <w:sz w:val="20"/>
                <w:szCs w:val="20"/>
                <w:color w:val="auto"/>
              </w:rPr>
            </w:pPr>
            <w:r>
              <w:rPr>
                <w:rFonts w:ascii="Times New Roman" w:cs="Times New Roman" w:eastAsia="Times New Roman" w:hAnsi="Times New Roman"/>
                <w:sz w:val="19"/>
                <w:szCs w:val="19"/>
                <w:color w:val="0000FF"/>
              </w:rPr>
              <w:t>Form of Notice of Grant of Restricted Stock Units and RSU Agreement (Employee / Time) Pursuant to the American</w:t>
            </w:r>
          </w:p>
        </w:tc>
      </w:tr>
      <w:tr>
        <w:trPr>
          <w:trHeight w:val="16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580" w:type="dxa"/>
            <w:vAlign w:val="bottom"/>
            <w:tcBorders>
              <w:top w:val="single" w:sz="8" w:color="0000FF"/>
              <w:bottom w:val="single" w:sz="8" w:color="0000FF"/>
            </w:tcBorders>
            <w:gridSpan w:val="4"/>
          </w:tcPr>
          <w:p>
            <w:pPr>
              <w:spacing w:after="0" w:line="160" w:lineRule="exact"/>
              <w:rPr>
                <w:sz w:val="20"/>
                <w:szCs w:val="20"/>
                <w:color w:val="auto"/>
              </w:rPr>
            </w:pPr>
            <w:r>
              <w:rPr>
                <w:rFonts w:ascii="Times New Roman" w:cs="Times New Roman" w:eastAsia="Times New Roman" w:hAnsi="Times New Roman"/>
                <w:sz w:val="18"/>
                <w:szCs w:val="18"/>
                <w:color w:val="0000FF"/>
              </w:rPr>
              <w:t>Tower Corporation 2026 Equity Incentive Plan.</w:t>
            </w:r>
          </w:p>
        </w:tc>
        <w:tc>
          <w:tcPr>
            <w:tcW w:w="526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76"/>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10.3</w:t>
            </w:r>
          </w:p>
        </w:tc>
        <w:tc>
          <w:tcPr>
            <w:tcW w:w="860" w:type="dxa"/>
            <w:vAlign w:val="bottom"/>
          </w:tcPr>
          <w:p>
            <w:pPr>
              <w:spacing w:after="0"/>
              <w:rPr>
                <w:sz w:val="23"/>
                <w:szCs w:val="23"/>
                <w:color w:val="auto"/>
              </w:rPr>
            </w:pPr>
          </w:p>
        </w:tc>
        <w:tc>
          <w:tcPr>
            <w:tcW w:w="9440" w:type="dxa"/>
            <w:vAlign w:val="bottom"/>
            <w:gridSpan w:val="13"/>
          </w:tcPr>
          <w:p>
            <w:pPr>
              <w:spacing w:after="0"/>
              <w:rPr>
                <w:sz w:val="20"/>
                <w:szCs w:val="20"/>
                <w:color w:val="auto"/>
              </w:rPr>
            </w:pPr>
            <w:r>
              <w:rPr>
                <w:rFonts w:ascii="Times New Roman" w:cs="Times New Roman" w:eastAsia="Times New Roman" w:hAnsi="Times New Roman"/>
                <w:sz w:val="19"/>
                <w:szCs w:val="19"/>
                <w:color w:val="0000FF"/>
              </w:rPr>
              <w:t>Form of Notice of Grant of Restricted Stock Units and RSU Agreement for Non-U.S. Participants (Employee / Time)</w:t>
            </w:r>
          </w:p>
        </w:tc>
      </w:tr>
      <w:tr>
        <w:trPr>
          <w:trHeight w:val="16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560" w:type="dxa"/>
            <w:vAlign w:val="bottom"/>
            <w:tcBorders>
              <w:top w:val="single" w:sz="8" w:color="0000FF"/>
              <w:bottom w:val="single" w:sz="8" w:color="0000FF"/>
            </w:tcBorders>
            <w:gridSpan w:val="7"/>
          </w:tcPr>
          <w:p>
            <w:pPr>
              <w:spacing w:after="0" w:line="160" w:lineRule="exact"/>
              <w:rPr>
                <w:sz w:val="20"/>
                <w:szCs w:val="20"/>
                <w:color w:val="auto"/>
              </w:rPr>
            </w:pPr>
            <w:r>
              <w:rPr>
                <w:rFonts w:ascii="Times New Roman" w:cs="Times New Roman" w:eastAsia="Times New Roman" w:hAnsi="Times New Roman"/>
                <w:sz w:val="18"/>
                <w:szCs w:val="18"/>
                <w:color w:val="0000FF"/>
              </w:rPr>
              <w:t>Pursuant to the American Tower Corporation 2026 Equity Incentive Plan.</w:t>
            </w:r>
          </w:p>
        </w:tc>
        <w:tc>
          <w:tcPr>
            <w:tcW w:w="3300" w:type="dxa"/>
            <w:vAlign w:val="bottom"/>
            <w:tcBorders>
              <w:top w:val="single" w:sz="8" w:color="0000FF"/>
            </w:tcBorders>
            <w:gridSpan w:val="2"/>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76"/>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10.4</w:t>
            </w:r>
          </w:p>
        </w:tc>
        <w:tc>
          <w:tcPr>
            <w:tcW w:w="860" w:type="dxa"/>
            <w:vAlign w:val="bottom"/>
          </w:tcPr>
          <w:p>
            <w:pPr>
              <w:spacing w:after="0"/>
              <w:rPr>
                <w:sz w:val="23"/>
                <w:szCs w:val="23"/>
                <w:color w:val="auto"/>
              </w:rPr>
            </w:pPr>
          </w:p>
        </w:tc>
        <w:tc>
          <w:tcPr>
            <w:tcW w:w="9440" w:type="dxa"/>
            <w:vAlign w:val="bottom"/>
            <w:gridSpan w:val="13"/>
          </w:tcPr>
          <w:p>
            <w:pPr>
              <w:spacing w:after="0"/>
              <w:rPr>
                <w:sz w:val="20"/>
                <w:szCs w:val="20"/>
                <w:color w:val="auto"/>
              </w:rPr>
            </w:pPr>
            <w:r>
              <w:rPr>
                <w:rFonts w:ascii="Times New Roman" w:cs="Times New Roman" w:eastAsia="Times New Roman" w:hAnsi="Times New Roman"/>
                <w:sz w:val="19"/>
                <w:szCs w:val="19"/>
                <w:color w:val="0000FF"/>
                <w:w w:val="99"/>
              </w:rPr>
              <w:t>Form of Notice of Grant of Restricted Stock Units and RSU Agreement (Executive / Time) Pursuant to the American Tower</w:t>
            </w:r>
          </w:p>
        </w:tc>
      </w:tr>
      <w:tr>
        <w:trPr>
          <w:trHeight w:val="16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3"/>
          </w:tcPr>
          <w:p>
            <w:pPr>
              <w:spacing w:after="0" w:line="160" w:lineRule="exact"/>
              <w:rPr>
                <w:sz w:val="20"/>
                <w:szCs w:val="20"/>
                <w:color w:val="auto"/>
              </w:rPr>
            </w:pPr>
            <w:r>
              <w:rPr>
                <w:rFonts w:ascii="Times New Roman" w:cs="Times New Roman" w:eastAsia="Times New Roman" w:hAnsi="Times New Roman"/>
                <w:sz w:val="18"/>
                <w:szCs w:val="18"/>
                <w:color w:val="0000FF"/>
              </w:rPr>
              <w:t>Corporation 2026 Equity Incentive Plan.</w:t>
            </w:r>
          </w:p>
        </w:tc>
        <w:tc>
          <w:tcPr>
            <w:tcW w:w="6280" w:type="dxa"/>
            <w:vAlign w:val="bottom"/>
            <w:tcBorders>
              <w:top w:val="single" w:sz="8" w:color="0000FF"/>
            </w:tcBorders>
            <w:gridSpan w:val="9"/>
          </w:tcPr>
          <w:p>
            <w:pPr>
              <w:spacing w:after="0"/>
              <w:rPr>
                <w:sz w:val="13"/>
                <w:szCs w:val="13"/>
                <w:color w:val="auto"/>
              </w:rPr>
            </w:pPr>
          </w:p>
        </w:tc>
        <w:tc>
          <w:tcPr>
            <w:tcW w:w="100" w:type="dxa"/>
            <w:vAlign w:val="bottom"/>
          </w:tcPr>
          <w:p>
            <w:pPr>
              <w:spacing w:after="0"/>
              <w:rPr>
                <w:sz w:val="13"/>
                <w:szCs w:val="13"/>
                <w:color w:val="auto"/>
              </w:rPr>
            </w:pPr>
          </w:p>
        </w:tc>
      </w:tr>
      <w:tr>
        <w:trPr>
          <w:trHeight w:val="276"/>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10.5</w:t>
            </w:r>
          </w:p>
        </w:tc>
        <w:tc>
          <w:tcPr>
            <w:tcW w:w="860" w:type="dxa"/>
            <w:vAlign w:val="bottom"/>
          </w:tcPr>
          <w:p>
            <w:pPr>
              <w:spacing w:after="0"/>
              <w:rPr>
                <w:sz w:val="23"/>
                <w:szCs w:val="23"/>
                <w:color w:val="auto"/>
              </w:rPr>
            </w:pPr>
          </w:p>
        </w:tc>
        <w:tc>
          <w:tcPr>
            <w:tcW w:w="9440" w:type="dxa"/>
            <w:vAlign w:val="bottom"/>
            <w:gridSpan w:val="13"/>
          </w:tcPr>
          <w:p>
            <w:pPr>
              <w:spacing w:after="0"/>
              <w:rPr>
                <w:sz w:val="20"/>
                <w:szCs w:val="20"/>
                <w:color w:val="auto"/>
              </w:rPr>
            </w:pPr>
            <w:r>
              <w:rPr>
                <w:rFonts w:ascii="Times New Roman" w:cs="Times New Roman" w:eastAsia="Times New Roman" w:hAnsi="Times New Roman"/>
                <w:sz w:val="19"/>
                <w:szCs w:val="19"/>
                <w:color w:val="0000FF"/>
              </w:rPr>
              <w:t>Form of Notice of Grant of Restricted Stock Units and RSU Agreement (Non-Employee Director / Time) Pursuant to the</w:t>
            </w:r>
          </w:p>
        </w:tc>
      </w:tr>
      <w:tr>
        <w:trPr>
          <w:trHeight w:val="16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100" w:type="dxa"/>
            <w:vAlign w:val="bottom"/>
            <w:tcBorders>
              <w:top w:val="single" w:sz="8" w:color="0000FF"/>
            </w:tcBorders>
            <w:gridSpan w:val="11"/>
          </w:tcPr>
          <w:p>
            <w:pPr>
              <w:spacing w:after="0" w:line="160" w:lineRule="exact"/>
              <w:rPr>
                <w:sz w:val="20"/>
                <w:szCs w:val="20"/>
                <w:color w:val="auto"/>
              </w:rPr>
            </w:pPr>
            <w:r>
              <w:rPr>
                <w:rFonts w:ascii="Times New Roman" w:cs="Times New Roman" w:eastAsia="Times New Roman" w:hAnsi="Times New Roman"/>
                <w:sz w:val="18"/>
                <w:szCs w:val="18"/>
                <w:color w:val="0000FF"/>
              </w:rPr>
              <w:t>American Tower Corporation 2026 Equity Incentive Plan.</w:t>
            </w:r>
          </w:p>
        </w:tc>
        <w:tc>
          <w:tcPr>
            <w:tcW w:w="340" w:type="dxa"/>
            <w:vAlign w:val="bottom"/>
            <w:gridSpan w:val="2"/>
          </w:tcPr>
          <w:p>
            <w:pPr>
              <w:spacing w:after="0"/>
              <w:rPr>
                <w:sz w:val="13"/>
                <w:szCs w:val="13"/>
                <w:color w:val="auto"/>
              </w:rPr>
            </w:pPr>
          </w:p>
        </w:tc>
      </w:tr>
      <w:tr>
        <w:trPr>
          <w:trHeight w:val="20"/>
        </w:trPr>
        <w:tc>
          <w:tcPr>
            <w:tcW w:w="9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r>
      <w:tr>
        <w:trPr>
          <w:trHeight w:val="276"/>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10.6</w:t>
            </w:r>
          </w:p>
        </w:tc>
        <w:tc>
          <w:tcPr>
            <w:tcW w:w="860" w:type="dxa"/>
            <w:vAlign w:val="bottom"/>
          </w:tcPr>
          <w:p>
            <w:pPr>
              <w:spacing w:after="0"/>
              <w:rPr>
                <w:sz w:val="23"/>
                <w:szCs w:val="23"/>
                <w:color w:val="auto"/>
              </w:rPr>
            </w:pPr>
          </w:p>
        </w:tc>
        <w:tc>
          <w:tcPr>
            <w:tcW w:w="9440" w:type="dxa"/>
            <w:vAlign w:val="bottom"/>
            <w:gridSpan w:val="13"/>
          </w:tcPr>
          <w:p>
            <w:pPr>
              <w:spacing w:after="0"/>
              <w:rPr>
                <w:sz w:val="20"/>
                <w:szCs w:val="20"/>
                <w:color w:val="auto"/>
              </w:rPr>
            </w:pPr>
            <w:r>
              <w:rPr>
                <w:rFonts w:ascii="Times New Roman" w:cs="Times New Roman" w:eastAsia="Times New Roman" w:hAnsi="Times New Roman"/>
                <w:sz w:val="19"/>
                <w:szCs w:val="19"/>
                <w:color w:val="0000FF"/>
              </w:rPr>
              <w:t>Form of Notice of Grant of Performance-Based Restricted Stock Units and PSU Agreement (Executive / Performance)</w:t>
            </w:r>
          </w:p>
        </w:tc>
      </w:tr>
      <w:tr>
        <w:trPr>
          <w:trHeight w:val="16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940" w:type="dxa"/>
            <w:vAlign w:val="bottom"/>
            <w:tcBorders>
              <w:top w:val="single" w:sz="8" w:color="0000FF"/>
            </w:tcBorders>
            <w:gridSpan w:val="10"/>
          </w:tcPr>
          <w:p>
            <w:pPr>
              <w:spacing w:after="0" w:line="160" w:lineRule="exact"/>
              <w:rPr>
                <w:sz w:val="20"/>
                <w:szCs w:val="20"/>
                <w:color w:val="auto"/>
              </w:rPr>
            </w:pPr>
            <w:r>
              <w:rPr>
                <w:rFonts w:ascii="Times New Roman" w:cs="Times New Roman" w:eastAsia="Times New Roman" w:hAnsi="Times New Roman"/>
                <w:sz w:val="18"/>
                <w:szCs w:val="18"/>
                <w:color w:val="0000FF"/>
              </w:rPr>
              <w:t>Pursuant to the American Tower Corporation 2026 Equity Incentive Plan.</w:t>
            </w:r>
          </w:p>
        </w:tc>
        <w:tc>
          <w:tcPr>
            <w:tcW w:w="500" w:type="dxa"/>
            <w:vAlign w:val="bottom"/>
            <w:gridSpan w:val="3"/>
          </w:tcPr>
          <w:p>
            <w:pPr>
              <w:spacing w:after="0"/>
              <w:rPr>
                <w:sz w:val="13"/>
                <w:szCs w:val="13"/>
                <w:color w:val="auto"/>
              </w:rPr>
            </w:pPr>
          </w:p>
        </w:tc>
      </w:tr>
      <w:tr>
        <w:trPr>
          <w:trHeight w:val="276"/>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99.1</w:t>
            </w:r>
          </w:p>
        </w:tc>
        <w:tc>
          <w:tcPr>
            <w:tcW w:w="860" w:type="dxa"/>
            <w:vAlign w:val="bottom"/>
          </w:tcPr>
          <w:p>
            <w:pPr>
              <w:spacing w:after="0"/>
              <w:rPr>
                <w:sz w:val="23"/>
                <w:szCs w:val="23"/>
                <w:color w:val="auto"/>
              </w:rPr>
            </w:pPr>
          </w:p>
        </w:tc>
        <w:tc>
          <w:tcPr>
            <w:tcW w:w="26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9"/>
                <w:szCs w:val="19"/>
                <w:color w:val="0000FF"/>
                <w:w w:val="98"/>
              </w:rPr>
              <w:t>Press Release, dated May 21, 2026.</w:t>
            </w:r>
          </w:p>
        </w:tc>
        <w:tc>
          <w:tcPr>
            <w:tcW w:w="2860" w:type="dxa"/>
            <w:vAlign w:val="bottom"/>
            <w:tcBorders>
              <w:top w:val="single" w:sz="8" w:color="0000FF"/>
            </w:tcBorders>
            <w:gridSpan w:val="4"/>
          </w:tcPr>
          <w:p>
            <w:pPr>
              <w:spacing w:after="0"/>
              <w:rPr>
                <w:sz w:val="23"/>
                <w:szCs w:val="23"/>
                <w:color w:val="auto"/>
              </w:rPr>
            </w:pPr>
          </w:p>
        </w:tc>
        <w:tc>
          <w:tcPr>
            <w:tcW w:w="3900" w:type="dxa"/>
            <w:vAlign w:val="bottom"/>
            <w:gridSpan w:val="7"/>
          </w:tcPr>
          <w:p>
            <w:pPr>
              <w:spacing w:after="0"/>
              <w:rPr>
                <w:sz w:val="23"/>
                <w:szCs w:val="23"/>
                <w:color w:val="auto"/>
              </w:rPr>
            </w:pPr>
          </w:p>
        </w:tc>
      </w:tr>
      <w:tr>
        <w:trPr>
          <w:trHeight w:val="319"/>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104</w:t>
            </w:r>
          </w:p>
        </w:tc>
        <w:tc>
          <w:tcPr>
            <w:tcW w:w="860" w:type="dxa"/>
            <w:vAlign w:val="bottom"/>
          </w:tcPr>
          <w:p>
            <w:pPr>
              <w:spacing w:after="0"/>
              <w:rPr>
                <w:sz w:val="24"/>
                <w:szCs w:val="24"/>
                <w:color w:val="auto"/>
              </w:rPr>
            </w:pPr>
          </w:p>
        </w:tc>
        <w:tc>
          <w:tcPr>
            <w:tcW w:w="9440" w:type="dxa"/>
            <w:vAlign w:val="bottom"/>
            <w:gridSpan w:val="13"/>
          </w:tcPr>
          <w:p>
            <w:pPr>
              <w:spacing w:after="0"/>
              <w:rPr>
                <w:sz w:val="20"/>
                <w:szCs w:val="20"/>
                <w:color w:val="auto"/>
              </w:rPr>
            </w:pPr>
            <w:r>
              <w:rPr>
                <w:rFonts w:ascii="Times New Roman" w:cs="Times New Roman" w:eastAsia="Times New Roman" w:hAnsi="Times New Roman"/>
                <w:sz w:val="19"/>
                <w:szCs w:val="19"/>
                <w:color w:val="auto"/>
              </w:rPr>
              <w:t>Cover Page Interactive Data File (embedded within the Inline XBRL document).</w:t>
            </w:r>
          </w:p>
        </w:tc>
      </w:tr>
      <w:tr>
        <w:trPr>
          <w:trHeight w:val="1042"/>
        </w:trPr>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4" w:name="page5"/>
    <w:bookmarkEnd w:id="4"/>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SIGNATURE</w:t>
      </w:r>
    </w:p>
    <w:p>
      <w:pPr>
        <w:spacing w:after="0" w:line="248" w:lineRule="exact"/>
        <w:rPr>
          <w:sz w:val="20"/>
          <w:szCs w:val="20"/>
          <w:color w:val="auto"/>
        </w:rPr>
      </w:pPr>
    </w:p>
    <w:p>
      <w:pPr>
        <w:ind w:right="160" w:firstLine="694"/>
        <w:spacing w:after="0" w:line="267"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9"/>
          <w:szCs w:val="19"/>
          <w:color w:val="auto"/>
        </w:rPr>
        <w:t>AMERICAN TOWER CORPORATION</w:t>
      </w:r>
    </w:p>
    <w:p>
      <w:pPr>
        <w:spacing w:after="0" w:line="26"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9"/>
          <w:szCs w:val="19"/>
          <w:color w:val="auto"/>
        </w:rPr>
        <w:t>(Registrant)</w:t>
      </w:r>
    </w:p>
    <w:p>
      <w:pPr>
        <w:spacing w:after="0" w:line="200" w:lineRule="exact"/>
        <w:rPr>
          <w:sz w:val="20"/>
          <w:szCs w:val="20"/>
          <w:color w:val="auto"/>
        </w:rPr>
      </w:pPr>
    </w:p>
    <w:p>
      <w:pPr>
        <w:spacing w:after="0" w:line="237" w:lineRule="exact"/>
        <w:rPr>
          <w:sz w:val="20"/>
          <w:szCs w:val="20"/>
          <w:color w:val="auto"/>
        </w:rPr>
      </w:pPr>
    </w:p>
    <w:p>
      <w:pPr>
        <w:ind w:left="720"/>
        <w:spacing w:after="0"/>
        <w:tabs>
          <w:tab w:leader="none" w:pos="1620" w:val="left"/>
          <w:tab w:leader="none" w:pos="6740" w:val="left"/>
          <w:tab w:leader="none" w:pos="8860" w:val="left"/>
        </w:tabs>
        <w:rPr>
          <w:sz w:val="20"/>
          <w:szCs w:val="20"/>
          <w:color w:val="auto"/>
        </w:rPr>
      </w:pPr>
      <w:r>
        <w:rPr>
          <w:rFonts w:ascii="Times New Roman" w:cs="Times New Roman" w:eastAsia="Times New Roman" w:hAnsi="Times New Roman"/>
          <w:sz w:val="19"/>
          <w:szCs w:val="19"/>
          <w:color w:val="auto"/>
        </w:rPr>
        <w:t>Date:</w:t>
      </w:r>
      <w:r>
        <w:rPr>
          <w:sz w:val="20"/>
          <w:szCs w:val="20"/>
          <w:color w:val="auto"/>
        </w:rPr>
        <w:tab/>
      </w:r>
      <w:r>
        <w:rPr>
          <w:rFonts w:ascii="Times New Roman" w:cs="Times New Roman" w:eastAsia="Times New Roman" w:hAnsi="Times New Roman"/>
          <w:sz w:val="19"/>
          <w:szCs w:val="19"/>
          <w:color w:val="auto"/>
        </w:rPr>
        <w:t>May 21, 2026</w:t>
      </w:r>
      <w:r>
        <w:rPr>
          <w:sz w:val="20"/>
          <w:szCs w:val="20"/>
          <w:color w:val="auto"/>
        </w:rPr>
        <w:tab/>
      </w: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8"/>
          <w:szCs w:val="18"/>
          <w:color w:val="auto"/>
        </w:rPr>
        <w:t>/s/ Rodney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4709160</wp:posOffset>
            </wp:positionH>
            <wp:positionV relativeFrom="paragraph">
              <wp:posOffset>21590</wp:posOffset>
            </wp:positionV>
            <wp:extent cx="24917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1740" cy="8255"/>
                    </a:xfrm>
                    <a:prstGeom prst="rect">
                      <a:avLst/>
                    </a:prstGeom>
                    <a:noFill/>
                  </pic:spPr>
                </pic:pic>
              </a:graphicData>
            </a:graphic>
          </wp:anchor>
        </w:drawing>
      </w:r>
    </w:p>
    <w:p>
      <w:pPr>
        <w:spacing w:after="0" w:line="18"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9"/>
          <w:szCs w:val="19"/>
          <w:color w:val="auto"/>
        </w:rPr>
        <w:t>Rodney M. Smith</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Executive Vice President, Chief Financial Officer</w:t>
      </w:r>
    </w:p>
    <w:p>
      <w:pPr>
        <w:ind w:left="9300"/>
        <w:spacing w:after="0"/>
        <w:rPr>
          <w:sz w:val="20"/>
          <w:szCs w:val="20"/>
          <w:color w:val="auto"/>
        </w:rPr>
      </w:pPr>
      <w:r>
        <w:rPr>
          <w:rFonts w:ascii="Times New Roman" w:cs="Times New Roman" w:eastAsia="Times New Roman" w:hAnsi="Times New Roman"/>
          <w:sz w:val="19"/>
          <w:szCs w:val="19"/>
          <w:color w:val="auto"/>
        </w:rPr>
        <w:t>Treasurer</w:t>
      </w:r>
    </w:p>
    <w:p>
      <w:pPr>
        <w:sectPr>
          <w:pgSz w:w="11900" w:h="16838" w:orient="portrait"/>
          <w:cols w:equalWidth="0" w:num="1">
            <w:col w:w="11340"/>
          </w:cols>
          <w:pgMar w:left="320" w:top="731" w:right="2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AMERICAN TOWER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2026 EQUITY INCENTIVE PLAN</w:t>
      </w:r>
    </w:p>
    <w:p>
      <w:pPr>
        <w:spacing w:after="0" w:line="182" w:lineRule="exact"/>
        <w:rPr>
          <w:sz w:val="20"/>
          <w:szCs w:val="20"/>
          <w:color w:val="auto"/>
        </w:rPr>
      </w:pPr>
    </w:p>
    <w:p>
      <w:pPr>
        <w:jc w:val="both"/>
        <w:ind w:firstLine="620"/>
        <w:spacing w:after="0" w:line="251" w:lineRule="auto"/>
        <w:tabs>
          <w:tab w:leader="none" w:pos="1233" w:val="left"/>
        </w:tabs>
        <w:numPr>
          <w:ilvl w:val="0"/>
          <w:numId w:val="3"/>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Purpose</w:t>
      </w:r>
      <w:r>
        <w:rPr>
          <w:rFonts w:ascii="Times New Roman" w:cs="Times New Roman" w:eastAsia="Times New Roman" w:hAnsi="Times New Roman"/>
          <w:sz w:val="21"/>
          <w:szCs w:val="21"/>
          <w:color w:val="auto"/>
        </w:rPr>
        <w:t>. The purpose of the American Tower Corporation 2026 Equity Incentive Plan is to provide a means through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which the Company and the other members of the Company Group may attract and retain key personnel and to provide a means whereby directors, officers, employees, consultants and advisors of the Company and the other members of the Company Group can acquire and maintain an equity interest in the Company, or be paid incentive compensation measured by reference to the value of Common Stock, thereby strengthening their commitment to the welfare of the Company Group and aligning their interests with those of the Company’s stockholders.</w:t>
      </w:r>
    </w:p>
    <w:p>
      <w:pPr>
        <w:spacing w:after="0" w:line="180" w:lineRule="exact"/>
        <w:rPr>
          <w:rFonts w:ascii="Times New Roman" w:cs="Times New Roman" w:eastAsia="Times New Roman" w:hAnsi="Times New Roman"/>
          <w:sz w:val="21"/>
          <w:szCs w:val="21"/>
          <w:b w:val="1"/>
          <w:bCs w:val="1"/>
          <w:color w:val="010000"/>
        </w:rPr>
      </w:pPr>
    </w:p>
    <w:p>
      <w:pPr>
        <w:ind w:left="1240" w:hanging="620"/>
        <w:spacing w:after="0"/>
        <w:tabs>
          <w:tab w:leader="none" w:pos="1240" w:val="left"/>
        </w:tabs>
        <w:numPr>
          <w:ilvl w:val="0"/>
          <w:numId w:val="3"/>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Definitions</w:t>
      </w:r>
      <w:r>
        <w:rPr>
          <w:rFonts w:ascii="Times New Roman" w:cs="Times New Roman" w:eastAsia="Times New Roman" w:hAnsi="Times New Roman"/>
          <w:sz w:val="21"/>
          <w:szCs w:val="21"/>
          <w:color w:val="auto"/>
        </w:rPr>
        <w:t>. The following definitions shall be applicable throughout the Plan.</w:t>
      </w:r>
    </w:p>
    <w:p>
      <w:pPr>
        <w:spacing w:after="0" w:line="212" w:lineRule="exact"/>
        <w:rPr>
          <w:sz w:val="20"/>
          <w:szCs w:val="20"/>
          <w:color w:val="auto"/>
        </w:rPr>
      </w:pPr>
    </w:p>
    <w:p>
      <w:pPr>
        <w:ind w:left="1240" w:hanging="620"/>
        <w:spacing w:after="0"/>
        <w:tabs>
          <w:tab w:leader="none" w:pos="1240" w:val="left"/>
        </w:tabs>
        <w:numPr>
          <w:ilvl w:val="0"/>
          <w:numId w:val="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Adjustment Event</w:t>
      </w:r>
      <w:r>
        <w:rPr>
          <w:rFonts w:ascii="Times New Roman" w:cs="Times New Roman" w:eastAsia="Times New Roman" w:hAnsi="Times New Roman"/>
          <w:sz w:val="21"/>
          <w:szCs w:val="21"/>
          <w:color w:val="auto"/>
        </w:rPr>
        <w:t>” has the meaning given to such term in Section 10(a)(i) of the Plan.</w:t>
      </w:r>
    </w:p>
    <w:p>
      <w:pPr>
        <w:spacing w:after="0" w:line="208" w:lineRule="exact"/>
        <w:rPr>
          <w:rFonts w:ascii="Times New Roman" w:cs="Times New Roman" w:eastAsia="Times New Roman" w:hAnsi="Times New Roman"/>
          <w:sz w:val="21"/>
          <w:szCs w:val="21"/>
          <w:color w:val="010000"/>
        </w:rPr>
      </w:pPr>
    </w:p>
    <w:p>
      <w:pPr>
        <w:jc w:val="both"/>
        <w:ind w:firstLine="620"/>
        <w:spacing w:after="0" w:line="251" w:lineRule="auto"/>
        <w:tabs>
          <w:tab w:leader="none" w:pos="1229" w:val="left"/>
        </w:tabs>
        <w:numPr>
          <w:ilvl w:val="0"/>
          <w:numId w:val="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any Person that directly or indirectly controls, is controlled by or is under common control with the Company. The term “control” (including, with correlative meaning, the terms “controlled by” and “under common control with”), as applied to any Person, means the possession, directly or indirectly, of the power to direct or cause the direction of the management and policies of such Person, whether through the ownership of voting or other securities, by contract or otherwise.</w:t>
      </w:r>
    </w:p>
    <w:p>
      <w:pPr>
        <w:spacing w:after="0" w:line="184" w:lineRule="exact"/>
        <w:rPr>
          <w:rFonts w:ascii="Times New Roman" w:cs="Times New Roman" w:eastAsia="Times New Roman" w:hAnsi="Times New Roman"/>
          <w:sz w:val="21"/>
          <w:szCs w:val="21"/>
          <w:color w:val="010000"/>
        </w:rPr>
      </w:pPr>
    </w:p>
    <w:p>
      <w:pPr>
        <w:jc w:val="both"/>
        <w:ind w:firstLine="620"/>
        <w:spacing w:after="0" w:line="249" w:lineRule="auto"/>
        <w:tabs>
          <w:tab w:leader="none" w:pos="1230" w:val="left"/>
        </w:tabs>
        <w:numPr>
          <w:ilvl w:val="0"/>
          <w:numId w:val="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Law</w:t>
      </w:r>
      <w:r>
        <w:rPr>
          <w:rFonts w:ascii="Times New Roman" w:cs="Times New Roman" w:eastAsia="Times New Roman" w:hAnsi="Times New Roman"/>
          <w:sz w:val="21"/>
          <w:szCs w:val="21"/>
          <w:color w:val="auto"/>
        </w:rPr>
        <w:t>” means each applicable law, rule, regulation and requirement, including, but not limited to, each applicable U.S. federal, state or local law, any rule or regulation of the applicable securities exchange or inter-dealer quotation system on which the securities of the Company may be listed or quoted and each applicable law, rule or regulation of any other country or jurisdiction where Awards are granted under the Plan or Participants reside or provide services, as each such law, rule and regulation shall be in effect from time to time.</w:t>
      </w:r>
    </w:p>
    <w:p>
      <w:pPr>
        <w:spacing w:after="0" w:line="186" w:lineRule="exact"/>
        <w:rPr>
          <w:rFonts w:ascii="Times New Roman" w:cs="Times New Roman" w:eastAsia="Times New Roman" w:hAnsi="Times New Roman"/>
          <w:sz w:val="21"/>
          <w:szCs w:val="21"/>
          <w:color w:val="010000"/>
        </w:rPr>
      </w:pPr>
    </w:p>
    <w:p>
      <w:pPr>
        <w:ind w:firstLine="620"/>
        <w:spacing w:after="0" w:line="268" w:lineRule="auto"/>
        <w:tabs>
          <w:tab w:leader="none" w:pos="1229" w:val="left"/>
        </w:tabs>
        <w:numPr>
          <w:ilvl w:val="0"/>
          <w:numId w:val="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means, individually or collectively, any Incentive Stock Option, Nonqualified Stock Option, Restricted Stock, Restricted Stock Unit, Other Equity-Based Award and Cash Award granted under the Plan.</w:t>
      </w:r>
    </w:p>
    <w:p>
      <w:pPr>
        <w:spacing w:after="0" w:line="154" w:lineRule="exact"/>
        <w:rPr>
          <w:rFonts w:ascii="Times New Roman" w:cs="Times New Roman" w:eastAsia="Times New Roman" w:hAnsi="Times New Roman"/>
          <w:sz w:val="21"/>
          <w:szCs w:val="21"/>
          <w:color w:val="010000"/>
        </w:rPr>
      </w:pPr>
    </w:p>
    <w:p>
      <w:pPr>
        <w:ind w:firstLine="620"/>
        <w:spacing w:after="0" w:line="268" w:lineRule="auto"/>
        <w:tabs>
          <w:tab w:leader="none" w:pos="1230" w:val="left"/>
        </w:tabs>
        <w:numPr>
          <w:ilvl w:val="0"/>
          <w:numId w:val="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Award Agreement</w:t>
      </w:r>
      <w:r>
        <w:rPr>
          <w:rFonts w:ascii="Times New Roman" w:cs="Times New Roman" w:eastAsia="Times New Roman" w:hAnsi="Times New Roman"/>
          <w:sz w:val="21"/>
          <w:szCs w:val="21"/>
          <w:color w:val="auto"/>
        </w:rPr>
        <w:t>” means the document or documents by which each Award is evidenced, which may be in written or electronic form.</w:t>
      </w:r>
    </w:p>
    <w:p>
      <w:pPr>
        <w:spacing w:after="0" w:line="154" w:lineRule="exact"/>
        <w:rPr>
          <w:rFonts w:ascii="Times New Roman" w:cs="Times New Roman" w:eastAsia="Times New Roman" w:hAnsi="Times New Roman"/>
          <w:sz w:val="21"/>
          <w:szCs w:val="21"/>
          <w:color w:val="010000"/>
        </w:rPr>
      </w:pPr>
    </w:p>
    <w:p>
      <w:pPr>
        <w:ind w:left="1240" w:hanging="620"/>
        <w:spacing w:after="0"/>
        <w:tabs>
          <w:tab w:leader="none" w:pos="1240" w:val="left"/>
        </w:tabs>
        <w:numPr>
          <w:ilvl w:val="0"/>
          <w:numId w:val="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Board of Directors of the Company.</w:t>
      </w:r>
    </w:p>
    <w:p>
      <w:pPr>
        <w:spacing w:after="0" w:line="221" w:lineRule="exact"/>
        <w:rPr>
          <w:rFonts w:ascii="Times New Roman" w:cs="Times New Roman" w:eastAsia="Times New Roman" w:hAnsi="Times New Roman"/>
          <w:sz w:val="21"/>
          <w:szCs w:val="21"/>
          <w:color w:val="010000"/>
        </w:rPr>
      </w:pPr>
    </w:p>
    <w:p>
      <w:pPr>
        <w:ind w:firstLine="620"/>
        <w:spacing w:after="0" w:line="268" w:lineRule="auto"/>
        <w:tabs>
          <w:tab w:leader="none" w:pos="1229" w:val="left"/>
        </w:tabs>
        <w:numPr>
          <w:ilvl w:val="0"/>
          <w:numId w:val="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Award</w:t>
      </w:r>
      <w:r>
        <w:rPr>
          <w:rFonts w:ascii="Times New Roman" w:cs="Times New Roman" w:eastAsia="Times New Roman" w:hAnsi="Times New Roman"/>
          <w:sz w:val="21"/>
          <w:szCs w:val="21"/>
          <w:color w:val="auto"/>
        </w:rPr>
        <w:t>” means an Award granted to an Eligible Person under Section 9 of the Plan and payable in cash at such time or times and subject to such terms and conditions as determined by the Committee in its sole discretion.</w:t>
      </w:r>
    </w:p>
    <w:p>
      <w:pPr>
        <w:spacing w:after="0" w:line="154" w:lineRule="exact"/>
        <w:rPr>
          <w:rFonts w:ascii="Times New Roman" w:cs="Times New Roman" w:eastAsia="Times New Roman" w:hAnsi="Times New Roman"/>
          <w:sz w:val="21"/>
          <w:szCs w:val="21"/>
          <w:color w:val="010000"/>
        </w:rPr>
      </w:pPr>
    </w:p>
    <w:p>
      <w:pPr>
        <w:ind w:left="1240" w:hanging="620"/>
        <w:spacing w:after="0"/>
        <w:tabs>
          <w:tab w:leader="none" w:pos="1240" w:val="left"/>
        </w:tabs>
        <w:numPr>
          <w:ilvl w:val="0"/>
          <w:numId w:val="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has the meaning given to such term in the applicable Award Agreement.</w:t>
      </w:r>
    </w:p>
    <w:p>
      <w:pPr>
        <w:sectPr>
          <w:pgSz w:w="11900" w:h="16838" w:orient="portrait"/>
          <w:cols w:equalWidth="0" w:num="1">
            <w:col w:w="11240"/>
          </w:cols>
          <w:pgMar w:left="320" w:top="119" w:right="339" w:bottom="1440" w:gutter="0" w:footer="0" w:header="0"/>
        </w:sectPr>
      </w:pPr>
    </w:p>
    <w:bookmarkStart w:id="6" w:name="page7"/>
    <w:bookmarkEnd w:id="6"/>
    <w:p>
      <w:pPr>
        <w:jc w:val="both"/>
        <w:ind w:firstLine="620"/>
        <w:spacing w:after="0" w:line="255" w:lineRule="auto"/>
        <w:tabs>
          <w:tab w:leader="none" w:pos="1222" w:val="left"/>
        </w:tabs>
        <w:numPr>
          <w:ilvl w:val="0"/>
          <w:numId w:val="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 a transaction designated by the Board prior to the date on which the Change in Control occurs as a Change in Control for purposes of the Plan that has the result that the majority ownership of the Company or its assets is thereafter held by persons not stockholders of the Company immediately prior to such transaction, such as a sale of stock, a merger or other reorganization, or a sale of all or substantially all of the assets of the Company.</w:t>
      </w:r>
    </w:p>
    <w:p>
      <w:pPr>
        <w:spacing w:after="0" w:line="168" w:lineRule="exact"/>
        <w:rPr>
          <w:rFonts w:ascii="Times New Roman" w:cs="Times New Roman" w:eastAsia="Times New Roman" w:hAnsi="Times New Roman"/>
          <w:sz w:val="21"/>
          <w:szCs w:val="21"/>
          <w:color w:val="010000"/>
        </w:rPr>
      </w:pPr>
    </w:p>
    <w:p>
      <w:pPr>
        <w:jc w:val="both"/>
        <w:ind w:firstLine="620"/>
        <w:spacing w:after="0" w:line="255" w:lineRule="auto"/>
        <w:tabs>
          <w:tab w:leader="none" w:pos="1222" w:val="left"/>
        </w:tabs>
        <w:numPr>
          <w:ilvl w:val="0"/>
          <w:numId w:val="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Internal Revenue Code of 1986, as amended, and any successor thereto. Reference in the Plan to any section of the Code shall be deemed to include any regulations or other interpretative guidance under such section, and any amendments or successor provisions to such section, regulations or guidance.</w:t>
      </w:r>
    </w:p>
    <w:p>
      <w:pPr>
        <w:spacing w:after="0" w:line="168" w:lineRule="exact"/>
        <w:rPr>
          <w:rFonts w:ascii="Times New Roman" w:cs="Times New Roman" w:eastAsia="Times New Roman" w:hAnsi="Times New Roman"/>
          <w:sz w:val="21"/>
          <w:szCs w:val="21"/>
          <w:color w:val="010000"/>
        </w:rPr>
      </w:pPr>
    </w:p>
    <w:p>
      <w:pPr>
        <w:ind w:firstLine="620"/>
        <w:spacing w:after="0" w:line="280" w:lineRule="auto"/>
        <w:tabs>
          <w:tab w:leader="none" w:pos="1229" w:val="left"/>
        </w:tabs>
        <w:numPr>
          <w:ilvl w:val="0"/>
          <w:numId w:val="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means the Compensation and Human Capital Committee of the Board or any properly delegated subcommittee thereof or, if no such Compensation and Human Capital Committee or subcommittee thereof exists, the Board.</w:t>
      </w:r>
    </w:p>
    <w:p>
      <w:pPr>
        <w:spacing w:after="0" w:line="143" w:lineRule="exact"/>
        <w:rPr>
          <w:rFonts w:ascii="Times New Roman" w:cs="Times New Roman" w:eastAsia="Times New Roman" w:hAnsi="Times New Roman"/>
          <w:sz w:val="21"/>
          <w:szCs w:val="21"/>
          <w:color w:val="010000"/>
        </w:rPr>
      </w:pPr>
    </w:p>
    <w:p>
      <w:pPr>
        <w:ind w:firstLine="620"/>
        <w:spacing w:after="0" w:line="268" w:lineRule="auto"/>
        <w:tabs>
          <w:tab w:leader="none" w:pos="1222" w:val="left"/>
        </w:tabs>
        <w:numPr>
          <w:ilvl w:val="0"/>
          <w:numId w:val="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means the common stock of the Company, par value $0.01 per share (and any stock or other securities into which such Common Stock may be converted or into which it may be exchanged).</w:t>
      </w:r>
    </w:p>
    <w:p>
      <w:pPr>
        <w:spacing w:after="0" w:line="154" w:lineRule="exact"/>
        <w:rPr>
          <w:rFonts w:ascii="Times New Roman" w:cs="Times New Roman" w:eastAsia="Times New Roman" w:hAnsi="Times New Roman"/>
          <w:sz w:val="21"/>
          <w:szCs w:val="21"/>
          <w:color w:val="010000"/>
        </w:rPr>
      </w:pPr>
    </w:p>
    <w:p>
      <w:pPr>
        <w:ind w:left="1220" w:hanging="600"/>
        <w:spacing w:after="0"/>
        <w:tabs>
          <w:tab w:leader="none" w:pos="1220" w:val="left"/>
        </w:tabs>
        <w:numPr>
          <w:ilvl w:val="0"/>
          <w:numId w:val="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means American Tower Corporation, a Delaware corporation, and any successor thereto.</w:t>
      </w:r>
    </w:p>
    <w:p>
      <w:pPr>
        <w:spacing w:after="0" w:line="208" w:lineRule="exact"/>
        <w:rPr>
          <w:rFonts w:ascii="Times New Roman" w:cs="Times New Roman" w:eastAsia="Times New Roman" w:hAnsi="Times New Roman"/>
          <w:sz w:val="21"/>
          <w:szCs w:val="21"/>
          <w:color w:val="010000"/>
        </w:rPr>
      </w:pPr>
    </w:p>
    <w:p>
      <w:pPr>
        <w:ind w:left="1240" w:hanging="620"/>
        <w:spacing w:after="0"/>
        <w:tabs>
          <w:tab w:leader="none" w:pos="1240" w:val="left"/>
        </w:tabs>
        <w:numPr>
          <w:ilvl w:val="0"/>
          <w:numId w:val="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Group</w:t>
      </w:r>
      <w:r>
        <w:rPr>
          <w:rFonts w:ascii="Times New Roman" w:cs="Times New Roman" w:eastAsia="Times New Roman" w:hAnsi="Times New Roman"/>
          <w:sz w:val="21"/>
          <w:szCs w:val="21"/>
          <w:color w:val="auto"/>
        </w:rPr>
        <w:t>” means, collectively, the Company and its Subsidiaries.</w:t>
      </w:r>
    </w:p>
    <w:p>
      <w:pPr>
        <w:spacing w:after="0" w:line="208" w:lineRule="exact"/>
        <w:rPr>
          <w:rFonts w:ascii="Times New Roman" w:cs="Times New Roman" w:eastAsia="Times New Roman" w:hAnsi="Times New Roman"/>
          <w:sz w:val="21"/>
          <w:szCs w:val="21"/>
          <w:color w:val="010000"/>
        </w:rPr>
      </w:pPr>
    </w:p>
    <w:p>
      <w:pPr>
        <w:ind w:firstLine="620"/>
        <w:spacing w:after="0" w:line="280" w:lineRule="auto"/>
        <w:tabs>
          <w:tab w:leader="none" w:pos="1229" w:val="left"/>
        </w:tabs>
        <w:numPr>
          <w:ilvl w:val="0"/>
          <w:numId w:val="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Date of Grant</w:t>
      </w:r>
      <w:r>
        <w:rPr>
          <w:rFonts w:ascii="Times New Roman" w:cs="Times New Roman" w:eastAsia="Times New Roman" w:hAnsi="Times New Roman"/>
          <w:sz w:val="21"/>
          <w:szCs w:val="21"/>
          <w:color w:val="auto"/>
        </w:rPr>
        <w:t>” means the date on which the granting of an Award is authorized, or such other date as may be specified in such authorization or by an individual delegated the authority to so specify.</w:t>
      </w:r>
    </w:p>
    <w:p>
      <w:pPr>
        <w:spacing w:after="0" w:line="143" w:lineRule="exact"/>
        <w:rPr>
          <w:rFonts w:ascii="Times New Roman" w:cs="Times New Roman" w:eastAsia="Times New Roman" w:hAnsi="Times New Roman"/>
          <w:sz w:val="21"/>
          <w:szCs w:val="21"/>
          <w:color w:val="010000"/>
        </w:rPr>
      </w:pPr>
    </w:p>
    <w:p>
      <w:pPr>
        <w:jc w:val="both"/>
        <w:ind w:firstLine="620"/>
        <w:spacing w:after="0" w:line="247" w:lineRule="auto"/>
        <w:tabs>
          <w:tab w:leader="none" w:pos="1229" w:val="left"/>
        </w:tabs>
        <w:numPr>
          <w:ilvl w:val="0"/>
          <w:numId w:val="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means, as to any Participant, unless the applicable Award Agreement states otherwise, (i) “Disability,” as defined in any employment, severance, consulting or other similar agreement between the Participant and the Company in effect at the time of Termination; or (ii) in the absence of any such employment, severance, consulting or other similar agreement (or the absence of any definition of “Disability” contained therein), a condition entitling the Participant to receive benefits under a long-term disability plan of the Company or other member of the Company Group in which such Participant is eligible to participate, or, in the absence of such a plan, the complete and permanent inability of the Participant by reason of illness or accident to perform the duties of the position at which the Participant was employed or served when such disability commenced. Any determination of whether Disability exists in the absence of a long-term disability plan shall be made by the Company (or its designee) in its sole and absolute discretion. Notwithstanding the foregoing, however, in the case of any Award that is subject to Section 409A of the Code and is payable upon a Participant’s Disability, the Participant shall be treated as having a Disability only if the Participant’s condition also satisfies the definition of “disability” in Treas. Reg. § 1.409A-3(i)(4).</w:t>
      </w:r>
    </w:p>
    <w:p>
      <w:pPr>
        <w:spacing w:after="0" w:line="182" w:lineRule="exact"/>
        <w:rPr>
          <w:rFonts w:ascii="Times New Roman" w:cs="Times New Roman" w:eastAsia="Times New Roman" w:hAnsi="Times New Roman"/>
          <w:sz w:val="21"/>
          <w:szCs w:val="21"/>
          <w:color w:val="010000"/>
        </w:rPr>
      </w:pPr>
    </w:p>
    <w:p>
      <w:pPr>
        <w:ind w:firstLine="620"/>
        <w:spacing w:after="0" w:line="268" w:lineRule="auto"/>
        <w:tabs>
          <w:tab w:leader="none" w:pos="1229" w:val="left"/>
        </w:tabs>
        <w:numPr>
          <w:ilvl w:val="0"/>
          <w:numId w:val="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Disaffiliation</w:t>
      </w:r>
      <w:r>
        <w:rPr>
          <w:rFonts w:ascii="Times New Roman" w:cs="Times New Roman" w:eastAsia="Times New Roman" w:hAnsi="Times New Roman"/>
          <w:sz w:val="21"/>
          <w:szCs w:val="21"/>
          <w:color w:val="auto"/>
        </w:rPr>
        <w:t>” means a Subsidiary’s or an Affiliate’s ceasing to be a Subsidiary or Affiliate for any reason (including as a result of a public offering, or a spinoff or sale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6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1"/>
          <w:szCs w:val="21"/>
          <w:color w:val="auto"/>
        </w:rPr>
        <w:t>Company Group, of the stock of the Subsidiary or Affiliate) or a sale of a division of the Company Group.</w:t>
      </w:r>
    </w:p>
    <w:p>
      <w:pPr>
        <w:spacing w:after="0" w:line="208" w:lineRule="exact"/>
        <w:rPr>
          <w:sz w:val="20"/>
          <w:szCs w:val="20"/>
          <w:color w:val="auto"/>
        </w:rPr>
      </w:pPr>
    </w:p>
    <w:p>
      <w:pPr>
        <w:ind w:left="1240" w:hanging="620"/>
        <w:spacing w:after="0"/>
        <w:tabs>
          <w:tab w:leader="none" w:pos="1240" w:val="left"/>
        </w:tabs>
        <w:numPr>
          <w:ilvl w:val="0"/>
          <w:numId w:val="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means May 20, 2026.</w:t>
      </w:r>
    </w:p>
    <w:p>
      <w:pPr>
        <w:spacing w:after="0" w:line="208" w:lineRule="exact"/>
        <w:rPr>
          <w:rFonts w:ascii="Times New Roman" w:cs="Times New Roman" w:eastAsia="Times New Roman" w:hAnsi="Times New Roman"/>
          <w:sz w:val="21"/>
          <w:szCs w:val="21"/>
          <w:color w:val="010000"/>
        </w:rPr>
      </w:pPr>
    </w:p>
    <w:p>
      <w:pPr>
        <w:jc w:val="both"/>
        <w:ind w:firstLine="620"/>
        <w:spacing w:after="0" w:line="255" w:lineRule="auto"/>
        <w:tabs>
          <w:tab w:leader="none" w:pos="1232" w:val="left"/>
        </w:tabs>
        <w:numPr>
          <w:ilvl w:val="0"/>
          <w:numId w:val="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Person</w:t>
      </w:r>
      <w:r>
        <w:rPr>
          <w:rFonts w:ascii="Times New Roman" w:cs="Times New Roman" w:eastAsia="Times New Roman" w:hAnsi="Times New Roman"/>
          <w:sz w:val="21"/>
          <w:szCs w:val="21"/>
          <w:color w:val="auto"/>
        </w:rPr>
        <w:t>” means: any (i) individual employed by any member of the Company Group; (ii) director of any member of the Company Group; or (iii) consultant or advisor to any member of the Company Group, or any other Person, in each case, who may be offered securities registrable pursuant to a registration statement on Form S-8 under the Securities Act (or, for consultants or advisors outside of the U.S., can be offered securities consistent with Applicable Law).</w:t>
      </w:r>
    </w:p>
    <w:p>
      <w:pPr>
        <w:spacing w:after="0" w:line="168" w:lineRule="exact"/>
        <w:rPr>
          <w:rFonts w:ascii="Times New Roman" w:cs="Times New Roman" w:eastAsia="Times New Roman" w:hAnsi="Times New Roman"/>
          <w:sz w:val="21"/>
          <w:szCs w:val="21"/>
          <w:color w:val="010000"/>
        </w:rPr>
      </w:pPr>
    </w:p>
    <w:p>
      <w:pPr>
        <w:jc w:val="both"/>
        <w:ind w:firstLine="620"/>
        <w:spacing w:after="0" w:line="255" w:lineRule="auto"/>
        <w:tabs>
          <w:tab w:leader="none" w:pos="1222" w:val="left"/>
        </w:tabs>
        <w:numPr>
          <w:ilvl w:val="0"/>
          <w:numId w:val="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means the Securities Exchange Act of 1934, as amended, and any successor thereto. Reference in the Plan to any section of (or rule promulgated under) the Exchange Act shall be deemed to include any rules, regulations or other interpretative guidance under such section or rule, and any amendments or successor provisions to such section, rules, regulations or guidance.</w:t>
      </w:r>
    </w:p>
    <w:p>
      <w:pPr>
        <w:spacing w:after="0" w:line="168" w:lineRule="exact"/>
        <w:rPr>
          <w:rFonts w:ascii="Times New Roman" w:cs="Times New Roman" w:eastAsia="Times New Roman" w:hAnsi="Times New Roman"/>
          <w:sz w:val="21"/>
          <w:szCs w:val="21"/>
          <w:color w:val="010000"/>
        </w:rPr>
      </w:pPr>
    </w:p>
    <w:p>
      <w:pPr>
        <w:ind w:left="1240" w:hanging="620"/>
        <w:spacing w:after="0"/>
        <w:tabs>
          <w:tab w:leader="none" w:pos="1240" w:val="left"/>
        </w:tabs>
        <w:numPr>
          <w:ilvl w:val="0"/>
          <w:numId w:val="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Exercise Price</w:t>
      </w:r>
      <w:r>
        <w:rPr>
          <w:rFonts w:ascii="Times New Roman" w:cs="Times New Roman" w:eastAsia="Times New Roman" w:hAnsi="Times New Roman"/>
          <w:sz w:val="21"/>
          <w:szCs w:val="21"/>
          <w:color w:val="auto"/>
        </w:rPr>
        <w:t>” has the meaning given to such term in Section 7(b) of the Plan.</w:t>
      </w:r>
    </w:p>
    <w:p>
      <w:pPr>
        <w:spacing w:after="0" w:line="208" w:lineRule="exact"/>
        <w:rPr>
          <w:rFonts w:ascii="Times New Roman" w:cs="Times New Roman" w:eastAsia="Times New Roman" w:hAnsi="Times New Roman"/>
          <w:sz w:val="21"/>
          <w:szCs w:val="21"/>
          <w:color w:val="010000"/>
        </w:rPr>
      </w:pPr>
    </w:p>
    <w:p>
      <w:pPr>
        <w:jc w:val="both"/>
        <w:ind w:firstLine="620"/>
        <w:spacing w:after="0" w:line="255" w:lineRule="auto"/>
        <w:tabs>
          <w:tab w:leader="none" w:pos="1229" w:val="left"/>
        </w:tabs>
        <w:numPr>
          <w:ilvl w:val="0"/>
          <w:numId w:val="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Fair Market Value</w:t>
      </w:r>
      <w:r>
        <w:rPr>
          <w:rFonts w:ascii="Times New Roman" w:cs="Times New Roman" w:eastAsia="Times New Roman" w:hAnsi="Times New Roman"/>
          <w:sz w:val="21"/>
          <w:szCs w:val="21"/>
          <w:color w:val="auto"/>
        </w:rPr>
        <w:t>” means, as of any date, the fair market value of a share of Common Stock, as reasonably determined by the Company and consistently applied for purposes of the Plan, which may include, without limitation, the closing sales price on the trading day immediately prior to or on such date, or a trailing average of previous closing prices prior to such date.</w:t>
      </w:r>
    </w:p>
    <w:p>
      <w:pPr>
        <w:spacing w:after="0" w:line="181" w:lineRule="exact"/>
        <w:rPr>
          <w:rFonts w:ascii="Times New Roman" w:cs="Times New Roman" w:eastAsia="Times New Roman" w:hAnsi="Times New Roman"/>
          <w:sz w:val="21"/>
          <w:szCs w:val="21"/>
          <w:color w:val="010000"/>
        </w:rPr>
      </w:pPr>
    </w:p>
    <w:p>
      <w:pPr>
        <w:ind w:left="1220" w:hanging="600"/>
        <w:spacing w:after="0"/>
        <w:tabs>
          <w:tab w:leader="none" w:pos="1220" w:val="left"/>
        </w:tabs>
        <w:numPr>
          <w:ilvl w:val="0"/>
          <w:numId w:val="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has the meaning given to such term in Section 7(d) of the Plan.</w:t>
      </w:r>
    </w:p>
    <w:p>
      <w:pPr>
        <w:spacing w:after="0" w:line="208" w:lineRule="exact"/>
        <w:rPr>
          <w:rFonts w:ascii="Times New Roman" w:cs="Times New Roman" w:eastAsia="Times New Roman" w:hAnsi="Times New Roman"/>
          <w:sz w:val="21"/>
          <w:szCs w:val="21"/>
          <w:color w:val="010000"/>
        </w:rPr>
      </w:pPr>
    </w:p>
    <w:p>
      <w:pPr>
        <w:jc w:val="both"/>
        <w:ind w:firstLine="620"/>
        <w:spacing w:after="0" w:line="247" w:lineRule="auto"/>
        <w:tabs>
          <w:tab w:leader="none" w:pos="1229" w:val="left"/>
        </w:tabs>
        <w:numPr>
          <w:ilvl w:val="0"/>
          <w:numId w:val="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Grant Date Fair Market Value</w:t>
      </w:r>
      <w:r>
        <w:rPr>
          <w:rFonts w:ascii="Times New Roman" w:cs="Times New Roman" w:eastAsia="Times New Roman" w:hAnsi="Times New Roman"/>
          <w:sz w:val="21"/>
          <w:szCs w:val="21"/>
          <w:color w:val="auto"/>
        </w:rPr>
        <w:t>” means, as of a Date of Grant, (i) if the Common Stock is listed on a national securities exchange, the closing sales price of the Common Stock reported on the primary exchange on which the Common Stock is listed and traded on such date, or, if there are no such sales on that date, then on the last preceding date on which such sales were reported; (ii) if the Common Stock is not listed on any national securities exchange but is quoted in an inter-dealer quotation system on a last-sale basis, the average between the closing bid price and ask price reported on such date, or, if there is no such sale on that date, then on the last preceding date on which a sale was reported; or (iii) if the Common Stock is not listed on a national securities exchange or quoted in an inter-dealer quotation system on a last-sale basis, the amount determined by the Committee in good faith to be the fair market value of the Common Stock and, to the extent applicable, such determination shall be made in a manner that satisfies Section 409A and Section 422(c)(1) of the Code.</w:t>
      </w:r>
    </w:p>
    <w:p>
      <w:pPr>
        <w:spacing w:after="0" w:line="191" w:lineRule="exact"/>
        <w:rPr>
          <w:rFonts w:ascii="Times New Roman" w:cs="Times New Roman" w:eastAsia="Times New Roman" w:hAnsi="Times New Roman"/>
          <w:sz w:val="21"/>
          <w:szCs w:val="21"/>
          <w:color w:val="010000"/>
        </w:rPr>
      </w:pPr>
    </w:p>
    <w:p>
      <w:pPr>
        <w:ind w:firstLine="620"/>
        <w:spacing w:after="0" w:line="268" w:lineRule="auto"/>
        <w:tabs>
          <w:tab w:leader="none" w:pos="1229" w:val="left"/>
        </w:tabs>
        <w:numPr>
          <w:ilvl w:val="0"/>
          <w:numId w:val="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Incentive Stock Option</w:t>
      </w:r>
      <w:r>
        <w:rPr>
          <w:rFonts w:ascii="Times New Roman" w:cs="Times New Roman" w:eastAsia="Times New Roman" w:hAnsi="Times New Roman"/>
          <w:sz w:val="21"/>
          <w:szCs w:val="21"/>
          <w:color w:val="auto"/>
        </w:rPr>
        <w:t>” means an Option which is designated by the Committee as an incentive stock option as described in Section 422 of the Code and otherwise meets the requirements set forth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61" w:right="339" w:bottom="1440" w:gutter="0" w:footer="0" w:header="0"/>
        </w:sectPr>
      </w:pPr>
    </w:p>
    <w:bookmarkStart w:id="8" w:name="page9"/>
    <w:bookmarkEnd w:id="8"/>
    <w:p>
      <w:pPr>
        <w:ind w:left="1240" w:hanging="620"/>
        <w:spacing w:after="0"/>
        <w:tabs>
          <w:tab w:leader="none" w:pos="1240" w:val="left"/>
        </w:tabs>
        <w:numPr>
          <w:ilvl w:val="0"/>
          <w:numId w:val="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Indemnifiable Person</w:t>
      </w:r>
      <w:r>
        <w:rPr>
          <w:rFonts w:ascii="Times New Roman" w:cs="Times New Roman" w:eastAsia="Times New Roman" w:hAnsi="Times New Roman"/>
          <w:sz w:val="21"/>
          <w:szCs w:val="21"/>
          <w:color w:val="auto"/>
        </w:rPr>
        <w:t>” has the meaning given to such term in Section 4(e) of the Plan.</w:t>
      </w:r>
    </w:p>
    <w:p>
      <w:pPr>
        <w:spacing w:after="0" w:line="208" w:lineRule="exact"/>
        <w:rPr>
          <w:sz w:val="20"/>
          <w:szCs w:val="20"/>
          <w:color w:val="auto"/>
        </w:rPr>
      </w:pPr>
    </w:p>
    <w:p>
      <w:pPr>
        <w:ind w:left="1140" w:hanging="520"/>
        <w:spacing w:after="0"/>
        <w:tabs>
          <w:tab w:leader="none" w:pos="11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Non-Employee Director</w:t>
      </w:r>
      <w:r>
        <w:rPr>
          <w:rFonts w:ascii="Times New Roman" w:cs="Times New Roman" w:eastAsia="Times New Roman" w:hAnsi="Times New Roman"/>
          <w:sz w:val="20"/>
          <w:szCs w:val="20"/>
          <w:color w:val="auto"/>
        </w:rPr>
        <w:t>” means a member of the Board who is not an employee of any member of the Company Group.</w:t>
      </w:r>
    </w:p>
    <w:p>
      <w:pPr>
        <w:spacing w:after="0" w:line="219" w:lineRule="exact"/>
        <w:rPr>
          <w:rFonts w:ascii="Times New Roman" w:cs="Times New Roman" w:eastAsia="Times New Roman" w:hAnsi="Times New Roman"/>
          <w:sz w:val="20"/>
          <w:szCs w:val="20"/>
          <w:color w:val="auto"/>
        </w:rPr>
      </w:pPr>
    </w:p>
    <w:p>
      <w:pPr>
        <w:ind w:left="1160" w:hanging="540"/>
        <w:spacing w:after="0"/>
        <w:tabs>
          <w:tab w:leader="none" w:pos="116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Nonqualified Stock Option</w:t>
      </w:r>
      <w:r>
        <w:rPr>
          <w:rFonts w:ascii="Times New Roman" w:cs="Times New Roman" w:eastAsia="Times New Roman" w:hAnsi="Times New Roman"/>
          <w:sz w:val="21"/>
          <w:szCs w:val="21"/>
          <w:color w:val="auto"/>
        </w:rPr>
        <w:t>” means an Option which is not designated by the Committee as an Incentive Stock Option.</w:t>
      </w:r>
    </w:p>
    <w:p>
      <w:pPr>
        <w:spacing w:after="0" w:line="195" w:lineRule="exact"/>
        <w:rPr>
          <w:rFonts w:ascii="Times New Roman" w:cs="Times New Roman" w:eastAsia="Times New Roman" w:hAnsi="Times New Roman"/>
          <w:sz w:val="21"/>
          <w:szCs w:val="21"/>
          <w:color w:val="auto"/>
        </w:rPr>
      </w:pPr>
    </w:p>
    <w:p>
      <w:pPr>
        <w:ind w:left="1140" w:hanging="520"/>
        <w:spacing w:after="0"/>
        <w:tabs>
          <w:tab w:leader="none" w:pos="114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Option</w:t>
      </w:r>
      <w:r>
        <w:rPr>
          <w:rFonts w:ascii="Times New Roman" w:cs="Times New Roman" w:eastAsia="Times New Roman" w:hAnsi="Times New Roman"/>
          <w:sz w:val="21"/>
          <w:szCs w:val="21"/>
          <w:color w:val="auto"/>
        </w:rPr>
        <w:t>” means an Award granted under Section 7 of the Plan.</w:t>
      </w:r>
    </w:p>
    <w:p>
      <w:pPr>
        <w:spacing w:after="0" w:line="195" w:lineRule="exact"/>
        <w:rPr>
          <w:rFonts w:ascii="Times New Roman" w:cs="Times New Roman" w:eastAsia="Times New Roman" w:hAnsi="Times New Roman"/>
          <w:sz w:val="21"/>
          <w:szCs w:val="21"/>
          <w:color w:val="auto"/>
        </w:rPr>
      </w:pPr>
    </w:p>
    <w:p>
      <w:pPr>
        <w:ind w:left="1160" w:hanging="540"/>
        <w:spacing w:after="0"/>
        <w:tabs>
          <w:tab w:leader="none" w:pos="116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Option Period</w:t>
      </w:r>
      <w:r>
        <w:rPr>
          <w:rFonts w:ascii="Times New Roman" w:cs="Times New Roman" w:eastAsia="Times New Roman" w:hAnsi="Times New Roman"/>
          <w:sz w:val="21"/>
          <w:szCs w:val="21"/>
          <w:color w:val="auto"/>
        </w:rPr>
        <w:t>” has the meaning given to such term in Section 7(c)(ii) of the Plan.</w:t>
      </w:r>
    </w:p>
    <w:p>
      <w:pPr>
        <w:spacing w:after="0" w:line="221" w:lineRule="exact"/>
        <w:rPr>
          <w:rFonts w:ascii="Times New Roman" w:cs="Times New Roman" w:eastAsia="Times New Roman" w:hAnsi="Times New Roman"/>
          <w:sz w:val="21"/>
          <w:szCs w:val="21"/>
          <w:color w:val="auto"/>
        </w:rPr>
      </w:pPr>
    </w:p>
    <w:p>
      <w:pPr>
        <w:jc w:val="both"/>
        <w:ind w:firstLine="620"/>
        <w:spacing w:after="0" w:line="255" w:lineRule="auto"/>
        <w:tabs>
          <w:tab w:leader="none" w:pos="1219"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Equity-Based Award</w:t>
      </w:r>
      <w:r>
        <w:rPr>
          <w:rFonts w:ascii="Times New Roman" w:cs="Times New Roman" w:eastAsia="Times New Roman" w:hAnsi="Times New Roman"/>
          <w:sz w:val="21"/>
          <w:szCs w:val="21"/>
          <w:color w:val="auto"/>
        </w:rPr>
        <w:t>” means an Award that is not an Option, Restricted Stock or Restricted Stock Unit, that is granted under Section 9 of the Plan and is (i) payable by delivery of Common Stock and/or (ii) measured by reference to the value of Common Stock.</w:t>
      </w:r>
    </w:p>
    <w:p>
      <w:pPr>
        <w:spacing w:after="0" w:line="168" w:lineRule="exact"/>
        <w:rPr>
          <w:rFonts w:ascii="Times New Roman" w:cs="Times New Roman" w:eastAsia="Times New Roman" w:hAnsi="Times New Roman"/>
          <w:sz w:val="21"/>
          <w:szCs w:val="21"/>
          <w:color w:val="auto"/>
        </w:rPr>
      </w:pPr>
    </w:p>
    <w:p>
      <w:pPr>
        <w:ind w:firstLine="620"/>
        <w:spacing w:after="0" w:line="268" w:lineRule="auto"/>
        <w:tabs>
          <w:tab w:leader="none" w:pos="111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means an Eligible Person who has been selected by the Committee to participate in the Plan and granted an Award pursuant to the Plan.</w:t>
      </w:r>
    </w:p>
    <w:p>
      <w:pPr>
        <w:spacing w:after="0" w:line="167" w:lineRule="exact"/>
        <w:rPr>
          <w:rFonts w:ascii="Times New Roman" w:cs="Times New Roman" w:eastAsia="Times New Roman" w:hAnsi="Times New Roman"/>
          <w:sz w:val="21"/>
          <w:szCs w:val="21"/>
          <w:color w:val="auto"/>
        </w:rPr>
      </w:pPr>
    </w:p>
    <w:p>
      <w:pPr>
        <w:jc w:val="both"/>
        <w:ind w:firstLine="620"/>
        <w:spacing w:after="0" w:line="260" w:lineRule="auto"/>
        <w:tabs>
          <w:tab w:leader="none" w:pos="1332"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Conditions</w:t>
      </w:r>
      <w:r>
        <w:rPr>
          <w:rFonts w:ascii="Times New Roman" w:cs="Times New Roman" w:eastAsia="Times New Roman" w:hAnsi="Times New Roman"/>
          <w:sz w:val="20"/>
          <w:szCs w:val="20"/>
          <w:color w:val="auto"/>
        </w:rPr>
        <w:t>” means one or more performance goals based on one or more of the following criteria established by the Committee as contingencies for Awards to vest and/or become exercisable or distributable: revenue; revenue growth; sales; expenses; margins; adjusted funds from operations, net income; earnings or earnings per share; cash flow; stockholder return; return on investment; return on invested capital, assets, or equity; profit before or after tax; operating profit; return on research and development investment; market capitalization; quality improvements; market share; cycle time reductions; customer satisfaction measures; strategic positioning or marketing programs; business/information systems improvements; expense management; infrastructure support programs; human resource programs; customer programs; technology development programs; or any combination of any of the foregoing or any other criteria established by the Committee, and may be particular to a Participant or may be based, in whole or in part, on the performance of the division, department, line of business, subsidiary, or other business unit, whether or not legally constituted, in which the Participant works or on the performance of the Company or Company Group generally. Any of the above performance criteria may be compared to the performance of a selected group of comparison companies, or a published or special index that the Committee, in its sole discretion, deems appropriate, or as compared to various stock market indices.</w:t>
      </w:r>
    </w:p>
    <w:p>
      <w:pPr>
        <w:spacing w:after="0" w:line="171" w:lineRule="exact"/>
        <w:rPr>
          <w:rFonts w:ascii="Times New Roman" w:cs="Times New Roman" w:eastAsia="Times New Roman" w:hAnsi="Times New Roman"/>
          <w:sz w:val="20"/>
          <w:szCs w:val="20"/>
          <w:color w:val="auto"/>
        </w:rPr>
      </w:pPr>
    </w:p>
    <w:p>
      <w:pPr>
        <w:ind w:left="1160" w:hanging="540"/>
        <w:spacing w:after="0"/>
        <w:tabs>
          <w:tab w:leader="none" w:pos="116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Transferee</w:t>
      </w:r>
      <w:r>
        <w:rPr>
          <w:rFonts w:ascii="Times New Roman" w:cs="Times New Roman" w:eastAsia="Times New Roman" w:hAnsi="Times New Roman"/>
          <w:sz w:val="21"/>
          <w:szCs w:val="21"/>
          <w:color w:val="auto"/>
        </w:rPr>
        <w:t>” has the meaning given to such term in Section 12(b)(ii) of the Plan.</w:t>
      </w:r>
    </w:p>
    <w:p>
      <w:pPr>
        <w:spacing w:after="0" w:line="208" w:lineRule="exact"/>
        <w:rPr>
          <w:rFonts w:ascii="Times New Roman" w:cs="Times New Roman" w:eastAsia="Times New Roman" w:hAnsi="Times New Roman"/>
          <w:sz w:val="21"/>
          <w:szCs w:val="21"/>
          <w:color w:val="auto"/>
        </w:rPr>
      </w:pPr>
    </w:p>
    <w:p>
      <w:pPr>
        <w:ind w:left="1080" w:hanging="460"/>
        <w:spacing w:after="0"/>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individual, entity or group (within the meaning of Section 13(d)(3) or 14(d)(2)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61" w:right="339" w:bottom="1440" w:gutter="0" w:footer="0" w:header="0"/>
        </w:sectPr>
      </w:pPr>
    </w:p>
    <w:bookmarkStart w:id="9" w:name="page10"/>
    <w:bookmarkEnd w:id="9"/>
    <w:p>
      <w:pPr>
        <w:ind w:left="1120" w:hanging="500"/>
        <w:spacing w:after="0"/>
        <w:tabs>
          <w:tab w:leader="none" w:pos="11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means this American Tower Corporation 2026 Equity Incentive Plan, as it may be amended and/or restated from</w:t>
      </w:r>
    </w:p>
    <w:p>
      <w:pPr>
        <w:spacing w:after="0" w:line="2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time to time.</w:t>
      </w:r>
    </w:p>
    <w:p>
      <w:pPr>
        <w:spacing w:after="0" w:line="186" w:lineRule="exact"/>
        <w:rPr>
          <w:rFonts w:ascii="Times New Roman" w:cs="Times New Roman" w:eastAsia="Times New Roman" w:hAnsi="Times New Roman"/>
          <w:sz w:val="21"/>
          <w:szCs w:val="21"/>
          <w:color w:val="auto"/>
        </w:rPr>
      </w:pPr>
    </w:p>
    <w:p>
      <w:pPr>
        <w:ind w:left="1160" w:hanging="540"/>
        <w:spacing w:after="0"/>
        <w:tabs>
          <w:tab w:leader="none" w:pos="116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 Share Reserve</w:t>
      </w:r>
      <w:r>
        <w:rPr>
          <w:rFonts w:ascii="Times New Roman" w:cs="Times New Roman" w:eastAsia="Times New Roman" w:hAnsi="Times New Roman"/>
          <w:sz w:val="21"/>
          <w:szCs w:val="21"/>
          <w:color w:val="auto"/>
        </w:rPr>
        <w:t>” has the meaning given to such term in Section 6(a) of the Plan.</w:t>
      </w:r>
    </w:p>
    <w:p>
      <w:pPr>
        <w:spacing w:after="0" w:line="221" w:lineRule="exact"/>
        <w:rPr>
          <w:rFonts w:ascii="Times New Roman" w:cs="Times New Roman" w:eastAsia="Times New Roman" w:hAnsi="Times New Roman"/>
          <w:sz w:val="21"/>
          <w:szCs w:val="21"/>
          <w:color w:val="auto"/>
        </w:rPr>
      </w:pPr>
    </w:p>
    <w:p>
      <w:pPr>
        <w:jc w:val="both"/>
        <w:ind w:firstLine="620"/>
        <w:spacing w:after="0" w:line="255" w:lineRule="auto"/>
        <w:tabs>
          <w:tab w:leader="none" w:pos="1099"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Qualifying Director</w:t>
      </w:r>
      <w:r>
        <w:rPr>
          <w:rFonts w:ascii="Times New Roman" w:cs="Times New Roman" w:eastAsia="Times New Roman" w:hAnsi="Times New Roman"/>
          <w:sz w:val="21"/>
          <w:szCs w:val="21"/>
          <w:color w:val="auto"/>
        </w:rPr>
        <w:t>” means a Person who is, with respect to actions intended to obtain an exemption from Section 16(b) of the Exchange Act pursuant to Rule 16b-3 under the Exchange Act, a “non-employee director” within the meaning of Rule 16b-3 under the Exchange Act.</w:t>
      </w:r>
    </w:p>
    <w:p>
      <w:pPr>
        <w:spacing w:after="0" w:line="142" w:lineRule="exact"/>
        <w:rPr>
          <w:rFonts w:ascii="Times New Roman" w:cs="Times New Roman" w:eastAsia="Times New Roman" w:hAnsi="Times New Roman"/>
          <w:sz w:val="21"/>
          <w:szCs w:val="21"/>
          <w:color w:val="auto"/>
        </w:rPr>
      </w:pPr>
    </w:p>
    <w:p>
      <w:pPr>
        <w:ind w:left="1280" w:hanging="660"/>
        <w:spacing w:after="0"/>
        <w:tabs>
          <w:tab w:leader="none" w:pos="128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Reporting Person</w:t>
      </w:r>
      <w:r>
        <w:rPr>
          <w:rFonts w:ascii="Times New Roman" w:cs="Times New Roman" w:eastAsia="Times New Roman" w:hAnsi="Times New Roman"/>
          <w:sz w:val="21"/>
          <w:szCs w:val="21"/>
          <w:color w:val="auto"/>
        </w:rPr>
        <w:t>” means a person subject to Section 16 of the Exchange Act.</w:t>
      </w:r>
    </w:p>
    <w:p>
      <w:pPr>
        <w:spacing w:after="0" w:line="221" w:lineRule="exact"/>
        <w:rPr>
          <w:rFonts w:ascii="Times New Roman" w:cs="Times New Roman" w:eastAsia="Times New Roman" w:hAnsi="Times New Roman"/>
          <w:sz w:val="21"/>
          <w:szCs w:val="21"/>
          <w:color w:val="auto"/>
        </w:rPr>
      </w:pPr>
    </w:p>
    <w:p>
      <w:pPr>
        <w:ind w:firstLine="620"/>
        <w:spacing w:after="0" w:line="268" w:lineRule="auto"/>
        <w:tabs>
          <w:tab w:leader="none" w:pos="1319"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Period</w:t>
      </w:r>
      <w:r>
        <w:rPr>
          <w:rFonts w:ascii="Times New Roman" w:cs="Times New Roman" w:eastAsia="Times New Roman" w:hAnsi="Times New Roman"/>
          <w:sz w:val="21"/>
          <w:szCs w:val="21"/>
          <w:color w:val="auto"/>
        </w:rPr>
        <w:t>” means the period of time determined by the Committee during which an Award is subject to restrictions, including vesting conditions.</w:t>
      </w:r>
    </w:p>
    <w:p>
      <w:pPr>
        <w:spacing w:after="0" w:line="167" w:lineRule="exact"/>
        <w:rPr>
          <w:rFonts w:ascii="Times New Roman" w:cs="Times New Roman" w:eastAsia="Times New Roman" w:hAnsi="Times New Roman"/>
          <w:sz w:val="21"/>
          <w:szCs w:val="21"/>
          <w:color w:val="auto"/>
        </w:rPr>
      </w:pPr>
    </w:p>
    <w:p>
      <w:pPr>
        <w:jc w:val="both"/>
        <w:ind w:firstLine="620"/>
        <w:spacing w:after="0" w:line="255" w:lineRule="auto"/>
        <w:tabs>
          <w:tab w:leader="none" w:pos="1165"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Stock</w:t>
      </w:r>
      <w:r>
        <w:rPr>
          <w:rFonts w:ascii="Times New Roman" w:cs="Times New Roman" w:eastAsia="Times New Roman" w:hAnsi="Times New Roman"/>
          <w:sz w:val="21"/>
          <w:szCs w:val="21"/>
          <w:color w:val="auto"/>
        </w:rPr>
        <w:t>” means Common Stock, subject to certain specified restrictions (which may include, without limitation, a requirement that the Participant remain continuously employed or provide continuous services for a specified period of time), granted under Section 8 of the Plan.</w:t>
      </w:r>
    </w:p>
    <w:p>
      <w:pPr>
        <w:spacing w:after="0" w:line="168" w:lineRule="exact"/>
        <w:rPr>
          <w:rFonts w:ascii="Times New Roman" w:cs="Times New Roman" w:eastAsia="Times New Roman" w:hAnsi="Times New Roman"/>
          <w:sz w:val="21"/>
          <w:szCs w:val="21"/>
          <w:color w:val="auto"/>
        </w:rPr>
      </w:pPr>
    </w:p>
    <w:p>
      <w:pPr>
        <w:jc w:val="both"/>
        <w:ind w:firstLine="620"/>
        <w:spacing w:after="0" w:line="255" w:lineRule="auto"/>
        <w:tabs>
          <w:tab w:leader="none" w:pos="128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Stock Unit</w:t>
      </w:r>
      <w:r>
        <w:rPr>
          <w:rFonts w:ascii="Times New Roman" w:cs="Times New Roman" w:eastAsia="Times New Roman" w:hAnsi="Times New Roman"/>
          <w:sz w:val="21"/>
          <w:szCs w:val="21"/>
          <w:color w:val="auto"/>
        </w:rPr>
        <w:t>” means an unfunded and unsecured promise to deliver shares of Common Stock, cash, other securities or other property, subject to certain restrictions (which may include, without limitation, a requirement that the Participant remain continuously employed or provide continuous services for a specified period of time), granted under Section 8 of the Plan.</w:t>
      </w:r>
    </w:p>
    <w:p>
      <w:pPr>
        <w:spacing w:after="0" w:line="181" w:lineRule="exact"/>
        <w:rPr>
          <w:rFonts w:ascii="Times New Roman" w:cs="Times New Roman" w:eastAsia="Times New Roman" w:hAnsi="Times New Roman"/>
          <w:sz w:val="21"/>
          <w:szCs w:val="21"/>
          <w:color w:val="auto"/>
        </w:rPr>
      </w:pPr>
    </w:p>
    <w:p>
      <w:pPr>
        <w:ind w:firstLine="620"/>
        <w:spacing w:after="0" w:line="268" w:lineRule="auto"/>
        <w:tabs>
          <w:tab w:leader="none" w:pos="1229"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SAR Base Price</w:t>
      </w:r>
      <w:r>
        <w:rPr>
          <w:rFonts w:ascii="Times New Roman" w:cs="Times New Roman" w:eastAsia="Times New Roman" w:hAnsi="Times New Roman"/>
          <w:sz w:val="21"/>
          <w:szCs w:val="21"/>
          <w:color w:val="auto"/>
        </w:rPr>
        <w:t>” means, as to any Stock Appreciation Right, the price per share of Common Stock designated as the base value above which appreciation in value is measured.</w:t>
      </w:r>
    </w:p>
    <w:p>
      <w:pPr>
        <w:spacing w:after="0" w:line="154" w:lineRule="exact"/>
        <w:rPr>
          <w:rFonts w:ascii="Times New Roman" w:cs="Times New Roman" w:eastAsia="Times New Roman" w:hAnsi="Times New Roman"/>
          <w:sz w:val="21"/>
          <w:szCs w:val="21"/>
          <w:color w:val="auto"/>
        </w:rPr>
      </w:pPr>
    </w:p>
    <w:p>
      <w:pPr>
        <w:jc w:val="both"/>
        <w:ind w:firstLine="620"/>
        <w:spacing w:after="0" w:line="255" w:lineRule="auto"/>
        <w:tabs>
          <w:tab w:leader="none" w:pos="114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means the Securities Act of 1933, as amended, and any successor thereto. Reference in the Plan to any section of (or rule promulgated under) the Securities Act shall be deemed to include any rules, regulations or other interpretative guidance under such section or rule, and any amendments or successor provisions to such section, rules, regulations or guidance.</w:t>
      </w:r>
    </w:p>
    <w:p>
      <w:pPr>
        <w:spacing w:after="0" w:line="181" w:lineRule="exact"/>
        <w:rPr>
          <w:rFonts w:ascii="Times New Roman" w:cs="Times New Roman" w:eastAsia="Times New Roman" w:hAnsi="Times New Roman"/>
          <w:sz w:val="21"/>
          <w:szCs w:val="21"/>
          <w:color w:val="auto"/>
        </w:rPr>
      </w:pPr>
    </w:p>
    <w:p>
      <w:pPr>
        <w:ind w:firstLine="620"/>
        <w:spacing w:after="0" w:line="268" w:lineRule="auto"/>
        <w:tabs>
          <w:tab w:leader="none" w:pos="1119"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Stock Appreciation Right</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SAR</w:t>
      </w:r>
      <w:r>
        <w:rPr>
          <w:rFonts w:ascii="Times New Roman" w:cs="Times New Roman" w:eastAsia="Times New Roman" w:hAnsi="Times New Roman"/>
          <w:sz w:val="21"/>
          <w:szCs w:val="21"/>
          <w:color w:val="auto"/>
        </w:rPr>
        <w:t>” means an Other-Equity Based Award designated in an applicable Award Agreement as a stock appreciation right.</w:t>
      </w:r>
    </w:p>
    <w:p>
      <w:pPr>
        <w:spacing w:after="0" w:line="154" w:lineRule="exact"/>
        <w:rPr>
          <w:rFonts w:ascii="Times New Roman" w:cs="Times New Roman" w:eastAsia="Times New Roman" w:hAnsi="Times New Roman"/>
          <w:sz w:val="21"/>
          <w:szCs w:val="21"/>
          <w:color w:val="auto"/>
        </w:rPr>
      </w:pPr>
    </w:p>
    <w:p>
      <w:pPr>
        <w:jc w:val="both"/>
        <w:ind w:firstLine="620"/>
        <w:spacing w:after="0" w:line="252" w:lineRule="auto"/>
        <w:tabs>
          <w:tab w:leader="none" w:pos="1163"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Sub-Plans</w:t>
      </w:r>
      <w:r>
        <w:rPr>
          <w:rFonts w:ascii="Times New Roman" w:cs="Times New Roman" w:eastAsia="Times New Roman" w:hAnsi="Times New Roman"/>
          <w:sz w:val="21"/>
          <w:szCs w:val="21"/>
          <w:color w:val="auto"/>
        </w:rPr>
        <w:t>” means any sub-plan to the Plan that has been adopted by the Board or the Committee for the purpose of permitting or facilitating the offering of Awards to employees who reside or work outside the jurisdiction of the United States of America, with each such Sub-Plan designed to comply with Applicable Law in such foreign jurisdictions and containing terms and conditions as the Board or the Committee deems necessary or appropriate to accommodate differences in local custom. Although any Sub-Plan may be designated a separate and independent plan from the Plan in order to comply with Applicable Law,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61" w:right="339" w:bottom="1440" w:gutter="0" w:footer="0" w:header="0"/>
        </w:sectPr>
      </w:pPr>
    </w:p>
    <w:bookmarkStart w:id="10" w:name="page11"/>
    <w:bookmarkEnd w:id="10"/>
    <w:p>
      <w:pPr>
        <w:spacing w:after="0" w:line="268" w:lineRule="auto"/>
        <w:rPr>
          <w:sz w:val="20"/>
          <w:szCs w:val="20"/>
          <w:color w:val="auto"/>
        </w:rPr>
      </w:pPr>
      <w:r>
        <w:rPr>
          <w:rFonts w:ascii="Times New Roman" w:cs="Times New Roman" w:eastAsia="Times New Roman" w:hAnsi="Times New Roman"/>
          <w:sz w:val="21"/>
          <w:szCs w:val="21"/>
          <w:color w:val="auto"/>
        </w:rPr>
        <w:t>Share Reserve and the other limits specified in Section 6(a) of the Plan shall apply in the aggregate to the Plan and any Sub-Plan adopted hereunder.</w:t>
      </w:r>
    </w:p>
    <w:p>
      <w:pPr>
        <w:spacing w:after="0" w:line="129" w:lineRule="exact"/>
        <w:rPr>
          <w:sz w:val="20"/>
          <w:szCs w:val="20"/>
          <w:color w:val="auto"/>
        </w:rPr>
      </w:pPr>
    </w:p>
    <w:p>
      <w:pPr>
        <w:ind w:left="1160" w:hanging="540"/>
        <w:spacing w:after="0"/>
        <w:tabs>
          <w:tab w:leader="none" w:pos="116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means, with respect to any specified Person:</w:t>
      </w:r>
    </w:p>
    <w:p>
      <w:pPr>
        <w:spacing w:after="0" w:line="221" w:lineRule="exact"/>
        <w:rPr>
          <w:rFonts w:ascii="Times New Roman" w:cs="Times New Roman" w:eastAsia="Times New Roman" w:hAnsi="Times New Roman"/>
          <w:sz w:val="21"/>
          <w:szCs w:val="21"/>
          <w:color w:val="auto"/>
        </w:rPr>
      </w:pPr>
    </w:p>
    <w:p>
      <w:pPr>
        <w:jc w:val="both"/>
        <w:ind w:left="620" w:firstLine="616"/>
        <w:spacing w:after="0" w:line="255" w:lineRule="auto"/>
        <w:tabs>
          <w:tab w:leader="none" w:pos="1842" w:val="left"/>
        </w:tabs>
        <w:numPr>
          <w:ilvl w:val="1"/>
          <w:numId w:val="1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corporation, association or other business entity of which more than 50% of the total voting power of shares of such entity’s voting securities (without regard to the occurrence of any contingency and after giving effect to any voting agreement or stockholders’ agreement that effectively transfers voting power) is at the time owned or controlled, directly or indirectly, by that Person or one or more of the other Subsidiaries of that Person (or a combination thereof); and</w:t>
      </w:r>
    </w:p>
    <w:p>
      <w:pPr>
        <w:spacing w:after="0" w:line="168" w:lineRule="exact"/>
        <w:rPr>
          <w:rFonts w:ascii="Times New Roman" w:cs="Times New Roman" w:eastAsia="Times New Roman" w:hAnsi="Times New Roman"/>
          <w:sz w:val="21"/>
          <w:szCs w:val="21"/>
          <w:color w:val="010000"/>
        </w:rPr>
      </w:pPr>
    </w:p>
    <w:p>
      <w:pPr>
        <w:jc w:val="both"/>
        <w:ind w:left="620" w:firstLine="616"/>
        <w:spacing w:after="0" w:line="280" w:lineRule="auto"/>
        <w:tabs>
          <w:tab w:leader="none" w:pos="1848" w:val="left"/>
        </w:tabs>
        <w:numPr>
          <w:ilvl w:val="1"/>
          <w:numId w:val="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partnership (or any comparable foreign entity) (A) the sole general partner (or functional equivalent thereof) or the managing general partner of which is such Person or Subsidiary of such Person or (B) the only general partners (or functional equivalents thereof) of which are that Person or one or more Subsidiaries of that Person (or any combination thereof).</w:t>
      </w:r>
    </w:p>
    <w:p>
      <w:pPr>
        <w:spacing w:after="0" w:line="145" w:lineRule="exact"/>
        <w:rPr>
          <w:rFonts w:ascii="Times New Roman" w:cs="Times New Roman" w:eastAsia="Times New Roman" w:hAnsi="Times New Roman"/>
          <w:sz w:val="20"/>
          <w:szCs w:val="20"/>
          <w:color w:val="010000"/>
        </w:rPr>
      </w:pPr>
    </w:p>
    <w:p>
      <w:pPr>
        <w:ind w:left="1160" w:hanging="540"/>
        <w:spacing w:after="0"/>
        <w:tabs>
          <w:tab w:leader="none" w:pos="116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Substitute Awards</w:t>
      </w:r>
      <w:r>
        <w:rPr>
          <w:rFonts w:ascii="Times New Roman" w:cs="Times New Roman" w:eastAsia="Times New Roman" w:hAnsi="Times New Roman"/>
          <w:sz w:val="21"/>
          <w:szCs w:val="21"/>
          <w:color w:val="auto"/>
        </w:rPr>
        <w:t>” has the meaning given to such term in Section 6(e) of the Plan.</w:t>
      </w:r>
    </w:p>
    <w:p>
      <w:pPr>
        <w:spacing w:after="0" w:line="208" w:lineRule="exact"/>
        <w:rPr>
          <w:rFonts w:ascii="Times New Roman" w:cs="Times New Roman" w:eastAsia="Times New Roman" w:hAnsi="Times New Roman"/>
          <w:sz w:val="21"/>
          <w:szCs w:val="21"/>
          <w:color w:val="auto"/>
        </w:rPr>
      </w:pPr>
    </w:p>
    <w:p>
      <w:pPr>
        <w:jc w:val="both"/>
        <w:ind w:firstLine="620"/>
        <w:spacing w:after="0" w:line="246" w:lineRule="auto"/>
        <w:tabs>
          <w:tab w:leader="none" w:pos="1282"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xml:space="preserve">” means the termination of a Participant’s employment or service, as applicable, with the Company Group for any reason (including death or Disability);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neither the termination of a Participant’s employment followed immediately thereafter by the commencement or continuation of such Participant’s services as a director, consultant, or advisor to any member of the Company Group, nor the termination of a Participant’s services to the Company Group as a director, consultant, or advisor to the Company Group followed immediately thereafter by the commencement or continuation of such Participant’s services as an employee of any member of the Company Group shall constitute a Termination hereunder until and unless the Participant experiences a termination of all employment and services to the Company Group, regardless of capacity. Except as otherwise provided in an Award Agreement, unless determined otherwise by the Committee at any point following such event, neither a temporary absence from employment or service due to illness, vacation or leave of absence (including, without limitation, a call to active duty for military service through a military reserve or National Guard unit) nor a transfer of employment or service within the Company Group shall be considered a Termination. Further, unless otherwise determined by the Committee, a Participant employed by, or performing services for, a Subsidiary or a division of the Company shall be deemed to incur a Termination if, as a result of a Disaffiliation, such Subsidiary or division ceases to be a Subsidiary or division, as the case may be, and the Participant does not immediately become an employee of, or service provider for, another member of the Company Group. Notwithstanding the foregoing, with respect to any Award that constitutes “nonqualified deferred compensation” within the meaning of Section 409A of the Code, “Termination” shall mean a “separation from service” as defined under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61" w:right="339" w:bottom="1440" w:gutter="0" w:footer="0" w:header="0"/>
        </w:sectPr>
      </w:pPr>
    </w:p>
    <w:bookmarkStart w:id="11" w:name="page12"/>
    <w:bookmarkEnd w:id="11"/>
    <w:p>
      <w:pPr>
        <w:jc w:val="both"/>
        <w:ind w:firstLine="620"/>
        <w:spacing w:after="0" w:line="238" w:lineRule="auto"/>
        <w:tabs>
          <w:tab w:leader="none" w:pos="1233" w:val="left"/>
        </w:tabs>
        <w:numPr>
          <w:ilvl w:val="0"/>
          <w:numId w:val="11"/>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Effective Date; Duration</w:t>
      </w:r>
      <w:r>
        <w:rPr>
          <w:rFonts w:ascii="Times New Roman" w:cs="Times New Roman" w:eastAsia="Times New Roman" w:hAnsi="Times New Roman"/>
          <w:sz w:val="21"/>
          <w:szCs w:val="21"/>
          <w:color w:val="auto"/>
        </w:rPr>
        <w:t>. The Plan shall be effective as of the Effective Date. The Plan will continue in effect until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terminated under Section 11 or, if earlier,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anniversary of the Effective Date (or the date of stockholder approval of the Plan, if earlier);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such termination shall not affect Awards then outstanding, and the terms and conditions of the Plan shall continue to apply to such Awards.</w:t>
      </w:r>
    </w:p>
    <w:p>
      <w:pPr>
        <w:spacing w:after="0" w:line="180" w:lineRule="exact"/>
        <w:rPr>
          <w:rFonts w:ascii="Times New Roman" w:cs="Times New Roman" w:eastAsia="Times New Roman" w:hAnsi="Times New Roman"/>
          <w:sz w:val="21"/>
          <w:szCs w:val="21"/>
          <w:b w:val="1"/>
          <w:bCs w:val="1"/>
          <w:color w:val="010000"/>
        </w:rPr>
      </w:pPr>
    </w:p>
    <w:p>
      <w:pPr>
        <w:ind w:left="1240" w:hanging="620"/>
        <w:spacing w:after="0"/>
        <w:tabs>
          <w:tab w:leader="none" w:pos="1240" w:val="left"/>
        </w:tabs>
        <w:numPr>
          <w:ilvl w:val="0"/>
          <w:numId w:val="11"/>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Administration</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jc w:val="both"/>
        <w:ind w:firstLine="620"/>
        <w:spacing w:after="0" w:line="250" w:lineRule="auto"/>
        <w:tabs>
          <w:tab w:leader="none" w:pos="1230" w:val="left"/>
        </w:tabs>
        <w:numPr>
          <w:ilvl w:val="1"/>
          <w:numId w:val="1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The Committee shall administer the Plan. To the extent required to comply with the provisions of Rule 16b-3 promulgated under the Exchange Act (if the Board is not acting as the Committee under the Plan) it is intended that each member of the Committee shall, at the time such member takes any action with respect to an Award under the Plan that is intended to qualify for the exemptions provided by Rule 16b-3 promulgated under the Exchange Act be a Qualifying Director. However, the fact that a Committee member shall fail to qualify as a Qualifying Director shall not invalidate any Award granted by the Committee that is otherwise validly granted under the Plan.</w:t>
      </w:r>
    </w:p>
    <w:p>
      <w:pPr>
        <w:spacing w:after="0" w:line="173" w:lineRule="exact"/>
        <w:rPr>
          <w:rFonts w:ascii="Times New Roman" w:cs="Times New Roman" w:eastAsia="Times New Roman" w:hAnsi="Times New Roman"/>
          <w:sz w:val="21"/>
          <w:szCs w:val="21"/>
          <w:color w:val="010000"/>
        </w:rPr>
      </w:pPr>
    </w:p>
    <w:p>
      <w:pPr>
        <w:jc w:val="both"/>
        <w:ind w:firstLine="620"/>
        <w:spacing w:after="0" w:line="258" w:lineRule="auto"/>
        <w:tabs>
          <w:tab w:leader="none" w:pos="1229" w:val="left"/>
        </w:tabs>
        <w:numPr>
          <w:ilvl w:val="1"/>
          <w:numId w:val="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Committee Authority</w:t>
      </w:r>
      <w:r>
        <w:rPr>
          <w:rFonts w:ascii="Times New Roman" w:cs="Times New Roman" w:eastAsia="Times New Roman" w:hAnsi="Times New Roman"/>
          <w:sz w:val="20"/>
          <w:szCs w:val="20"/>
          <w:color w:val="auto"/>
        </w:rPr>
        <w:t>. Subject to the provisions of the Plan and Applicable Law, the Committee shall have the sole and plenary authority, in addition to other express powers and authorizations conferred on the Committee by the Plan, to (i) designate Participants; (ii) determine the type or types of Awards to be granted to a Participant; (iii) determine the number of shares of Common Stock to be covered by, or with respect to which payments, rights or other matters are to be calculated in connection with, Awards or the manner in which such number shall be determined; (iv) determine the amount of cash to be covered by each Cash Award granted hereunder; (v) determine the terms and conditions, not inconsistent with the terms of this Plan, of any Award (including, but not limited to, the Exercise Price or purchase price (if any), any restriction or limitation, any vesting schedule or acceleration thereof, or any forfeiture restrictions or waiver thereof, regarding any Award and the shares, if any, relating thereto, based on such factors, if any, as the Committee shall determine, in its sole discretion); (vi) determine whether, to what extent and under what circumstances Awards may be settled in, or exercised for, cash, shares of Common Stock, other securities, other Awards or other property, or canceled, forfeited or suspended and the method or methods by which Awards may be settled, exercised, canceled, forfeited or suspended; (vii) determine whether, to what extent, and under what circumstances the delivery of cash, shares of Common Stock, other securities, other Awards, or other property and other amounts payable with respect to an Award shall be deferred either automatically or at the election of the Participant or of the Committee; (viii) interpret, administer, reconcile any inconsistency in, correct any defect in and/or supply any omission in the Plan and any instrument or agreement relating to, or Award granted under, the Plan; (ix) establish, amend, suspend or waive any rules and regulations and appoint such agents as the Committee shall deem appropriate for the proper administration of the Plan; (x) modify, waive, amend or adjust the terms and conditions of any Award, at any time or from time to time, including but not limited to Performance Conditions; (xi) accelerate the vesting of an outstanding Award for any reason; (xii) adopt Sub-Plans; and</w:t>
      </w:r>
    </w:p>
    <w:p>
      <w:pPr>
        <w:spacing w:after="0" w:line="4" w:lineRule="exact"/>
        <w:rPr>
          <w:rFonts w:ascii="Times New Roman" w:cs="Times New Roman" w:eastAsia="Times New Roman" w:hAnsi="Times New Roman"/>
          <w:sz w:val="20"/>
          <w:szCs w:val="20"/>
          <w:color w:val="010000"/>
        </w:rPr>
      </w:pPr>
    </w:p>
    <w:p>
      <w:pPr>
        <w:ind w:firstLine="3"/>
        <w:spacing w:after="0" w:line="259" w:lineRule="auto"/>
        <w:tabs>
          <w:tab w:leader="none" w:pos="466"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any other determination and take any other action that the Committee deems necessary or desirable for the administration of the Plan. Except as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57" w:right="339" w:bottom="1440" w:gutter="0" w:footer="0" w:header="0"/>
        </w:sectPr>
      </w:pPr>
    </w:p>
    <w:bookmarkStart w:id="12" w:name="page13"/>
    <w:bookmarkEnd w:id="12"/>
    <w:p>
      <w:pPr>
        <w:jc w:val="both"/>
        <w:spacing w:after="0" w:line="268" w:lineRule="auto"/>
        <w:rPr>
          <w:sz w:val="20"/>
          <w:szCs w:val="20"/>
          <w:color w:val="auto"/>
        </w:rPr>
      </w:pPr>
      <w:r>
        <w:rPr>
          <w:rFonts w:ascii="Times New Roman" w:cs="Times New Roman" w:eastAsia="Times New Roman" w:hAnsi="Times New Roman"/>
          <w:sz w:val="21"/>
          <w:szCs w:val="21"/>
          <w:color w:val="auto"/>
        </w:rPr>
        <w:t>provided hereby or in a particular Award, any determination or action with respect to an Award may be made or taken by the Committee at the time of grant or at any time thereafter.</w:t>
      </w:r>
    </w:p>
    <w:p>
      <w:pPr>
        <w:spacing w:after="0" w:line="1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Award Agreements.</w:t>
      </w:r>
    </w:p>
    <w:p>
      <w:pPr>
        <w:spacing w:after="0" w:line="146" w:lineRule="exact"/>
        <w:rPr>
          <w:sz w:val="20"/>
          <w:szCs w:val="20"/>
          <w:color w:val="auto"/>
        </w:rPr>
      </w:pPr>
    </w:p>
    <w:p>
      <w:pPr>
        <w:jc w:val="both"/>
        <w:ind w:firstLine="620"/>
        <w:spacing w:after="0" w:line="263" w:lineRule="auto"/>
        <w:tabs>
          <w:tab w:leader="none" w:pos="1230" w:val="left"/>
        </w:tabs>
        <w:numPr>
          <w:ilvl w:val="0"/>
          <w:numId w:val="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Delegation</w:t>
      </w:r>
      <w:r>
        <w:rPr>
          <w:rFonts w:ascii="Times New Roman" w:cs="Times New Roman" w:eastAsia="Times New Roman" w:hAnsi="Times New Roman"/>
          <w:sz w:val="20"/>
          <w:szCs w:val="20"/>
          <w:color w:val="auto"/>
        </w:rPr>
        <w:t>. Except to the extent prohibited by Applicable Law,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 Without limiting the generality of the foregoing, the Committee may delegate to one or more officers of any member of the Company Group, the authority to act on behalf of the Committee with respect to any matter, right, obligation or election which is the responsibility of, or which is allocated to, the Committee herein, and which may be so delegated in accordance with Applicable Law, except with respect to grants of Awards to Persons (i) who are Non-Employee Directors, or (ii) who are subject to Section 16 of the Exchange Act.</w:t>
      </w:r>
    </w:p>
    <w:p>
      <w:pPr>
        <w:spacing w:after="0" w:line="163" w:lineRule="exact"/>
        <w:rPr>
          <w:rFonts w:ascii="Times New Roman" w:cs="Times New Roman" w:eastAsia="Times New Roman" w:hAnsi="Times New Roman"/>
          <w:sz w:val="20"/>
          <w:szCs w:val="20"/>
          <w:color w:val="010000"/>
        </w:rPr>
      </w:pPr>
    </w:p>
    <w:p>
      <w:pPr>
        <w:jc w:val="both"/>
        <w:ind w:firstLine="620"/>
        <w:spacing w:after="0" w:line="255" w:lineRule="auto"/>
        <w:tabs>
          <w:tab w:leader="none" w:pos="1229" w:val="left"/>
        </w:tabs>
        <w:numPr>
          <w:ilvl w:val="0"/>
          <w:numId w:val="1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Finality of Decisions</w:t>
      </w:r>
      <w:r>
        <w:rPr>
          <w:rFonts w:ascii="Times New Roman" w:cs="Times New Roman" w:eastAsia="Times New Roman" w:hAnsi="Times New Roman"/>
          <w:sz w:val="21"/>
          <w:szCs w:val="21"/>
          <w:color w:val="auto"/>
        </w:rPr>
        <w:t>. Unless otherwise expressly provided in the Plan, all designations, determinations, interpretations and other decisions under or with respect to the Plan, any Award or any Award Agreement shall be within the sole discretion of the Committee, may be made at any time and shall be final, conclusive and binding upon all Persons, including, without limitation, any member of the Company Group, any Participant, any holder or beneficiary of any Award and any stockholder of the Company.</w:t>
      </w:r>
    </w:p>
    <w:p>
      <w:pPr>
        <w:spacing w:after="0" w:line="168" w:lineRule="exact"/>
        <w:rPr>
          <w:rFonts w:ascii="Times New Roman" w:cs="Times New Roman" w:eastAsia="Times New Roman" w:hAnsi="Times New Roman"/>
          <w:sz w:val="21"/>
          <w:szCs w:val="21"/>
          <w:color w:val="010000"/>
        </w:rPr>
      </w:pPr>
    </w:p>
    <w:p>
      <w:pPr>
        <w:jc w:val="both"/>
        <w:ind w:firstLine="620"/>
        <w:spacing w:after="0" w:line="260" w:lineRule="auto"/>
        <w:tabs>
          <w:tab w:leader="none" w:pos="1230" w:val="left"/>
        </w:tabs>
        <w:numPr>
          <w:ilvl w:val="0"/>
          <w:numId w:val="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No member of the Board or the Committee or any employee or agent of any member of the Company Group (each such Person, an “</w:t>
      </w:r>
      <w:r>
        <w:rPr>
          <w:rFonts w:ascii="Times New Roman" w:cs="Times New Roman" w:eastAsia="Times New Roman" w:hAnsi="Times New Roman"/>
          <w:sz w:val="20"/>
          <w:szCs w:val="20"/>
          <w:u w:val="single" w:color="auto"/>
          <w:color w:val="auto"/>
        </w:rPr>
        <w:t>Indemnifiable Person</w:t>
      </w:r>
      <w:r>
        <w:rPr>
          <w:rFonts w:ascii="Times New Roman" w:cs="Times New Roman" w:eastAsia="Times New Roman" w:hAnsi="Times New Roman"/>
          <w:sz w:val="20"/>
          <w:szCs w:val="20"/>
          <w:color w:val="auto"/>
        </w:rPr>
        <w:t xml:space="preserve">”) shall be liable for any action taken or omitted to be taken or any determination made with respect to the Plan or any Award hereunder (unless constituting fraud or a willful criminal act or omission).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 or determination made with respect to the Plan or any Award hereunder and against and from any and all amounts paid by such Indemnifiable Person with the Company’s approval, in settlement thereof, or paid by such Indemnifiable Person in satisfaction of any judgment in any such action, suit or proceeding against such Indemnifiable Person, and the Company shall advance to such Indemnifiable Person any such expenses promptly upon written request (which request shall include an undertaking by the Indemnifiable Person to repay the amount of such advance if it shall ultimately be determined, as provided below, that the Indemnifiable Person is not entitled to be indemnified);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Company shall have the right, at its own expense, to assume and defend any such action, suit or proceeding and once the Company gives notice of its intent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61" w:right="339" w:bottom="1440" w:gutter="0" w:footer="0" w:header="0"/>
        </w:sectPr>
      </w:pPr>
    </w:p>
    <w:bookmarkStart w:id="13" w:name="page14"/>
    <w:bookmarkEnd w:id="13"/>
    <w:p>
      <w:pPr>
        <w:jc w:val="both"/>
        <w:spacing w:after="0" w:line="248" w:lineRule="auto"/>
        <w:rPr>
          <w:sz w:val="20"/>
          <w:szCs w:val="20"/>
          <w:color w:val="auto"/>
        </w:rPr>
      </w:pPr>
      <w:r>
        <w:rPr>
          <w:rFonts w:ascii="Times New Roman" w:cs="Times New Roman" w:eastAsia="Times New Roman" w:hAnsi="Times New Roman"/>
          <w:sz w:val="21"/>
          <w:szCs w:val="21"/>
          <w:color w:val="auto"/>
        </w:rPr>
        <w:t>assume the defense, the Company shall have sole control over such defense with counsel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omissions or determinations of such Indemnifiable Person giving rise to the indemnification claim resulted from such Indemnifiable Person’s fraud or willful criminal act or omission or that such right of indemnification is otherwise prohibited by Applicable Law or by the organizational documents of any member of the Company Group. The foregoing right of indemnification shall not be exclusive of or otherwise supersede any other rights of indemnification to which such Indemnifiable Persons may be entitled under (i) the organizational documents of any member of the Company Group, (ii) pursuant to Applicable Law, (iii) an individual indemnification agreement or contract or otherwise, or (iv) any other power that the Company may have to indemnify such Indemnifiable Persons or hold such Indemnifiable Persons harmless.</w:t>
      </w:r>
    </w:p>
    <w:p>
      <w:pPr>
        <w:spacing w:after="0" w:line="177" w:lineRule="exact"/>
        <w:rPr>
          <w:sz w:val="20"/>
          <w:szCs w:val="20"/>
          <w:color w:val="auto"/>
        </w:rPr>
      </w:pPr>
    </w:p>
    <w:p>
      <w:pPr>
        <w:jc w:val="both"/>
        <w:ind w:firstLine="620"/>
        <w:spacing w:after="0" w:line="251" w:lineRule="auto"/>
        <w:tabs>
          <w:tab w:leader="none" w:pos="1233" w:val="left"/>
        </w:tabs>
        <w:numPr>
          <w:ilvl w:val="0"/>
          <w:numId w:val="1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Board Authority</w:t>
      </w:r>
      <w:r>
        <w:rPr>
          <w:rFonts w:ascii="Times New Roman" w:cs="Times New Roman" w:eastAsia="Times New Roman" w:hAnsi="Times New Roman"/>
          <w:sz w:val="21"/>
          <w:szCs w:val="21"/>
          <w:color w:val="auto"/>
        </w:rPr>
        <w:t>. Notwithstanding anything to the contrary contained in the Plan, the Board may, in its sole discretion, at any time and from time to time, grant Awards and administer the Plan with respect to such Awards. Any such actions by the Board shall be subject to the applicable rules of the securities exchange or inter-dealer quotation system on which the Common Stock is listed or quoted. In any such case, the Board shall have all the authority granted to the Committee under the Plan.</w:t>
      </w:r>
    </w:p>
    <w:p>
      <w:pPr>
        <w:spacing w:after="0" w:line="181" w:lineRule="exact"/>
        <w:rPr>
          <w:sz w:val="20"/>
          <w:szCs w:val="20"/>
          <w:color w:val="auto"/>
        </w:rPr>
      </w:pPr>
    </w:p>
    <w:p>
      <w:pPr>
        <w:jc w:val="both"/>
        <w:ind w:firstLine="620"/>
        <w:spacing w:after="0" w:line="257" w:lineRule="auto"/>
        <w:tabs>
          <w:tab w:leader="none" w:pos="1233" w:val="left"/>
        </w:tabs>
        <w:numPr>
          <w:ilvl w:val="0"/>
          <w:numId w:val="16"/>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Grants of Awards; Eligibility</w:t>
      </w:r>
      <w:r>
        <w:rPr>
          <w:rFonts w:ascii="Times New Roman" w:cs="Times New Roman" w:eastAsia="Times New Roman" w:hAnsi="Times New Roman"/>
          <w:sz w:val="21"/>
          <w:szCs w:val="21"/>
          <w:color w:val="auto"/>
        </w:rPr>
        <w:t>. The Committee may, from time to time, grant Awards to one or more Eligible Persons.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Participation in the Plan shall be limited to Eligible Persons. Any Award may be made alone, in addition to, or in relation to any other Award.</w:t>
      </w:r>
    </w:p>
    <w:p>
      <w:pPr>
        <w:spacing w:after="0" w:line="162" w:lineRule="exact"/>
        <w:rPr>
          <w:rFonts w:ascii="Times New Roman" w:cs="Times New Roman" w:eastAsia="Times New Roman" w:hAnsi="Times New Roman"/>
          <w:sz w:val="21"/>
          <w:szCs w:val="21"/>
          <w:b w:val="1"/>
          <w:bCs w:val="1"/>
          <w:color w:val="010000"/>
        </w:rPr>
      </w:pPr>
    </w:p>
    <w:p>
      <w:pPr>
        <w:ind w:left="1240" w:hanging="620"/>
        <w:spacing w:after="0"/>
        <w:tabs>
          <w:tab w:leader="none" w:pos="1240" w:val="left"/>
        </w:tabs>
        <w:numPr>
          <w:ilvl w:val="0"/>
          <w:numId w:val="16"/>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Shares Subject to the Plan; Limitations</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jc w:val="both"/>
        <w:ind w:firstLine="620"/>
        <w:spacing w:after="0" w:line="249" w:lineRule="auto"/>
        <w:tabs>
          <w:tab w:leader="none" w:pos="1230" w:val="left"/>
        </w:tabs>
        <w:numPr>
          <w:ilvl w:val="0"/>
          <w:numId w:val="1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Share Reserve</w:t>
      </w:r>
      <w:r>
        <w:rPr>
          <w:rFonts w:ascii="Times New Roman" w:cs="Times New Roman" w:eastAsia="Times New Roman" w:hAnsi="Times New Roman"/>
          <w:sz w:val="21"/>
          <w:szCs w:val="21"/>
          <w:color w:val="auto"/>
        </w:rPr>
        <w:t>. Subject to Section 10 of the Plan, the maximum aggregate number of shares of Common Stock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Share Reserve</w:t>
      </w:r>
      <w:r>
        <w:rPr>
          <w:rFonts w:ascii="Times New Roman" w:cs="Times New Roman" w:eastAsia="Times New Roman" w:hAnsi="Times New Roman"/>
          <w:sz w:val="21"/>
          <w:szCs w:val="21"/>
          <w:color w:val="auto"/>
        </w:rPr>
        <w:t>”) that shall be available for Awards under the Plan shall be equal to (a) 12,000,000 plus (b) any shares of Common Stock subject to awards granted under the Company’s 2007 Equity Incentive Plan, as amended (the “</w:t>
      </w:r>
      <w:r>
        <w:rPr>
          <w:rFonts w:ascii="Times New Roman" w:cs="Times New Roman" w:eastAsia="Times New Roman" w:hAnsi="Times New Roman"/>
          <w:sz w:val="21"/>
          <w:szCs w:val="21"/>
          <w:u w:val="single" w:color="auto"/>
          <w:color w:val="auto"/>
        </w:rPr>
        <w:t>2007 Plan</w:t>
      </w:r>
      <w:r>
        <w:rPr>
          <w:rFonts w:ascii="Times New Roman" w:cs="Times New Roman" w:eastAsia="Times New Roman" w:hAnsi="Times New Roman"/>
          <w:sz w:val="21"/>
          <w:szCs w:val="21"/>
          <w:color w:val="auto"/>
        </w:rPr>
        <w:t>”), that, on or after the Effective Date, expire or otherwise terminate without having been exercised in full, or are forfeited to the Company due to failure to vest, with the maximum number of Shares to be added to the Plan pursuant to clause (b) equal to 1,778,230 shares of Common Stock and (c) the number of shares of Common Stock that, immediately prior to the Effective Date, remain available for future awards under the 2007 Plan (collectively, the “</w:t>
      </w:r>
      <w:r>
        <w:rPr>
          <w:rFonts w:ascii="Times New Roman" w:cs="Times New Roman" w:eastAsia="Times New Roman" w:hAnsi="Times New Roman"/>
          <w:sz w:val="21"/>
          <w:szCs w:val="21"/>
          <w:u w:val="single" w:color="auto"/>
          <w:color w:val="auto"/>
        </w:rPr>
        <w:t>Plan Share Reserve</w:t>
      </w:r>
      <w:r>
        <w:rPr>
          <w:rFonts w:ascii="Times New Roman" w:cs="Times New Roman" w:eastAsia="Times New Roman" w:hAnsi="Times New Roman"/>
          <w:sz w:val="21"/>
          <w:szCs w:val="21"/>
          <w:color w:val="auto"/>
        </w:rPr>
        <w:t>”). Each Award granted under the Plan will reduce the Plan Share Reserve by the number of shares of Common Stock underlying the Award.</w:t>
      </w:r>
    </w:p>
    <w:p>
      <w:pPr>
        <w:spacing w:after="0" w:line="179" w:lineRule="exact"/>
        <w:rPr>
          <w:rFonts w:ascii="Times New Roman" w:cs="Times New Roman" w:eastAsia="Times New Roman" w:hAnsi="Times New Roman"/>
          <w:sz w:val="21"/>
          <w:szCs w:val="21"/>
          <w:color w:val="010000"/>
        </w:rPr>
      </w:pPr>
    </w:p>
    <w:p>
      <w:pPr>
        <w:jc w:val="both"/>
        <w:ind w:firstLine="620"/>
        <w:spacing w:after="0" w:line="250" w:lineRule="auto"/>
        <w:tabs>
          <w:tab w:leader="none" w:pos="1229" w:val="left"/>
        </w:tabs>
        <w:numPr>
          <w:ilvl w:val="0"/>
          <w:numId w:val="1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Additional Limits</w:t>
      </w:r>
      <w:r>
        <w:rPr>
          <w:rFonts w:ascii="Times New Roman" w:cs="Times New Roman" w:eastAsia="Times New Roman" w:hAnsi="Times New Roman"/>
          <w:sz w:val="21"/>
          <w:szCs w:val="21"/>
          <w:color w:val="auto"/>
        </w:rPr>
        <w:t>. Subject to Section 10 of the Plan, (i) no more than 12,000,000 shares of Common Stock may be issued in the aggregate pursuant to the exercise of Incentive Stock Options granted under the Plan; and (ii) during a single fiscal year, the number of Awards eligible to be made to any Non-Employee Director (in their capacity as a Non-Employee Director), taken together with any cash fees paid to such Non-Employee Director (for services as a Non-Employee Director) during such fiscal year, shall not exceed a total value of $1,500,000 (calculating the value of any such Awards based on the grant date fair value of such Awards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61" w:right="339" w:bottom="1440" w:gutter="0" w:footer="0" w:header="0"/>
        </w:sectPr>
      </w:pPr>
    </w:p>
    <w:bookmarkStart w:id="14" w:name="page15"/>
    <w:bookmarkEnd w:id="14"/>
    <w:p>
      <w:pPr>
        <w:jc w:val="both"/>
        <w:spacing w:after="0" w:line="250" w:lineRule="auto"/>
        <w:rPr>
          <w:sz w:val="20"/>
          <w:szCs w:val="20"/>
          <w:color w:val="auto"/>
        </w:rPr>
      </w:pPr>
      <w:r>
        <w:rPr>
          <w:rFonts w:ascii="Times New Roman" w:cs="Times New Roman" w:eastAsia="Times New Roman" w:hAnsi="Times New Roman"/>
          <w:sz w:val="21"/>
          <w:szCs w:val="21"/>
          <w:color w:val="auto"/>
        </w:rPr>
        <w:t xml:space="preserve">financial reporting purposes). The foregoing limit shall not apply with respect to: (i) compensation granted to a Non-Employee Director during the calendar year in which such individual is first appointed or elected to the Board, or (ii) compensation approved by the Board in extraordinary circumstances, as determined in its discretion,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such compensation is approved by the Board or the Committee and, in the case of clause (ii), with the Non-Employee Director abstaining from the approval process or, in the case of approval via unanimous written consent, such Non-Employee Director fully disclosing any inherit interest in the matters subject to such approval.</w:t>
      </w:r>
    </w:p>
    <w:p>
      <w:pPr>
        <w:spacing w:after="0" w:line="174" w:lineRule="exact"/>
        <w:rPr>
          <w:sz w:val="20"/>
          <w:szCs w:val="20"/>
          <w:color w:val="auto"/>
        </w:rPr>
      </w:pPr>
    </w:p>
    <w:p>
      <w:pPr>
        <w:jc w:val="both"/>
        <w:ind w:firstLine="620"/>
        <w:spacing w:after="0" w:line="249" w:lineRule="auto"/>
        <w:tabs>
          <w:tab w:leader="none" w:pos="1230" w:val="left"/>
        </w:tabs>
        <w:numPr>
          <w:ilvl w:val="0"/>
          <w:numId w:val="1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Share Counting</w:t>
      </w:r>
      <w:r>
        <w:rPr>
          <w:rFonts w:ascii="Times New Roman" w:cs="Times New Roman" w:eastAsia="Times New Roman" w:hAnsi="Times New Roman"/>
          <w:sz w:val="21"/>
          <w:szCs w:val="21"/>
          <w:color w:val="auto"/>
        </w:rPr>
        <w:t>. Other than with respect to Substitute Awards, to the extent that an Award expires or is forfeited or terminated without issuance to the Participant of the full number of shares of Common Stock to which the Award related, the unissued shares underlying such Award will be returned to the Plan Share Reserve and again be available for grant under the Plan. Any Awards settled in cash (including any shares of Common Stock that would have been delivered in connection with any such Award had there been no cash settlement) shall not be counted against the number of shares of Common Stock available for issuance under the Plan. Shares of Common Stock withheld in payment of the Exercise Price or SAR Base Price shall constitute shares of Common Stock issued to the Participant and shall reduce the Plan Share Reserve. Shares of Common Stock withheld in payment of taxes relating to an Award other than an Option or SAR shall not constitute shares of Common Stock issued to the Participant and shall not reduce the Plan Share Reserve.</w:t>
      </w:r>
    </w:p>
    <w:p>
      <w:pPr>
        <w:spacing w:after="0" w:line="173" w:lineRule="exact"/>
        <w:rPr>
          <w:rFonts w:ascii="Times New Roman" w:cs="Times New Roman" w:eastAsia="Times New Roman" w:hAnsi="Times New Roman"/>
          <w:sz w:val="21"/>
          <w:szCs w:val="21"/>
          <w:color w:val="010000"/>
        </w:rPr>
      </w:pPr>
    </w:p>
    <w:p>
      <w:pPr>
        <w:jc w:val="both"/>
        <w:ind w:firstLine="620"/>
        <w:spacing w:after="0" w:line="255" w:lineRule="auto"/>
        <w:tabs>
          <w:tab w:leader="none" w:pos="1229" w:val="left"/>
        </w:tabs>
        <w:numPr>
          <w:ilvl w:val="0"/>
          <w:numId w:val="1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Source of Shares</w:t>
      </w:r>
      <w:r>
        <w:rPr>
          <w:rFonts w:ascii="Times New Roman" w:cs="Times New Roman" w:eastAsia="Times New Roman" w:hAnsi="Times New Roman"/>
          <w:sz w:val="21"/>
          <w:szCs w:val="21"/>
          <w:color w:val="auto"/>
        </w:rPr>
        <w:t>. Shares of Common Stock issued by the Company in settlement of Awards may be authorized and unissued shares, shares of Common Stock held in the treasury of the Company, shares of Common Stock purchased on the open market or by private purchase or a combination of the foregoing.</w:t>
      </w:r>
    </w:p>
    <w:p>
      <w:pPr>
        <w:spacing w:after="0" w:line="168" w:lineRule="exact"/>
        <w:rPr>
          <w:rFonts w:ascii="Times New Roman" w:cs="Times New Roman" w:eastAsia="Times New Roman" w:hAnsi="Times New Roman"/>
          <w:sz w:val="21"/>
          <w:szCs w:val="21"/>
          <w:color w:val="010000"/>
        </w:rPr>
      </w:pPr>
    </w:p>
    <w:p>
      <w:pPr>
        <w:jc w:val="both"/>
        <w:ind w:firstLine="620"/>
        <w:spacing w:after="0" w:line="249" w:lineRule="auto"/>
        <w:tabs>
          <w:tab w:leader="none" w:pos="1230" w:val="left"/>
        </w:tabs>
        <w:numPr>
          <w:ilvl w:val="0"/>
          <w:numId w:val="1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Substitute Awards</w:t>
      </w:r>
      <w:r>
        <w:rPr>
          <w:rFonts w:ascii="Times New Roman" w:cs="Times New Roman" w:eastAsia="Times New Roman" w:hAnsi="Times New Roman"/>
          <w:sz w:val="21"/>
          <w:szCs w:val="21"/>
          <w:color w:val="auto"/>
        </w:rPr>
        <w:t>. Awards may, in the sole discretion of the Committee, be granted under the Plan in assumption of, or in substitution for, outstanding awards previously granted by an entity directly or indirectly acquired by the Company or with which the Company combines (“</w:t>
      </w:r>
      <w:r>
        <w:rPr>
          <w:rFonts w:ascii="Times New Roman" w:cs="Times New Roman" w:eastAsia="Times New Roman" w:hAnsi="Times New Roman"/>
          <w:sz w:val="21"/>
          <w:szCs w:val="21"/>
          <w:u w:val="single" w:color="auto"/>
          <w:color w:val="auto"/>
        </w:rPr>
        <w:t>Substitute Awards</w:t>
      </w:r>
      <w:r>
        <w:rPr>
          <w:rFonts w:ascii="Times New Roman" w:cs="Times New Roman" w:eastAsia="Times New Roman" w:hAnsi="Times New Roman"/>
          <w:sz w:val="21"/>
          <w:szCs w:val="21"/>
          <w:color w:val="auto"/>
        </w:rPr>
        <w:t xml:space="preserve">”). Substitute Awards shall not be counted against the Plan Share 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Substitute Awards issued in connection with the assumption of, or in substitution for, outstanding options intended to qualify as “incentive stock options” within the meaning of Section 422 of the Code shall be counted against the aggregate number of shares of Common Stock available for Awards of Incentive Stock Options under the Plan. Subject to applicable stock exchange requirements, available shares under a stockholder-approved plan of an entity directly or indirectly acquired by the Company or with which the Company combines (as appropriately adjusted to reflect the acquisition or combination transaction) may be used for Awards under the Plan and shall not reduce the number of shares of Common Stock available for issuance under the Plan.</w:t>
      </w:r>
    </w:p>
    <w:p>
      <w:pPr>
        <w:spacing w:after="0" w:line="170" w:lineRule="exact"/>
        <w:rPr>
          <w:sz w:val="20"/>
          <w:szCs w:val="20"/>
          <w:color w:val="auto"/>
        </w:rPr>
      </w:pPr>
    </w:p>
    <w:p>
      <w:pPr>
        <w:ind w:left="1240" w:hanging="620"/>
        <w:spacing w:after="0"/>
        <w:tabs>
          <w:tab w:leader="none" w:pos="1240" w:val="left"/>
        </w:tabs>
        <w:numPr>
          <w:ilvl w:val="0"/>
          <w:numId w:val="19"/>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Options</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jc w:val="both"/>
        <w:ind w:firstLine="620"/>
        <w:spacing w:after="0" w:line="261" w:lineRule="auto"/>
        <w:tabs>
          <w:tab w:leader="none" w:pos="1230" w:val="left"/>
        </w:tabs>
        <w:numPr>
          <w:ilvl w:val="0"/>
          <w:numId w:val="2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Each Option granted under the Plan shall be evidenced by an Award Agreement, which agreement need not be the same for each Participant. Each Option so granted shall be subject to the conditions set forth in this Section 7, and to such other conditions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61" w:right="339" w:bottom="1440" w:gutter="0" w:footer="0" w:header="0"/>
        </w:sectPr>
      </w:pPr>
    </w:p>
    <w:bookmarkStart w:id="15" w:name="page16"/>
    <w:bookmarkEnd w:id="15"/>
    <w:p>
      <w:pPr>
        <w:jc w:val="both"/>
        <w:spacing w:after="0" w:line="249" w:lineRule="auto"/>
        <w:rPr>
          <w:sz w:val="20"/>
          <w:szCs w:val="20"/>
          <w:color w:val="auto"/>
        </w:rPr>
      </w:pPr>
      <w:r>
        <w:rPr>
          <w:rFonts w:ascii="Times New Roman" w:cs="Times New Roman" w:eastAsia="Times New Roman" w:hAnsi="Times New Roman"/>
          <w:sz w:val="21"/>
          <w:szCs w:val="21"/>
          <w:color w:val="auto"/>
        </w:rPr>
        <w:t>inconsistent with the Plan as may be reflected in the applicable Award Agreement. All Options granted under the Plan shall be Nonqualified Stock Options unless the applicable Award Agreement expressly states that the Option is intended to be an Incentive Stock Option. Incentive Stock Options may be granted only to Eligible Persons who are employees of a member of the Company Group. No Option may be treated as an Incentive Stock Option unless the Plan has been approved by the stockholders of the Company in a manner intended to comply with the stockholder approval requirements of Section 422(b)(1) of the Code. Any Option intended to be an Incentive Stock Option which does not qualify as an Incentive Stock Option for any reason, including by reason of grant to an Eligible Person who is not an employee or the Plan not being properly approved by the stockholders of the Company under Section 422(b)(1) of the Code, then, to the extent of such non-qualification, such Option or portion thereof shall be regarded as a Nonqualified Stock Option appropriately granted under the Plan.</w:t>
      </w:r>
    </w:p>
    <w:p>
      <w:pPr>
        <w:spacing w:after="0" w:line="174" w:lineRule="exact"/>
        <w:rPr>
          <w:sz w:val="20"/>
          <w:szCs w:val="20"/>
          <w:color w:val="auto"/>
        </w:rPr>
      </w:pPr>
    </w:p>
    <w:p>
      <w:pPr>
        <w:jc w:val="both"/>
        <w:ind w:firstLine="620"/>
        <w:spacing w:after="0" w:line="246" w:lineRule="auto"/>
        <w:tabs>
          <w:tab w:leader="none" w:pos="1229" w:val="left"/>
        </w:tabs>
        <w:numPr>
          <w:ilvl w:val="0"/>
          <w:numId w:val="2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Exercise Price; Fair Market Value</w:t>
      </w:r>
      <w:r>
        <w:rPr>
          <w:rFonts w:ascii="Times New Roman" w:cs="Times New Roman" w:eastAsia="Times New Roman" w:hAnsi="Times New Roman"/>
          <w:sz w:val="21"/>
          <w:szCs w:val="21"/>
          <w:color w:val="auto"/>
        </w:rPr>
        <w:t>. Except as otherwise provided by the Committee in the case of Substitute Awards, the exercise price (“</w:t>
      </w:r>
      <w:r>
        <w:rPr>
          <w:rFonts w:ascii="Times New Roman" w:cs="Times New Roman" w:eastAsia="Times New Roman" w:hAnsi="Times New Roman"/>
          <w:sz w:val="21"/>
          <w:szCs w:val="21"/>
          <w:u w:val="single" w:color="auto"/>
          <w:color w:val="auto"/>
        </w:rPr>
        <w:t>Exercise Price</w:t>
      </w:r>
      <w:r>
        <w:rPr>
          <w:rFonts w:ascii="Times New Roman" w:cs="Times New Roman" w:eastAsia="Times New Roman" w:hAnsi="Times New Roman"/>
          <w:sz w:val="21"/>
          <w:szCs w:val="21"/>
          <w:color w:val="auto"/>
        </w:rPr>
        <w:t xml:space="preserve">”) per share of Common Stock for each Option shall not be less than 100% of the Grant Date Fair Market Value of such share;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in the case of an Incentive Stock Option granted to an employee who, at the time of the grant of such Option, owns stock representing more than 10% of the voting power of all classes of stock of any member of the Company Group, the Exercise Price per share shall be no less than 110% of the Grant Date Fair Market Value per share. In addition, the aggregate Fair Market Value of the number of shares of Common Stock (determined at the time an Incentive Stock Option is granted) for which Incentive Stock Options are exercisable for the first time by a Participant during any calendar year, under all of the incentive stock option plans of the Company Group, may not exceed $100,000. To the extent an Option that by its terms was intended to be an Incentive Stock Option exceeds this $100,000 limit, the portion of the Option in excess of such limit shall be treated as a Nonqualified Stock Option.</w:t>
      </w:r>
    </w:p>
    <w:p>
      <w:pPr>
        <w:spacing w:after="0" w:line="197" w:lineRule="exact"/>
        <w:rPr>
          <w:rFonts w:ascii="Times New Roman" w:cs="Times New Roman" w:eastAsia="Times New Roman" w:hAnsi="Times New Roman"/>
          <w:sz w:val="21"/>
          <w:szCs w:val="21"/>
          <w:color w:val="010000"/>
        </w:rPr>
      </w:pPr>
    </w:p>
    <w:p>
      <w:pPr>
        <w:ind w:left="1240" w:hanging="620"/>
        <w:spacing w:after="0"/>
        <w:tabs>
          <w:tab w:leader="none" w:pos="1240" w:val="left"/>
        </w:tabs>
        <w:numPr>
          <w:ilvl w:val="0"/>
          <w:numId w:val="2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Vesting and Expiration; Termination</w:t>
      </w:r>
      <w:r>
        <w:rPr>
          <w:rFonts w:ascii="Times New Roman" w:cs="Times New Roman" w:eastAsia="Times New Roman" w:hAnsi="Times New Roman"/>
          <w:sz w:val="21"/>
          <w:szCs w:val="21"/>
          <w:color w:val="auto"/>
        </w:rPr>
        <w:t>.</w:t>
      </w:r>
    </w:p>
    <w:p>
      <w:pPr>
        <w:spacing w:after="0" w:line="208" w:lineRule="exact"/>
        <w:rPr>
          <w:rFonts w:ascii="Times New Roman" w:cs="Times New Roman" w:eastAsia="Times New Roman" w:hAnsi="Times New Roman"/>
          <w:sz w:val="21"/>
          <w:szCs w:val="21"/>
          <w:color w:val="010000"/>
        </w:rPr>
      </w:pPr>
    </w:p>
    <w:p>
      <w:pPr>
        <w:jc w:val="both"/>
        <w:ind w:left="620" w:firstLine="616"/>
        <w:spacing w:after="0" w:line="255" w:lineRule="auto"/>
        <w:tabs>
          <w:tab w:leader="none" w:pos="1842" w:val="left"/>
        </w:tabs>
        <w:numPr>
          <w:ilvl w:val="1"/>
          <w:numId w:val="2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Options shall vest and become exercisable in such manner and on such date or dates or upon such event or events as determined by the Committee and as set forth in the applicable Award Agreement, including, without limitation, satisfaction of Performance Conditions.</w:t>
      </w:r>
    </w:p>
    <w:p>
      <w:pPr>
        <w:spacing w:after="0" w:line="168" w:lineRule="exact"/>
        <w:rPr>
          <w:rFonts w:ascii="Times New Roman" w:cs="Times New Roman" w:eastAsia="Times New Roman" w:hAnsi="Times New Roman"/>
          <w:sz w:val="21"/>
          <w:szCs w:val="21"/>
          <w:color w:val="010000"/>
        </w:rPr>
      </w:pPr>
    </w:p>
    <w:p>
      <w:pPr>
        <w:jc w:val="both"/>
        <w:ind w:left="620" w:firstLine="616"/>
        <w:spacing w:after="0" w:line="255" w:lineRule="auto"/>
        <w:tabs>
          <w:tab w:leader="none" w:pos="1848" w:val="left"/>
        </w:tabs>
        <w:numPr>
          <w:ilvl w:val="1"/>
          <w:numId w:val="2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Options shall expire upon a date determined by the Committee, not to exceed 10 years from the Date of Grant (the “</w:t>
      </w:r>
      <w:r>
        <w:rPr>
          <w:rFonts w:ascii="Times New Roman" w:cs="Times New Roman" w:eastAsia="Times New Roman" w:hAnsi="Times New Roman"/>
          <w:sz w:val="21"/>
          <w:szCs w:val="21"/>
          <w:u w:val="single" w:color="auto"/>
          <w:color w:val="auto"/>
        </w:rPr>
        <w:t>Option Period</w:t>
      </w:r>
      <w:r>
        <w:rPr>
          <w:rFonts w:ascii="Times New Roman" w:cs="Times New Roman" w:eastAsia="Times New Roman" w:hAnsi="Times New Roman"/>
          <w:sz w:val="21"/>
          <w:szCs w:val="21"/>
          <w:color w:val="auto"/>
        </w:rPr>
        <w:t>”). Notwithstanding the foregoing, in no event shall the Option Period exceed five years from the Date of Grant in the case of an Incentive Stock Option granted to a Participant who on the Date of Grant owns stock representing more than 10% of the voting power of all classes of stock of any member of the Company Group.</w:t>
      </w:r>
    </w:p>
    <w:p>
      <w:pPr>
        <w:spacing w:after="0" w:line="168" w:lineRule="exact"/>
        <w:rPr>
          <w:rFonts w:ascii="Times New Roman" w:cs="Times New Roman" w:eastAsia="Times New Roman" w:hAnsi="Times New Roman"/>
          <w:sz w:val="21"/>
          <w:szCs w:val="21"/>
          <w:color w:val="010000"/>
        </w:rPr>
      </w:pPr>
    </w:p>
    <w:p>
      <w:pPr>
        <w:ind w:left="620" w:firstLine="616"/>
        <w:spacing w:after="0" w:line="268" w:lineRule="auto"/>
        <w:tabs>
          <w:tab w:leader="none" w:pos="1853" w:val="left"/>
        </w:tabs>
        <w:numPr>
          <w:ilvl w:val="1"/>
          <w:numId w:val="2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Unless otherwise determined by the Committee, in the event of a Participant’s Termination for any reason, such Participant’s Options will be treated in accordance with the applicable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61" w:right="339" w:bottom="1440" w:gutter="0" w:footer="0" w:header="0"/>
        </w:sectPr>
      </w:pPr>
    </w:p>
    <w:bookmarkStart w:id="16" w:name="page17"/>
    <w:bookmarkEnd w:id="16"/>
    <w:p>
      <w:pPr>
        <w:jc w:val="both"/>
        <w:ind w:firstLine="620"/>
        <w:spacing w:after="0" w:line="258" w:lineRule="auto"/>
        <w:tabs>
          <w:tab w:leader="none" w:pos="1229" w:val="left"/>
        </w:tabs>
        <w:numPr>
          <w:ilvl w:val="1"/>
          <w:numId w:val="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Method of Exercise and Form of Payment</w:t>
      </w:r>
      <w:r>
        <w:rPr>
          <w:rFonts w:ascii="Times New Roman" w:cs="Times New Roman" w:eastAsia="Times New Roman" w:hAnsi="Times New Roman"/>
          <w:sz w:val="20"/>
          <w:szCs w:val="20"/>
          <w:color w:val="auto"/>
        </w:rPr>
        <w:t xml:space="preserve">. No shares of Common Stock shall be issued pursuant to any exercise of an Option until payment in full of the Exercise Price therefor is received by the Company and the Participant has paid to the Company an amount equal to any Federal, state, local and non-U.S. income, employment and any other applicable taxes that are required to be withheld under Applicable Law, as determined in accordance with Section 12(d) hereof. Options which have become exercisable may be exercised by delivery of written or electronic notice (or telephonic instructions to the extent provided by the Committee) of exercise to the Company (or any third-party administrator, as applicable) in accordance with the terms of the Option and any other exercise procedure established by the Committee, accompanied by payment of the Exercise Price. Unless otherwise provided by the Committee, whether in an Award Agreement or otherwise, the Exercise Price shall be payable: (i) in cash, check, cash equivalent and/or shares of Common Stock valued at the Fair Market Value at the time the Option is exercised;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such shares of Common Stock are not subject to any pledge or other security interest and have been held by the Participant for at least six months (or such other period as established from time to time by the Committee in order to avoid adverse accounting treatment applying generally accepted accounting principles (“</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or (ii) by such other method as the Committee may permit, in its sole discretion, including, without limitation</w:t>
      </w:r>
    </w:p>
    <w:p>
      <w:pPr>
        <w:spacing w:after="0" w:line="10" w:lineRule="exact"/>
        <w:rPr>
          <w:rFonts w:ascii="Times New Roman" w:cs="Times New Roman" w:eastAsia="Times New Roman" w:hAnsi="Times New Roman"/>
          <w:sz w:val="20"/>
          <w:szCs w:val="20"/>
          <w:color w:val="010000"/>
        </w:rPr>
      </w:pPr>
    </w:p>
    <w:p>
      <w:pPr>
        <w:jc w:val="both"/>
        <w:ind w:firstLine="3"/>
        <w:spacing w:after="0" w:line="245" w:lineRule="auto"/>
        <w:tabs>
          <w:tab w:leader="none" w:pos="338"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other property having a fair market value on the date of exercise equal to the Exercise Price; (B) if there is a public market for the shares of Common Stock at such time, by means of a broker-assisted “cashless exercise” pursuant to which the Company is delivered (including telephonically to the extent permitted by the Committee) a copy of irrevocable instructions to a stockbroker to sell the shares of Common Stock otherwise issuable upon the exercise of the Option and to deliver promptly to the Company an amount equal to the Exercise Price; or (C) a “net exercise” procedure effected by withholding the minimum number of shares of Common Stock otherwise issuable in respect of an Option that are needed to pay the Exercise Price and any Federal, state, local and non-U.S. income, employment and any other applicable taxes that are required to be withheld under Applicable Law, as determined in accordance with Section 12(d) hereof. In the Committee’s discretion, fractional shares of Common Stock may be delivered under the Plan, including in connection with any cashless exercise, net exercise, or tax withholding. In the Committee’s discretion, fractional shares of Common Stock may be settled in cash.</w:t>
      </w:r>
    </w:p>
    <w:p>
      <w:pPr>
        <w:spacing w:after="0" w:line="185" w:lineRule="exact"/>
        <w:rPr>
          <w:rFonts w:ascii="Times New Roman" w:cs="Times New Roman" w:eastAsia="Times New Roman" w:hAnsi="Times New Roman"/>
          <w:sz w:val="21"/>
          <w:szCs w:val="21"/>
          <w:color w:val="auto"/>
        </w:rPr>
      </w:pPr>
    </w:p>
    <w:p>
      <w:pPr>
        <w:jc w:val="both"/>
        <w:ind w:firstLine="620"/>
        <w:spacing w:after="0" w:line="249" w:lineRule="auto"/>
        <w:tabs>
          <w:tab w:leader="none" w:pos="1230" w:val="left"/>
        </w:tabs>
        <w:numPr>
          <w:ilvl w:val="1"/>
          <w:numId w:val="2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Notification upon Disqualifying Disposition of an Incentive Stock Option</w:t>
      </w:r>
      <w:r>
        <w:rPr>
          <w:rFonts w:ascii="Times New Roman" w:cs="Times New Roman" w:eastAsia="Times New Roman" w:hAnsi="Times New Roman"/>
          <w:sz w:val="21"/>
          <w:szCs w:val="21"/>
          <w:color w:val="auto"/>
        </w:rPr>
        <w:t>. Each Participant awarded an Incentive Stock Option under the Plan shall notify the Company in writing immediately after the date the Participant makes a disqualifying disposition of any shares of Common Stock acquired pursuant to the exercise of such Incentive Stock Option. A disqualifying disposition is any disposition (including, without limitation, any sale) of such shares of Common Stock before the later of (i) the date that is two years after the Date of Grant of the Incentive Stock Option or (ii) the date that is one year after the date of exercise of the Incentive Stock Option. The Company may, if determined by the Committee and in accordance with procedures established by the Committee, retain possession, as agent for the applicable Participant, of any shares of Common Stock acquired pursuant to the exercise of an Incentive Stock Option until the end of the period described in the preceding sentence, subject to complying with any instructions from such Participant as to the sale of such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61" w:right="339" w:bottom="1440" w:gutter="0" w:footer="0" w:header="0"/>
        </w:sectPr>
      </w:pPr>
    </w:p>
    <w:bookmarkStart w:id="17" w:name="page18"/>
    <w:bookmarkEnd w:id="17"/>
    <w:p>
      <w:pPr>
        <w:jc w:val="both"/>
        <w:ind w:firstLine="620"/>
        <w:spacing w:after="0" w:line="255" w:lineRule="auto"/>
        <w:tabs>
          <w:tab w:leader="none" w:pos="1233" w:val="left"/>
        </w:tabs>
        <w:numPr>
          <w:ilvl w:val="0"/>
          <w:numId w:val="2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 Notwithstanding the foregoing, in no event shall a Participant be permitted to exercise an Option in a manner which the Committee determines would violate the Sarbanes-Oxley Act of 2002, as it may be amended from time to time, or any other Applicable Law.</w:t>
      </w:r>
    </w:p>
    <w:p>
      <w:pPr>
        <w:spacing w:after="0" w:line="177" w:lineRule="exact"/>
        <w:rPr>
          <w:sz w:val="20"/>
          <w:szCs w:val="20"/>
          <w:color w:val="auto"/>
        </w:rPr>
      </w:pPr>
    </w:p>
    <w:p>
      <w:pPr>
        <w:ind w:left="1240" w:hanging="620"/>
        <w:spacing w:after="0"/>
        <w:tabs>
          <w:tab w:leader="none" w:pos="1240" w:val="left"/>
        </w:tabs>
        <w:numPr>
          <w:ilvl w:val="0"/>
          <w:numId w:val="25"/>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Restricted Stock and Restricted Stock Units</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jc w:val="both"/>
        <w:ind w:firstLine="620"/>
        <w:spacing w:after="0" w:line="255" w:lineRule="auto"/>
        <w:tabs>
          <w:tab w:leader="none" w:pos="1230" w:val="left"/>
        </w:tabs>
        <w:numPr>
          <w:ilvl w:val="0"/>
          <w:numId w:val="2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Each grant of Restricted Stock and Restricted Stock Units shall be evidenced by an Award Agreement. Each Restricted Stock and Restricted Stock Unit so granted shall be subject to the conditions set forth in this Section 8, and to such other conditions not inconsistent with the Plan as may be reflected in the applicable Award Agreement.</w:t>
      </w:r>
    </w:p>
    <w:p>
      <w:pPr>
        <w:spacing w:after="0" w:line="168" w:lineRule="exact"/>
        <w:rPr>
          <w:rFonts w:ascii="Times New Roman" w:cs="Times New Roman" w:eastAsia="Times New Roman" w:hAnsi="Times New Roman"/>
          <w:sz w:val="21"/>
          <w:szCs w:val="21"/>
          <w:color w:val="010000"/>
        </w:rPr>
      </w:pPr>
    </w:p>
    <w:p>
      <w:pPr>
        <w:jc w:val="both"/>
        <w:ind w:firstLine="620"/>
        <w:spacing w:after="0" w:line="247" w:lineRule="auto"/>
        <w:tabs>
          <w:tab w:leader="none" w:pos="1229" w:val="left"/>
        </w:tabs>
        <w:numPr>
          <w:ilvl w:val="0"/>
          <w:numId w:val="2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Stock Certificates and Book-Entry; Escrow or Similar Arrangement</w:t>
      </w:r>
      <w:r>
        <w:rPr>
          <w:rFonts w:ascii="Times New Roman" w:cs="Times New Roman" w:eastAsia="Times New Roman" w:hAnsi="Times New Roman"/>
          <w:sz w:val="21"/>
          <w:szCs w:val="21"/>
          <w:color w:val="auto"/>
        </w:rPr>
        <w:t>. Upon the grant of Restricted Stock, the Committee shall cause a stock certificate registered in the name of the Participant to be issued or shall cause share(s) of Common Stock to be registered in the name of the Participant and held in book-entry form subject to the Company’s directions and, if the Committee determines that the Restricted Stock shall be held by the Company or in escrow rather than issued to the Participant pending the release of the applicable restrictions, the Committee may require the Participant to additionally execute and deliver to the Company (i) an escrow agreement satisfactory to the Committee, if applicable and (ii) the appropriate stock power (endorsed in blank) with respect to the Restricted Stock covered by such agreement. Subject to the restrictions set forth in this Section 8, Sections 12(b) and 12(c) of the Plan and the applicable Award Agreement, a Participant generally shall have the rights and privileges of a stockholder as to shares of Restricted Stock, including, without limitation, the right to vote such Restricted Stock and the right to receive any dividends and other distributions. To the extent shares of Restricted Stock are forfeited, any stock certificates issued to the Participant evidencing such shares shall be returned to the Company, and all rights of the Participant to such shares and as a stockholder with respect thereto shall terminate without further obligation on the part of the Company. A Participant shall have no rights or privileges as a stockholder as to Restricted Stock Units.</w:t>
      </w:r>
    </w:p>
    <w:p>
      <w:pPr>
        <w:spacing w:after="0" w:line="186" w:lineRule="exact"/>
        <w:rPr>
          <w:rFonts w:ascii="Times New Roman" w:cs="Times New Roman" w:eastAsia="Times New Roman" w:hAnsi="Times New Roman"/>
          <w:sz w:val="21"/>
          <w:szCs w:val="21"/>
          <w:color w:val="010000"/>
        </w:rPr>
      </w:pPr>
    </w:p>
    <w:p>
      <w:pPr>
        <w:ind w:left="1240" w:hanging="620"/>
        <w:spacing w:after="0"/>
        <w:tabs>
          <w:tab w:leader="none" w:pos="1240" w:val="left"/>
        </w:tabs>
        <w:numPr>
          <w:ilvl w:val="0"/>
          <w:numId w:val="2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Vesting; Termination</w:t>
      </w:r>
      <w:r>
        <w:rPr>
          <w:rFonts w:ascii="Times New Roman" w:cs="Times New Roman" w:eastAsia="Times New Roman" w:hAnsi="Times New Roman"/>
          <w:sz w:val="21"/>
          <w:szCs w:val="21"/>
          <w:color w:val="auto"/>
        </w:rPr>
        <w:t>.</w:t>
      </w:r>
    </w:p>
    <w:p>
      <w:pPr>
        <w:spacing w:after="0" w:line="208" w:lineRule="exact"/>
        <w:rPr>
          <w:rFonts w:ascii="Times New Roman" w:cs="Times New Roman" w:eastAsia="Times New Roman" w:hAnsi="Times New Roman"/>
          <w:sz w:val="21"/>
          <w:szCs w:val="21"/>
          <w:color w:val="010000"/>
        </w:rPr>
      </w:pPr>
    </w:p>
    <w:p>
      <w:pPr>
        <w:jc w:val="both"/>
        <w:ind w:left="620" w:firstLine="616"/>
        <w:spacing w:after="0" w:line="255" w:lineRule="auto"/>
        <w:tabs>
          <w:tab w:leader="none" w:pos="1842" w:val="left"/>
        </w:tabs>
        <w:numPr>
          <w:ilvl w:val="1"/>
          <w:numId w:val="2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Restricted Stock and Restricted Stock Units shall vest, and any applicable Restricted Period shall lapse, in such manner and on such date or dates or upon such event or events as determined by the Committee and as set forth in the applicable Award Agreement, including, without limitation, satisfaction of Performance Conditions;</w:t>
      </w:r>
    </w:p>
    <w:p>
      <w:pPr>
        <w:spacing w:after="0" w:line="181" w:lineRule="exact"/>
        <w:rPr>
          <w:rFonts w:ascii="Times New Roman" w:cs="Times New Roman" w:eastAsia="Times New Roman" w:hAnsi="Times New Roman"/>
          <w:sz w:val="21"/>
          <w:szCs w:val="21"/>
          <w:color w:val="010000"/>
        </w:rPr>
      </w:pPr>
    </w:p>
    <w:p>
      <w:pPr>
        <w:ind w:left="620" w:firstLine="616"/>
        <w:spacing w:after="0" w:line="293" w:lineRule="auto"/>
        <w:tabs>
          <w:tab w:leader="none" w:pos="1848" w:val="left"/>
        </w:tabs>
        <w:numPr>
          <w:ilvl w:val="1"/>
          <w:numId w:val="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Unless otherwise determined by the Committee, in the event of a Participant’s Termination for any reason, such Participant’s Restricted Stock and Restricted Stock Units will be treated in accordance with the applicable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61" w:right="339" w:bottom="1440" w:gutter="0" w:footer="0" w:header="0"/>
        </w:sectPr>
      </w:pPr>
    </w:p>
    <w:bookmarkStart w:id="18" w:name="page19"/>
    <w:bookmarkEnd w:id="18"/>
    <w:p>
      <w:pPr>
        <w:ind w:left="1240" w:hanging="620"/>
        <w:spacing w:after="0"/>
        <w:tabs>
          <w:tab w:leader="none" w:pos="1240" w:val="left"/>
        </w:tabs>
        <w:numPr>
          <w:ilvl w:val="0"/>
          <w:numId w:val="2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Issuance of Restricted Stock and Settlement of Restricted Stock Units</w:t>
      </w:r>
      <w:r>
        <w:rPr>
          <w:rFonts w:ascii="Times New Roman" w:cs="Times New Roman" w:eastAsia="Times New Roman" w:hAnsi="Times New Roman"/>
          <w:sz w:val="21"/>
          <w:szCs w:val="21"/>
          <w:color w:val="auto"/>
        </w:rPr>
        <w:t>.</w:t>
      </w:r>
    </w:p>
    <w:p>
      <w:pPr>
        <w:spacing w:after="0" w:line="208" w:lineRule="exact"/>
        <w:rPr>
          <w:rFonts w:ascii="Times New Roman" w:cs="Times New Roman" w:eastAsia="Times New Roman" w:hAnsi="Times New Roman"/>
          <w:sz w:val="21"/>
          <w:szCs w:val="21"/>
          <w:color w:val="010000"/>
        </w:rPr>
      </w:pPr>
    </w:p>
    <w:p>
      <w:pPr>
        <w:jc w:val="both"/>
        <w:ind w:left="620" w:firstLine="616"/>
        <w:spacing w:after="0" w:line="250" w:lineRule="auto"/>
        <w:tabs>
          <w:tab w:leader="none" w:pos="1842" w:val="left"/>
        </w:tabs>
        <w:numPr>
          <w:ilvl w:val="1"/>
          <w:numId w:val="2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Upon the expiration of the Restricted Period with respect to any shares of Restricted Stock, the restrictions set forth in the applicable Award Agreement shall be of no further force or effect with respect to such shares, except as set forth in the applicable Award Agreement. If an escrow arrangement is used, upon such expiration, the Company shall issue to the Participant, or the Participant’s beneficiary, without charge, the stock certificate (or, if applicable, a notice evidencing a book-entry notation) evidencing the shares of Restricted Stock which have not then been forfeited and with respect to which the Restricted Period has expired (rounded down to the nearest full share).</w:t>
      </w:r>
    </w:p>
    <w:p>
      <w:pPr>
        <w:spacing w:after="0" w:line="173" w:lineRule="exact"/>
        <w:rPr>
          <w:rFonts w:ascii="Times New Roman" w:cs="Times New Roman" w:eastAsia="Times New Roman" w:hAnsi="Times New Roman"/>
          <w:sz w:val="21"/>
          <w:szCs w:val="21"/>
          <w:color w:val="010000"/>
        </w:rPr>
      </w:pPr>
    </w:p>
    <w:p>
      <w:pPr>
        <w:jc w:val="both"/>
        <w:ind w:left="620" w:firstLine="616"/>
        <w:spacing w:after="0" w:line="248" w:lineRule="auto"/>
        <w:tabs>
          <w:tab w:leader="none" w:pos="1848" w:val="left"/>
        </w:tabs>
        <w:numPr>
          <w:ilvl w:val="1"/>
          <w:numId w:val="2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Unless otherwise provided by the Committee in an Award Agreement or otherwise, upon the expiration of the Restricted Period with respect to any outstanding Restricted Stock Units, the Company shall issue to the Participant or the Participant’s beneficiary, without charge, one share of Common Stock (or other securities or other property, as applicable) for each such outstanding Restricted Stock Unit;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Committee may, in its sole discretion, elect to (A) pay cash or part cash and part shares of Common Stock in lieu of issuing only shares of Common Stock in respect of such Restricted Stock Units; or (B) defer the issuance of shares of Common Stock (or cash or part cash and part shares of Common Stock, as the case may be) beyond the expiration of the Restricted Period if such extension would not cause adverse tax consequences under Section 409A of the Code. If a cash payment is made in lieu of issuing shares of Common Stock in respect of such Restricted Stock Units, the amount of such payment shall be equal to the Fair Market Value per share of the Common Stock as of the date on which the Restricted Period lapsed with respect to such Restricted Stock Units.</w:t>
      </w:r>
    </w:p>
    <w:p>
      <w:pPr>
        <w:spacing w:after="0" w:line="177" w:lineRule="exact"/>
        <w:rPr>
          <w:rFonts w:ascii="Times New Roman" w:cs="Times New Roman" w:eastAsia="Times New Roman" w:hAnsi="Times New Roman"/>
          <w:sz w:val="21"/>
          <w:szCs w:val="21"/>
          <w:color w:val="010000"/>
        </w:rPr>
      </w:pPr>
    </w:p>
    <w:p>
      <w:pPr>
        <w:jc w:val="both"/>
        <w:ind w:firstLine="620"/>
        <w:spacing w:after="0" w:line="261" w:lineRule="auto"/>
        <w:tabs>
          <w:tab w:leader="none" w:pos="1230" w:val="left"/>
        </w:tabs>
        <w:numPr>
          <w:ilvl w:val="0"/>
          <w:numId w:val="2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Legends on Restricted Stock</w:t>
      </w:r>
      <w:r>
        <w:rPr>
          <w:rFonts w:ascii="Times New Roman" w:cs="Times New Roman" w:eastAsia="Times New Roman" w:hAnsi="Times New Roman"/>
          <w:sz w:val="21"/>
          <w:szCs w:val="21"/>
          <w:color w:val="auto"/>
        </w:rPr>
        <w:t>. Shares of Restricted Stock shall be evidenced in such manner as the Committee may deem appropriate, including book-entry registration or issuance of one or more stock certificates registered in the name of the Participant and bearing an appropriate legend referring to the terms, conditions and restrictions to such Award.</w:t>
      </w:r>
    </w:p>
    <w:p>
      <w:pPr>
        <w:spacing w:after="0" w:line="159" w:lineRule="exact"/>
        <w:rPr>
          <w:sz w:val="20"/>
          <w:szCs w:val="20"/>
          <w:color w:val="auto"/>
        </w:rPr>
      </w:pPr>
    </w:p>
    <w:p>
      <w:pPr>
        <w:jc w:val="both"/>
        <w:ind w:firstLine="620"/>
        <w:spacing w:after="0" w:line="247" w:lineRule="auto"/>
        <w:tabs>
          <w:tab w:leader="none" w:pos="1233" w:val="left"/>
        </w:tabs>
        <w:numPr>
          <w:ilvl w:val="0"/>
          <w:numId w:val="28"/>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Other Equity-Based Awards &amp; Cash Awards</w:t>
      </w:r>
      <w:r>
        <w:rPr>
          <w:rFonts w:ascii="Times New Roman" w:cs="Times New Roman" w:eastAsia="Times New Roman" w:hAnsi="Times New Roman"/>
          <w:sz w:val="21"/>
          <w:szCs w:val="21"/>
          <w:color w:val="auto"/>
        </w:rPr>
        <w:t>. The Committee may grant Other Equity-Based Awards and Cash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Awards under the Plan to Eligible Persons, alone or in tandem with other Awards, in such amounts and dependent on such conditions as the Committee shall from time to time in its sole discretion determine, including, without limitation, satisfaction of Performance Conditions. For the avoidance of doubt, Other Equity-Based Awards and Cash Awards may be granted subject to the satisfaction of vesting conditions not inconsistent with the Plan as may be reflected in the applicable Award Agreement or may be awarded purely as a bonus and not subject to restrictions or conditions, and if subject to vesting conditions, the Committee may accelerate the vesting of such Awards at any time in its sole discretion. The grant of a Cash Award shall not require a segregation of any of the Company’s assets for satisfaction of the Company’s payment obligation thereunder. Each Other Equity-Based Award and Cash Award granted under the Plan shall be evidenced by an Award Agreement and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6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1"/>
          <w:szCs w:val="21"/>
          <w:color w:val="auto"/>
        </w:rPr>
        <w:t>subject to such conditions not inconsistent with the Plan as may be reflected in the applicable Award Agreement.</w:t>
      </w:r>
    </w:p>
    <w:p>
      <w:pPr>
        <w:spacing w:after="0" w:line="204" w:lineRule="exact"/>
        <w:rPr>
          <w:sz w:val="20"/>
          <w:szCs w:val="20"/>
          <w:color w:val="auto"/>
        </w:rPr>
      </w:pPr>
    </w:p>
    <w:p>
      <w:pPr>
        <w:ind w:firstLine="620"/>
        <w:spacing w:after="0" w:line="272" w:lineRule="auto"/>
        <w:tabs>
          <w:tab w:leader="none" w:pos="1233" w:val="left"/>
        </w:tabs>
        <w:numPr>
          <w:ilvl w:val="0"/>
          <w:numId w:val="29"/>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Changes in Capital Structure and Similar Events</w:t>
      </w:r>
      <w:r>
        <w:rPr>
          <w:rFonts w:ascii="Times New Roman" w:cs="Times New Roman" w:eastAsia="Times New Roman" w:hAnsi="Times New Roman"/>
          <w:sz w:val="21"/>
          <w:szCs w:val="21"/>
          <w:color w:val="auto"/>
        </w:rPr>
        <w:t>. Notwithstanding any other provision in the Plan to the contrary,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following provisions shall apply to all Awards granted hereunder:</w:t>
      </w:r>
    </w:p>
    <w:p>
      <w:pPr>
        <w:spacing w:after="0" w:line="163" w:lineRule="exact"/>
        <w:rPr>
          <w:sz w:val="20"/>
          <w:szCs w:val="20"/>
          <w:color w:val="auto"/>
        </w:rPr>
      </w:pPr>
    </w:p>
    <w:p>
      <w:pPr>
        <w:ind w:left="1240" w:hanging="620"/>
        <w:spacing w:after="0"/>
        <w:tabs>
          <w:tab w:leader="none" w:pos="1240" w:val="left"/>
        </w:tabs>
        <w:numPr>
          <w:ilvl w:val="0"/>
          <w:numId w:val="3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Adjustment Events</w:t>
      </w:r>
      <w:r>
        <w:rPr>
          <w:rFonts w:ascii="Times New Roman" w:cs="Times New Roman" w:eastAsia="Times New Roman" w:hAnsi="Times New Roman"/>
          <w:sz w:val="21"/>
          <w:szCs w:val="21"/>
          <w:color w:val="auto"/>
        </w:rPr>
        <w:t>.</w:t>
      </w:r>
    </w:p>
    <w:p>
      <w:pPr>
        <w:spacing w:after="0" w:line="208" w:lineRule="exact"/>
        <w:rPr>
          <w:rFonts w:ascii="Times New Roman" w:cs="Times New Roman" w:eastAsia="Times New Roman" w:hAnsi="Times New Roman"/>
          <w:sz w:val="21"/>
          <w:szCs w:val="21"/>
          <w:color w:val="010000"/>
        </w:rPr>
      </w:pPr>
    </w:p>
    <w:p>
      <w:pPr>
        <w:jc w:val="both"/>
        <w:ind w:left="620" w:firstLine="616"/>
        <w:spacing w:after="0" w:line="259" w:lineRule="auto"/>
        <w:tabs>
          <w:tab w:leader="none" w:pos="1842" w:val="left"/>
        </w:tabs>
        <w:numPr>
          <w:ilvl w:val="1"/>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event of (A) any dividend (other than regular cash dividends) or other distribution (whether in the form of cash, shares of Common Stock, other securities or other property), recapitalization, stock split, reverse stock split, Disaffiliation, reorganization, merger, consolidation, split-up, split-off, spin-off, combination, repurchase or exchange of shares of Common Stock or other securities of the Company, issuance of warrants or other rights to acquire shares of Common Stock or other securities of the Company, or other similar corporate transaction or event that affects the shares of Common Stock (including a Change in Control); or (B) unusual or nonrecurring events affecting the Company, including changes in applicable rules, rulings, regulations or other requirements, that the Committee determines, in its sole discretion, could result in substantial dilution or enlargement of the rights intended to be granted to, or available for, Participants (any event in clause (A) or (B), an “</w:t>
      </w:r>
      <w:r>
        <w:rPr>
          <w:rFonts w:ascii="Times New Roman" w:cs="Times New Roman" w:eastAsia="Times New Roman" w:hAnsi="Times New Roman"/>
          <w:sz w:val="20"/>
          <w:szCs w:val="20"/>
          <w:u w:val="single" w:color="auto"/>
          <w:color w:val="auto"/>
        </w:rPr>
        <w:t>Adjustment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Event</w:t>
      </w:r>
      <w:r>
        <w:rPr>
          <w:rFonts w:ascii="Times New Roman" w:cs="Times New Roman" w:eastAsia="Times New Roman" w:hAnsi="Times New Roman"/>
          <w:sz w:val="20"/>
          <w:szCs w:val="20"/>
          <w:color w:val="auto"/>
        </w:rPr>
        <w:t>”), and subject to any limitation required under Applicable Law, the Committee shall, in respect of any such Adjustment Event, make such proportionate substitution or adjustment, if any, as it deems equitable, to any or all of (a) the Plan Share Reserve, or any other limit applicable under the Plan with respect to the number of Awards which may be granted hereunder;</w:t>
      </w:r>
    </w:p>
    <w:p>
      <w:pPr>
        <w:spacing w:after="0" w:line="2" w:lineRule="exact"/>
        <w:rPr>
          <w:rFonts w:ascii="Times New Roman" w:cs="Times New Roman" w:eastAsia="Times New Roman" w:hAnsi="Times New Roman"/>
          <w:sz w:val="20"/>
          <w:szCs w:val="20"/>
          <w:color w:val="010000"/>
        </w:rPr>
      </w:pPr>
    </w:p>
    <w:p>
      <w:pPr>
        <w:jc w:val="both"/>
        <w:ind w:left="620"/>
        <w:spacing w:after="0" w:line="258" w:lineRule="auto"/>
        <w:tabs>
          <w:tab w:leader="none" w:pos="9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number of shares of Common Stock or other securities of the Company (or number and kind of other securities or other property) which may be issued in respect of Awards or with respect to which Awards may be granted under the Plan or any Sub-Plan; and (c) the terms of any outstanding Award, including, without limitation, (I) the number of shares of Common Stock or other securities of the Company (or number and kind of other securities or other property) subject to outstanding Awards or to which outstanding Awards relate; (II) the Exercise Price or SAR Base Price with respect to any Option or SAR, as applicable, or any amount payable as a condition of issuance of shares of Common Stock (in the case of any other Award); or (III) any applicable Performance Conditions;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in the case of any “equity restructuring” (within the meaning of the Financial Accounting Standards Board Accounting Standards Codification Topic 718 (or any successor pronouncement thereto)), the Committee shall make an equitable or proportionate adjustment to outstanding Awards to reflect such equity restructuring.</w:t>
      </w:r>
    </w:p>
    <w:p>
      <w:pPr>
        <w:spacing w:after="0" w:line="181" w:lineRule="exact"/>
        <w:rPr>
          <w:rFonts w:ascii="Times New Roman" w:cs="Times New Roman" w:eastAsia="Times New Roman" w:hAnsi="Times New Roman"/>
          <w:sz w:val="20"/>
          <w:szCs w:val="20"/>
          <w:color w:val="auto"/>
        </w:rPr>
      </w:pPr>
    </w:p>
    <w:p>
      <w:pPr>
        <w:jc w:val="both"/>
        <w:ind w:left="620" w:firstLine="616"/>
        <w:spacing w:after="0" w:line="249" w:lineRule="auto"/>
        <w:tabs>
          <w:tab w:leader="none" w:pos="1848" w:val="left"/>
        </w:tabs>
        <w:numPr>
          <w:ilvl w:val="1"/>
          <w:numId w:val="3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adjustments made pursuant to this Section 10(a) to Awards that constitute “nonqualified deferred compensation” subject to Section 409A of the Code shall be made in compliance with the requirements of Section 409A of the Code; and any adjustments made pursuant to this Section 10(a) to Awards that do not constitute “nonqualified deferred compensation” subject to Section 409A of the Code shall be made in such a manner as to ensure that after such adjustments, either: (A) the Awards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61" w:right="339" w:bottom="1440" w:gutter="0" w:footer="0" w:header="0"/>
        </w:sectPr>
      </w:pPr>
    </w:p>
    <w:bookmarkStart w:id="20" w:name="page21"/>
    <w:bookmarkEnd w:id="20"/>
    <w:p>
      <w:pPr>
        <w:ind w:left="620"/>
        <w:spacing w:after="0" w:line="268" w:lineRule="auto"/>
        <w:rPr>
          <w:sz w:val="20"/>
          <w:szCs w:val="20"/>
          <w:color w:val="auto"/>
        </w:rPr>
      </w:pPr>
      <w:r>
        <w:rPr>
          <w:rFonts w:ascii="Times New Roman" w:cs="Times New Roman" w:eastAsia="Times New Roman" w:hAnsi="Times New Roman"/>
          <w:sz w:val="21"/>
          <w:szCs w:val="21"/>
          <w:color w:val="auto"/>
        </w:rPr>
        <w:t>not to constitute “nonqualified deferred compensation” subject to Section 409A of the Code; or (B) there does not result in the imposition of any penalty taxes under Section 409A of the Code in respect of such Awards.</w:t>
      </w:r>
    </w:p>
    <w:p>
      <w:pPr>
        <w:spacing w:after="0" w:line="155" w:lineRule="exact"/>
        <w:rPr>
          <w:sz w:val="20"/>
          <w:szCs w:val="20"/>
          <w:color w:val="auto"/>
        </w:rPr>
      </w:pPr>
    </w:p>
    <w:p>
      <w:pPr>
        <w:ind w:left="620" w:firstLine="616"/>
        <w:spacing w:after="0" w:line="280" w:lineRule="auto"/>
        <w:tabs>
          <w:tab w:leader="none" w:pos="1853" w:val="left"/>
        </w:tabs>
        <w:numPr>
          <w:ilvl w:val="1"/>
          <w:numId w:val="3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taking any of the actions permitted under this Section 10(a), the Committee will not be obligated to treat all Awards, all Awards held by a Participant, all Awards of the same type, or all portions of the same Award, similarly.</w:t>
      </w:r>
    </w:p>
    <w:p>
      <w:pPr>
        <w:spacing w:after="0" w:line="143" w:lineRule="exact"/>
        <w:rPr>
          <w:rFonts w:ascii="Times New Roman" w:cs="Times New Roman" w:eastAsia="Times New Roman" w:hAnsi="Times New Roman"/>
          <w:sz w:val="21"/>
          <w:szCs w:val="21"/>
          <w:color w:val="010000"/>
        </w:rPr>
      </w:pPr>
    </w:p>
    <w:p>
      <w:pPr>
        <w:jc w:val="both"/>
        <w:ind w:firstLine="620"/>
        <w:spacing w:after="0" w:line="255" w:lineRule="auto"/>
        <w:tabs>
          <w:tab w:leader="none" w:pos="1229" w:val="left"/>
        </w:tabs>
        <w:numPr>
          <w:ilvl w:val="0"/>
          <w:numId w:val="3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In the event of a Change in Control, each outstanding Award will be treated as the Committee determines (subject to the provisions of the following paragraph) whether with or without a Participant’s consent, including, without limitation, that:</w:t>
      </w:r>
    </w:p>
    <w:p>
      <w:pPr>
        <w:spacing w:after="0" w:line="168" w:lineRule="exact"/>
        <w:rPr>
          <w:rFonts w:ascii="Times New Roman" w:cs="Times New Roman" w:eastAsia="Times New Roman" w:hAnsi="Times New Roman"/>
          <w:sz w:val="21"/>
          <w:szCs w:val="21"/>
          <w:color w:val="010000"/>
        </w:rPr>
      </w:pPr>
    </w:p>
    <w:p>
      <w:pPr>
        <w:jc w:val="both"/>
        <w:ind w:left="620" w:firstLine="616"/>
        <w:spacing w:after="0" w:line="261" w:lineRule="auto"/>
        <w:tabs>
          <w:tab w:leader="none" w:pos="1842" w:val="left"/>
        </w:tabs>
        <w:numPr>
          <w:ilvl w:val="1"/>
          <w:numId w:val="3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such Award will be assumed, or a substantially equivalent Award will be substituted, by the acquiring or succeeding corporation (or an affiliate thereof) with appropriate adjustments as to the number and kind of shares and prices as set forth in Section 10(a);</w:t>
      </w:r>
    </w:p>
    <w:p>
      <w:pPr>
        <w:spacing w:after="0" w:line="163" w:lineRule="exact"/>
        <w:rPr>
          <w:sz w:val="20"/>
          <w:szCs w:val="20"/>
          <w:color w:val="auto"/>
        </w:rPr>
      </w:pPr>
    </w:p>
    <w:p>
      <w:pPr>
        <w:ind w:left="620" w:firstLine="616"/>
        <w:spacing w:after="0" w:line="268" w:lineRule="auto"/>
        <w:tabs>
          <w:tab w:leader="none" w:pos="1848" w:val="left"/>
        </w:tabs>
        <w:numPr>
          <w:ilvl w:val="0"/>
          <w:numId w:val="3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upon written notice to the applicable Participant, such Award will terminate upon or immediately prior to the consummation of such Change in Control;</w:t>
      </w:r>
    </w:p>
    <w:p>
      <w:pPr>
        <w:spacing w:after="0" w:line="154" w:lineRule="exact"/>
        <w:rPr>
          <w:rFonts w:ascii="Times New Roman" w:cs="Times New Roman" w:eastAsia="Times New Roman" w:hAnsi="Times New Roman"/>
          <w:sz w:val="21"/>
          <w:szCs w:val="21"/>
          <w:color w:val="010000"/>
        </w:rPr>
      </w:pPr>
    </w:p>
    <w:p>
      <w:pPr>
        <w:jc w:val="both"/>
        <w:ind w:left="620" w:firstLine="616"/>
        <w:spacing w:after="0" w:line="265" w:lineRule="auto"/>
        <w:tabs>
          <w:tab w:leader="none" w:pos="1853"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(1) such Award will terminate in exchange for an amount of stock, cash, or other securities or property, if any, equal to the amount that would have been attained upon the exercise of such Award or realization of the applicable Participant’s rights as of the date of the Change in Control (and, for the avoidance of doubt, if as of the date of the Change in Control the Committee determines in good faith that no amount would have been attained upon the exercise of such Award or realization of the applicable Participant’s rights thereunder, then such Award may be terminated by the Company without payment), or (2) such Awards will be replaced with other rights or property selected by the Committee in its sole discretion; or</w:t>
      </w:r>
    </w:p>
    <w:p>
      <w:pPr>
        <w:spacing w:after="0" w:line="159" w:lineRule="exact"/>
        <w:rPr>
          <w:rFonts w:ascii="Times New Roman" w:cs="Times New Roman" w:eastAsia="Times New Roman" w:hAnsi="Times New Roman"/>
          <w:sz w:val="20"/>
          <w:szCs w:val="20"/>
          <w:color w:val="010000"/>
        </w:rPr>
      </w:pPr>
    </w:p>
    <w:p>
      <w:pPr>
        <w:ind w:left="1840" w:hanging="604"/>
        <w:spacing w:after="0"/>
        <w:tabs>
          <w:tab w:leader="none" w:pos="1840" w:val="left"/>
        </w:tabs>
        <w:numPr>
          <w:ilvl w:val="0"/>
          <w:numId w:val="3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combination of the foregoing.</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In taking any of the actions permitted under this Section 10(b), the Committee will not be obligated to treat all Awards, all Awards held by a Participant, all Awards of the same type, or all portions of the same Award, similarly.</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Notwithstanding the generality of the foregoing, in the event of a Change in Control in which the acquiring or succeeding corporation does not assume or substitute for the Award (or portion of the Award), the Participant will fully vest in and have the right to exercise all of his or her outstanding Options and SARs (or portion thereof) that are not assumed or substituted for, including shares as to which such Awards would not otherwise be vested or exercisable, all restrictions on Restricted Stock and Restricted Stock Units (or portions thereof) not assumed or substituted for will lapse, and, with respect to Awards with performance-based vesting (or portions thereof) not assumed or substituted for, all performance goals or other vesting criteria will be deemed achieved at the greater of (i) one hundred percent (100%) of target levels and (ii) the level of achievement as determined by the Committee not later than the date of the Change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361" w:right="339" w:bottom="1440" w:gutter="0" w:footer="0" w:header="0"/>
        </w:sectPr>
      </w:pPr>
    </w:p>
    <w:bookmarkStart w:id="21" w:name="page22"/>
    <w:bookmarkEnd w:id="21"/>
    <w:p>
      <w:pPr>
        <w:jc w:val="both"/>
        <w:spacing w:after="0" w:line="249" w:lineRule="auto"/>
        <w:rPr>
          <w:sz w:val="20"/>
          <w:szCs w:val="20"/>
          <w:color w:val="auto"/>
        </w:rPr>
      </w:pPr>
      <w:r>
        <w:rPr>
          <w:rFonts w:ascii="Times New Roman" w:cs="Times New Roman" w:eastAsia="Times New Roman" w:hAnsi="Times New Roman"/>
          <w:sz w:val="21"/>
          <w:szCs w:val="21"/>
          <w:color w:val="auto"/>
        </w:rPr>
        <w:t>Control, taking into account performance through the latest date preceding the Change in Control as to which performance can, as a practical matter, be determined (but not later than the end of the applicable performance period) and, in each case, all other terms and conditions met, unless specifically provided otherwise under the applicable Award Agreement or other written agreement between the Participant and any member of the Company Group. In addition, if an Option or SAR (or portion thereof) is not assumed or substituted for, the Committee will notify the Participant in writing or electronically that the Option or SAR (or its applicable portion) will be exercisable for a period of time determined by the Committee in its sole discretion, and the Option or SAR (or its applicable portion) will terminate upon the expiration of such period.</w:t>
      </w:r>
    </w:p>
    <w:p>
      <w:pPr>
        <w:spacing w:after="0" w:line="17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For the purposes of this subsection (b), an Award will be considered assumed if, following the Change in Control: (i) the Award confers the right to purchase or receive, for each share subject to the Award immediately prior to such transaction, the consideration (whether stock, cash, or other securities or property) received in such Change in Control by holders of Common Stock for each share held on the effective date of the Change in Control (and if holders were offered a choice of consideration, the type of consideration chosen by the holders of a majority of the outstanding shares);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if such consideration received in such Change in Control is not solely common stock of the acquiring or succeeding corporation or its parent, the Committee may, with the consent of the acquiring or succeeding corporation, provide for the consideration to be received upon the exercise of an Option or SAR or upon the payout of a Restricted Stock Unit, for each share subject to such Award, to be solely common stock of the acquiring or succeeding corporation or its parent equal in fair market value to the per share consideration received by holders of Common Stock in the Change in Control and (ii) the Award retains a vesting schedule at least as favorable to Participant as the original Award.</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 xml:space="preserve">Notwithstanding anything in this Section 10(b) to the contrary, and unless otherwise provided for in an Award Agreement or other written agreement between the Participant and any member of the Company Group, an Award that vests, is earned or paid-out upon the satisfaction of one or more performance goals will not be considered assumed if the Company or its acquirer or successor modifies or eliminates any of such performance goals without the Participant’s consent if such modification or elimination would materially and adversely affect the rights of such Participant;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a modification to such performance goals only to reflect the acquiring or succeeding corporation’s corporate structure following the applicable Change in Control will not be deemed to invalidate an otherwise valid Award assumption and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with respect to any unvested performance-based Award, the Company may, without the consent of the affected Participant, (1) deem all performance goals achieved at the greater of (x) one hundred percent (100%) of target levels and (y) the level of achievement as determined by the Committee not later than the date of the Change in Control, taking into account performance through the latest date preceding the Change in Control as to which performance can, as a practical matter, be determined (but not later than the end of the applicable performance period) and (2) provide that the Award will continue to be subject to time-based vesting over the original vesting period.</w:t>
      </w:r>
    </w:p>
    <w:p>
      <w:pPr>
        <w:spacing w:after="0" w:line="17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1"/>
          <w:szCs w:val="21"/>
          <w:color w:val="auto"/>
        </w:rPr>
        <w:t>Notwithstanding anything in this Section 10(b) to the contrary, for any Award that constitutes “nonqualified deferred compensation” within the meaning of Section 409A of the Code,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361" w:right="339" w:bottom="1440" w:gutter="0" w:footer="0" w:header="0"/>
        </w:sectPr>
      </w:pPr>
    </w:p>
    <w:bookmarkStart w:id="22" w:name="page23"/>
    <w:bookmarkEnd w:id="22"/>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change in control definition contained in the Award Agreement or other agreement related to the Award does not constitute an event described in Section 409A(a)(2)(v) of the Code and the regulations promulgated thereunder (a “Section 409A CIC”), then any payment of an amount that is otherwise accelerated under this Section 10(b) will be delayed until the earliest time that such payment would be permissible under Section 409A of the Code without triggering any penalties applicable under Section 409A of the Code;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whether or not a Change in Control is a Section 409A CIC, such Change in Control shall result in the accelerated vesting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such Award to the extent provided by the Award Agreement, this Plan, other agreement related to the Award or otherwise by the Committee.</w:t>
      </w:r>
    </w:p>
    <w:p>
      <w:pPr>
        <w:spacing w:after="0" w:line="174" w:lineRule="exact"/>
        <w:rPr>
          <w:sz w:val="20"/>
          <w:szCs w:val="20"/>
          <w:color w:val="auto"/>
        </w:rPr>
      </w:pPr>
    </w:p>
    <w:p>
      <w:pPr>
        <w:jc w:val="both"/>
        <w:ind w:firstLine="620"/>
        <w:spacing w:after="0" w:line="250" w:lineRule="auto"/>
        <w:tabs>
          <w:tab w:leader="none" w:pos="1230" w:val="left"/>
        </w:tabs>
        <w:numPr>
          <w:ilvl w:val="0"/>
          <w:numId w:val="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Other Requirements</w:t>
      </w:r>
      <w:r>
        <w:rPr>
          <w:rFonts w:ascii="Times New Roman" w:cs="Times New Roman" w:eastAsia="Times New Roman" w:hAnsi="Times New Roman"/>
          <w:sz w:val="21"/>
          <w:szCs w:val="21"/>
          <w:color w:val="auto"/>
        </w:rPr>
        <w:t>. Prior to any payment or adjustment contemplated under this Section 10, the Committee may require a Participant to (i) represent and warrant as to the unencumbered title to the Participant’s Awards; (ii) bear such Participant’s pro rata share of any post-closing indemnity obligations, and be subject to the same post-closing purchase price adjustments, escrow terms, offset rights, holdback terms, and similar conditions as the other holders of Common Stock, subject to any limitations or reductions as may be necessary to comply with Section 409A of the Code; and (iii) deliver customary transfer documentation as reasonably determined by the Committee.</w:t>
      </w:r>
    </w:p>
    <w:p>
      <w:pPr>
        <w:spacing w:after="0" w:line="173" w:lineRule="exact"/>
        <w:rPr>
          <w:rFonts w:ascii="Times New Roman" w:cs="Times New Roman" w:eastAsia="Times New Roman" w:hAnsi="Times New Roman"/>
          <w:sz w:val="21"/>
          <w:szCs w:val="21"/>
          <w:color w:val="010000"/>
        </w:rPr>
      </w:pPr>
    </w:p>
    <w:p>
      <w:pPr>
        <w:ind w:firstLine="620"/>
        <w:spacing w:after="0" w:line="280" w:lineRule="auto"/>
        <w:tabs>
          <w:tab w:leader="none" w:pos="1229" w:val="left"/>
        </w:tabs>
        <w:numPr>
          <w:ilvl w:val="0"/>
          <w:numId w:val="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Fractional Shares</w:t>
      </w:r>
      <w:r>
        <w:rPr>
          <w:rFonts w:ascii="Times New Roman" w:cs="Times New Roman" w:eastAsia="Times New Roman" w:hAnsi="Times New Roman"/>
          <w:sz w:val="21"/>
          <w:szCs w:val="21"/>
          <w:color w:val="auto"/>
        </w:rPr>
        <w:t>. Unless otherwise determined by the Committee, any adjustment provided under this Section 10 may provide for the elimination of any fractional share that might otherwise become subject to an Award.</w:t>
      </w:r>
    </w:p>
    <w:p>
      <w:pPr>
        <w:spacing w:after="0" w:line="143" w:lineRule="exact"/>
        <w:rPr>
          <w:rFonts w:ascii="Times New Roman" w:cs="Times New Roman" w:eastAsia="Times New Roman" w:hAnsi="Times New Roman"/>
          <w:sz w:val="21"/>
          <w:szCs w:val="21"/>
          <w:color w:val="010000"/>
        </w:rPr>
      </w:pPr>
    </w:p>
    <w:p>
      <w:pPr>
        <w:ind w:firstLine="620"/>
        <w:spacing w:after="0" w:line="268" w:lineRule="auto"/>
        <w:tabs>
          <w:tab w:leader="none" w:pos="1230" w:val="left"/>
        </w:tabs>
        <w:numPr>
          <w:ilvl w:val="0"/>
          <w:numId w:val="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Any adjustment, substitution, determination of value or other action taken by the Committee under this Section 10 shall be conclusive and binding for all purposes.</w:t>
      </w:r>
    </w:p>
    <w:p>
      <w:pPr>
        <w:spacing w:after="0" w:line="151" w:lineRule="exact"/>
        <w:rPr>
          <w:sz w:val="20"/>
          <w:szCs w:val="20"/>
          <w:color w:val="auto"/>
        </w:rPr>
      </w:pPr>
    </w:p>
    <w:p>
      <w:pPr>
        <w:ind w:left="1220" w:hanging="600"/>
        <w:spacing w:after="0"/>
        <w:tabs>
          <w:tab w:leader="none" w:pos="1220" w:val="left"/>
        </w:tabs>
        <w:numPr>
          <w:ilvl w:val="0"/>
          <w:numId w:val="36"/>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Amendments and Termination</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jc w:val="both"/>
        <w:ind w:firstLine="620"/>
        <w:spacing w:after="0" w:line="250" w:lineRule="auto"/>
        <w:tabs>
          <w:tab w:leader="none" w:pos="1230" w:val="left"/>
        </w:tabs>
        <w:numPr>
          <w:ilvl w:val="0"/>
          <w:numId w:val="3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Amendment and Termination of the Plan</w:t>
      </w:r>
      <w:r>
        <w:rPr>
          <w:rFonts w:ascii="Times New Roman" w:cs="Times New Roman" w:eastAsia="Times New Roman" w:hAnsi="Times New Roman"/>
          <w:sz w:val="21"/>
          <w:szCs w:val="21"/>
          <w:color w:val="auto"/>
        </w:rPr>
        <w:t xml:space="preserve">. The Board may amend, alter, suspend, discontinue, or terminate the Plan or any portion thereof at any time;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Company will obtain stockholder approval of any Plan amendment to the extent necessary to comply with Applicable Laws;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 Notwithstanding the foregoing, no amendment shall be made to Section 11(c) of the Plan without stockholder approval.</w:t>
      </w:r>
    </w:p>
    <w:p>
      <w:pPr>
        <w:spacing w:after="0" w:line="186" w:lineRule="exact"/>
        <w:rPr>
          <w:rFonts w:ascii="Times New Roman" w:cs="Times New Roman" w:eastAsia="Times New Roman" w:hAnsi="Times New Roman"/>
          <w:sz w:val="21"/>
          <w:szCs w:val="21"/>
          <w:color w:val="010000"/>
        </w:rPr>
      </w:pPr>
    </w:p>
    <w:p>
      <w:pPr>
        <w:jc w:val="both"/>
        <w:ind w:firstLine="620"/>
        <w:spacing w:after="0" w:line="264" w:lineRule="auto"/>
        <w:tabs>
          <w:tab w:leader="none" w:pos="1229" w:val="left"/>
        </w:tabs>
        <w:numPr>
          <w:ilvl w:val="0"/>
          <w:numId w:val="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Amendment of Award Agreements</w:t>
      </w:r>
      <w:r>
        <w:rPr>
          <w:rFonts w:ascii="Times New Roman" w:cs="Times New Roman" w:eastAsia="Times New Roman" w:hAnsi="Times New Roman"/>
          <w:sz w:val="20"/>
          <w:szCs w:val="20"/>
          <w:color w:val="auto"/>
        </w:rPr>
        <w:t xml:space="preserve">. The Committee may, to the extent consistent with the terms of the Plan and any applicable Award Agreement, waive any conditions or rights under, amend or modify any terms of, or alter, suspend, discontinue, cancel or terminate, any Award theretofore granted or the associated Award Agreement, prospectively or retroactively (including after a Participant’s Termination);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other than pursuant to Section 10 or as required by Applicable Law, any such waiver, amendment, modification, alteration, suspension, discontinuance, cancellation or termination that would materially and adversely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361" w:right="339" w:bottom="1440" w:gutter="0" w:footer="0" w:header="0"/>
        </w:sectPr>
      </w:pPr>
    </w:p>
    <w:bookmarkStart w:id="23" w:name="page24"/>
    <w:bookmarkEnd w:id="23"/>
    <w:p>
      <w:pPr>
        <w:spacing w:after="0" w:line="268" w:lineRule="auto"/>
        <w:rPr>
          <w:sz w:val="20"/>
          <w:szCs w:val="20"/>
          <w:color w:val="auto"/>
        </w:rPr>
      </w:pPr>
      <w:r>
        <w:rPr>
          <w:rFonts w:ascii="Times New Roman" w:cs="Times New Roman" w:eastAsia="Times New Roman" w:hAnsi="Times New Roman"/>
          <w:sz w:val="21"/>
          <w:szCs w:val="21"/>
          <w:color w:val="auto"/>
        </w:rPr>
        <w:t>affect the rights of any Participant with respect to any Award theretofore granted shall not to that extent be effective without the consent of the affected Participant.</w:t>
      </w:r>
    </w:p>
    <w:p>
      <w:pPr>
        <w:spacing w:after="0" w:line="155" w:lineRule="exact"/>
        <w:rPr>
          <w:sz w:val="20"/>
          <w:szCs w:val="20"/>
          <w:color w:val="auto"/>
        </w:rPr>
      </w:pPr>
    </w:p>
    <w:p>
      <w:pPr>
        <w:jc w:val="both"/>
        <w:ind w:firstLine="620"/>
        <w:spacing w:after="0" w:line="251" w:lineRule="auto"/>
        <w:tabs>
          <w:tab w:leader="none" w:pos="1230" w:val="left"/>
        </w:tabs>
        <w:numPr>
          <w:ilvl w:val="0"/>
          <w:numId w:val="3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Repricing</w:t>
      </w:r>
      <w:r>
        <w:rPr>
          <w:rFonts w:ascii="Times New Roman" w:cs="Times New Roman" w:eastAsia="Times New Roman" w:hAnsi="Times New Roman"/>
          <w:sz w:val="21"/>
          <w:szCs w:val="21"/>
          <w:color w:val="auto"/>
        </w:rPr>
        <w:t>. Notwithstanding anything in the Plan to the contrary, without stockholder approval, except as otherwise permitted under Section 10 of the Plan, (i) no amendment or modification may reduce the Exercise Price of any Option or the SAR Base Price of any SAR; (ii) the Committee may not cancel any outstanding Option or SAR and replace it with a new Option or SAR (with a lower Exercise Price or SAR Base Price, as the case may be) or other Award or cash payment that is greater than the intrinsic value (if any) of the cancelled Option or SAR; and (iii) the Committee may not take any other action which is considered a “repricing” for purposes of the stockholder approval rules of any securities exchange or inter-dealer quotation system on which the securities of the Company are listed or quoted.</w:t>
      </w:r>
    </w:p>
    <w:p>
      <w:pPr>
        <w:spacing w:after="0" w:line="168" w:lineRule="exact"/>
        <w:rPr>
          <w:sz w:val="20"/>
          <w:szCs w:val="20"/>
          <w:color w:val="auto"/>
        </w:rPr>
      </w:pPr>
    </w:p>
    <w:p>
      <w:pPr>
        <w:ind w:left="1240" w:hanging="620"/>
        <w:spacing w:after="0"/>
        <w:tabs>
          <w:tab w:leader="none" w:pos="1240" w:val="left"/>
        </w:tabs>
        <w:numPr>
          <w:ilvl w:val="0"/>
          <w:numId w:val="39"/>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General</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jc w:val="both"/>
        <w:ind w:firstLine="620"/>
        <w:spacing w:after="0" w:line="263" w:lineRule="auto"/>
        <w:tabs>
          <w:tab w:leader="none" w:pos="1230" w:val="left"/>
        </w:tabs>
        <w:numPr>
          <w:ilvl w:val="0"/>
          <w:numId w:val="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Award Agreements</w:t>
      </w:r>
      <w:r>
        <w:rPr>
          <w:rFonts w:ascii="Times New Roman" w:cs="Times New Roman" w:eastAsia="Times New Roman" w:hAnsi="Times New Roman"/>
          <w:sz w:val="20"/>
          <w:szCs w:val="20"/>
          <w:color w:val="auto"/>
        </w:rPr>
        <w:t>. Each Award under the Plan shall be evidenced by an Award Agreement, which shall be delivered to the Participant to whom such Award was granted and need not be the same for each Participant. The Award Agreement shall specify the terms and conditions of the Award and any rules applicable thereto, including, without limitation, the effect on such Award of the death, Disability or Termination of a Participant, or of such other events as may be determined by the Committee. For purposes of the Plan, an Award Agreement may be in any such form (written or electronic) as determined by the Committee (including, without limitation, a Board or Committee resolution, an employment agreement, a notice, a certificate or a letter) evidencing the Award. The Committee need not require an Award Agreement to be signed by the Participant or a duly authorized representative of the Company.</w:t>
      </w:r>
    </w:p>
    <w:p>
      <w:pPr>
        <w:spacing w:after="0" w:line="163" w:lineRule="exact"/>
        <w:rPr>
          <w:rFonts w:ascii="Times New Roman" w:cs="Times New Roman" w:eastAsia="Times New Roman" w:hAnsi="Times New Roman"/>
          <w:sz w:val="20"/>
          <w:szCs w:val="20"/>
          <w:color w:val="010000"/>
        </w:rPr>
      </w:pPr>
    </w:p>
    <w:p>
      <w:pPr>
        <w:ind w:left="1240" w:hanging="620"/>
        <w:spacing w:after="0"/>
        <w:tabs>
          <w:tab w:leader="none" w:pos="1240" w:val="left"/>
        </w:tabs>
        <w:numPr>
          <w:ilvl w:val="0"/>
          <w:numId w:val="4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Nontransferability</w:t>
      </w:r>
      <w:r>
        <w:rPr>
          <w:rFonts w:ascii="Times New Roman" w:cs="Times New Roman" w:eastAsia="Times New Roman" w:hAnsi="Times New Roman"/>
          <w:sz w:val="21"/>
          <w:szCs w:val="21"/>
          <w:color w:val="auto"/>
        </w:rPr>
        <w:t>.</w:t>
      </w:r>
    </w:p>
    <w:p>
      <w:pPr>
        <w:spacing w:after="0" w:line="208" w:lineRule="exact"/>
        <w:rPr>
          <w:rFonts w:ascii="Times New Roman" w:cs="Times New Roman" w:eastAsia="Times New Roman" w:hAnsi="Times New Roman"/>
          <w:sz w:val="21"/>
          <w:szCs w:val="21"/>
          <w:color w:val="010000"/>
        </w:rPr>
      </w:pPr>
    </w:p>
    <w:p>
      <w:pPr>
        <w:jc w:val="both"/>
        <w:ind w:left="620" w:firstLine="616"/>
        <w:spacing w:after="0" w:line="249" w:lineRule="auto"/>
        <w:tabs>
          <w:tab w:leader="none" w:pos="1842" w:val="left"/>
        </w:tabs>
        <w:numPr>
          <w:ilvl w:val="1"/>
          <w:numId w:val="4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Each Award shall be exercisable only by such Participant to whom such Award was granted during the Participant’s lifetime, or, if permissible under Applicable Law, by the Participant’s legal guardian or representative. No Award may be assigned, alienated, pledged, attached, sold or otherwise transferred or encumbered by a Participant (unless such transfer is specifically required pursuant to a domestic relations order or by Applicable Law) other than by will or by the laws of descent and distribution or to the extent expressly permitted in writing by the Committee (including in the applicable Award Agreement) and any such purported assignment, alienation, pledge, attachment, sale, transfer or encumbrance shall be void and unenforceable against any member of the Company Group;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designation of a beneficiary shall not constitute an assignment, alienation, pledge, attachment, sale, transfer or encumbrance.</w:t>
      </w:r>
    </w:p>
    <w:p>
      <w:pPr>
        <w:spacing w:after="0" w:line="179" w:lineRule="exact"/>
        <w:rPr>
          <w:rFonts w:ascii="Times New Roman" w:cs="Times New Roman" w:eastAsia="Times New Roman" w:hAnsi="Times New Roman"/>
          <w:sz w:val="21"/>
          <w:szCs w:val="21"/>
          <w:color w:val="010000"/>
        </w:rPr>
      </w:pPr>
    </w:p>
    <w:p>
      <w:pPr>
        <w:jc w:val="both"/>
        <w:ind w:left="620" w:firstLine="616"/>
        <w:spacing w:after="0" w:line="252" w:lineRule="auto"/>
        <w:tabs>
          <w:tab w:leader="none" w:pos="1848" w:val="left"/>
        </w:tabs>
        <w:numPr>
          <w:ilvl w:val="1"/>
          <w:numId w:val="4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 any person who is a “family member” of the Participant, as such term is used in the instructions to Form S-8 under the Securities Act or any successor form of registration statement promulgated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360" w:right="339" w:bottom="1440" w:gutter="0" w:footer="0" w:header="0"/>
        </w:sectPr>
      </w:pPr>
    </w:p>
    <w:bookmarkStart w:id="24" w:name="page25"/>
    <w:bookmarkEnd w:id="24"/>
    <w:p>
      <w:pPr>
        <w:jc w:val="both"/>
        <w:spacing w:after="0" w:line="257" w:lineRule="auto"/>
        <w:rPr>
          <w:sz w:val="20"/>
          <w:szCs w:val="20"/>
          <w:color w:val="auto"/>
        </w:rPr>
      </w:pPr>
      <w:r>
        <w:rPr>
          <w:rFonts w:ascii="Times New Roman" w:cs="Times New Roman" w:eastAsia="Times New Roman" w:hAnsi="Times New Roman"/>
          <w:sz w:val="21"/>
          <w:szCs w:val="21"/>
          <w:color w:val="auto"/>
        </w:rPr>
        <w:t>by the Securities and Exchange Commission (a “</w:t>
      </w:r>
      <w:r>
        <w:rPr>
          <w:rFonts w:ascii="Times New Roman" w:cs="Times New Roman" w:eastAsia="Times New Roman" w:hAnsi="Times New Roman"/>
          <w:sz w:val="21"/>
          <w:szCs w:val="21"/>
          <w:u w:val="single" w:color="auto"/>
          <w:color w:val="auto"/>
        </w:rPr>
        <w:t>Permitted Transferee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179" w:lineRule="exact"/>
        <w:rPr>
          <w:sz w:val="20"/>
          <w:szCs w:val="20"/>
          <w:color w:val="auto"/>
        </w:rPr>
      </w:pPr>
    </w:p>
    <w:p>
      <w:pPr>
        <w:jc w:val="both"/>
        <w:ind w:firstLine="616"/>
        <w:spacing w:after="0" w:line="247" w:lineRule="auto"/>
        <w:tabs>
          <w:tab w:leader="none" w:pos="1234" w:val="left"/>
        </w:tabs>
        <w:numPr>
          <w:ilvl w:val="1"/>
          <w:numId w:val="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terms of any Award transferred in accordance with clause (ii) above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Common Stock to be acquired pursuant to the exercise of such Option if the Committee determines, consistent with any applicable Award Agreement, that such a registration statement is necessary or appropriate; (C) neither the Committee nor the Company shall be required to provide any notice to a Permitted Transferee, whether or not such notice is or would otherwise have been required to be given to the Participant under the Plan or otherwise; and (D) the consequences of a Participant’s Termination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spacing w:after="0" w:line="178" w:lineRule="exact"/>
        <w:rPr>
          <w:rFonts w:ascii="Times New Roman" w:cs="Times New Roman" w:eastAsia="Times New Roman" w:hAnsi="Times New Roman"/>
          <w:sz w:val="21"/>
          <w:szCs w:val="21"/>
          <w:color w:val="010000"/>
        </w:rPr>
      </w:pPr>
    </w:p>
    <w:p>
      <w:pPr>
        <w:ind w:left="620" w:hanging="620"/>
        <w:spacing w:after="0"/>
        <w:tabs>
          <w:tab w:leader="none" w:pos="620" w:val="left"/>
        </w:tabs>
        <w:numPr>
          <w:ilvl w:val="0"/>
          <w:numId w:val="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Dividends and Dividend Equivalents; No Dividends on Unearned Awards</w:t>
      </w:r>
      <w:r>
        <w:rPr>
          <w:rFonts w:ascii="Times New Roman" w:cs="Times New Roman" w:eastAsia="Times New Roman" w:hAnsi="Times New Roman"/>
          <w:sz w:val="21"/>
          <w:szCs w:val="21"/>
          <w:color w:val="auto"/>
        </w:rPr>
        <w:t>.</w:t>
      </w:r>
    </w:p>
    <w:p>
      <w:pPr>
        <w:spacing w:after="0" w:line="208" w:lineRule="exact"/>
        <w:rPr>
          <w:rFonts w:ascii="Times New Roman" w:cs="Times New Roman" w:eastAsia="Times New Roman" w:hAnsi="Times New Roman"/>
          <w:sz w:val="21"/>
          <w:szCs w:val="21"/>
          <w:color w:val="010000"/>
        </w:rPr>
      </w:pPr>
    </w:p>
    <w:p>
      <w:pPr>
        <w:jc w:val="both"/>
        <w:ind w:firstLine="616"/>
        <w:spacing w:after="0" w:line="250" w:lineRule="auto"/>
        <w:tabs>
          <w:tab w:leader="none" w:pos="1222" w:val="left"/>
        </w:tabs>
        <w:numPr>
          <w:ilvl w:val="1"/>
          <w:numId w:val="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Committee may, in its sole discretion, provide a Participant as part of an Award with dividends, dividend equivalents, or similar payments in respect of Awards, payable in cash, shares of Common Stock, other securities, other Awards or other property, on a current or deferred basis, with or without interest, on such terms and conditions as may be determined by the Committee in its sole discretion, including, without limitation, payment directly to the Participant, withholding of such amounts by the Company subject to vesting of the Award or reinvestment in additional shares of Common Stock, Restricted Stock or other Awards.</w:t>
      </w:r>
    </w:p>
    <w:p>
      <w:pPr>
        <w:spacing w:after="0" w:line="174" w:lineRule="exact"/>
        <w:rPr>
          <w:sz w:val="20"/>
          <w:szCs w:val="20"/>
          <w:color w:val="auto"/>
        </w:rPr>
      </w:pPr>
    </w:p>
    <w:p>
      <w:pPr>
        <w:jc w:val="both"/>
        <w:ind w:firstLine="616"/>
        <w:spacing w:after="0" w:line="250" w:lineRule="auto"/>
        <w:tabs>
          <w:tab w:leader="none" w:pos="1228" w:val="left"/>
        </w:tabs>
        <w:numPr>
          <w:ilvl w:val="0"/>
          <w:numId w:val="4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Without limiting the foregoing, any dividend otherwise payable in respect of any share of Restricted Stock that remains subject to vesting conditions at the time of payment of such dividend shall be retained by the Company and remain subject to the same vesting conditions as the share of Restricted Stock to which the dividend relates and shall be delivered (without interest) to the Participant within 15 days following the date on which such restrictions on such Restricted Stock lapse (and the right to any such accumulated dividends shall be forfeited upon the forfeiture of the Restricted Stock to which such dividends relate).</w:t>
      </w:r>
    </w:p>
    <w:p>
      <w:pPr>
        <w:spacing w:after="0" w:line="173" w:lineRule="exact"/>
        <w:rPr>
          <w:rFonts w:ascii="Times New Roman" w:cs="Times New Roman" w:eastAsia="Times New Roman" w:hAnsi="Times New Roman"/>
          <w:sz w:val="21"/>
          <w:szCs w:val="21"/>
          <w:color w:val="010000"/>
        </w:rPr>
      </w:pPr>
    </w:p>
    <w:p>
      <w:pPr>
        <w:jc w:val="both"/>
        <w:ind w:firstLine="616"/>
        <w:spacing w:after="0" w:line="261" w:lineRule="auto"/>
        <w:tabs>
          <w:tab w:leader="none" w:pos="1234" w:val="left"/>
        </w:tabs>
        <w:numPr>
          <w:ilvl w:val="0"/>
          <w:numId w:val="4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the extent provided in an Award Agreement, the holder of outstanding Restricted Stock Units or Other Equity-Based Awards shall be entitled to be credited with dividend equivalent payments (upon the payment by the Company of dividends 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0620"/>
          </w:cols>
          <w:pgMar w:left="940" w:top="1356" w:right="339" w:bottom="1440" w:gutter="0" w:footer="0" w:header="0"/>
        </w:sectPr>
      </w:pPr>
    </w:p>
    <w:bookmarkStart w:id="25" w:name="page26"/>
    <w:bookmarkEnd w:id="25"/>
    <w:p>
      <w:pPr>
        <w:jc w:val="both"/>
        <w:spacing w:after="0" w:line="262" w:lineRule="auto"/>
        <w:rPr>
          <w:sz w:val="20"/>
          <w:szCs w:val="20"/>
          <w:color w:val="auto"/>
        </w:rPr>
      </w:pPr>
      <w:r>
        <w:rPr>
          <w:rFonts w:ascii="Times New Roman" w:cs="Times New Roman" w:eastAsia="Times New Roman" w:hAnsi="Times New Roman"/>
          <w:sz w:val="20"/>
          <w:szCs w:val="20"/>
          <w:color w:val="auto"/>
        </w:rPr>
        <w:t>of Common Stock) either in cash or, in the sole discretion of the Committee, in additional Restricted Stock Units or Other Equity-Based Awards, as applicable, with the underlying shares of Common Stock having a Fair Market Value equal to the amount of such dividends (and interest may, in the sole discretion of the Committee, be credited on the amount of cash dividend equivalents at a rate and subject to such terms as determined by the Committee), which accumulated dividend equivalents (and interest thereon, if applicable) shall only be payable (if at all) at the same time as the underlying Restricted Stock Units or Other Equity-Based Awards are settled following the date on which the Restricted Period lapses with respect to such Restricted Stock Units or Other Equity-Based Awards, and if such Restricted Stock Units or Other Equity-Based Awards are forfeited, the Participant shall have no right to such dividend equivalent payments (or interest thereon, if applicable).</w:t>
      </w:r>
    </w:p>
    <w:p>
      <w:pPr>
        <w:spacing w:after="0" w:line="176" w:lineRule="exact"/>
        <w:rPr>
          <w:sz w:val="20"/>
          <w:szCs w:val="20"/>
          <w:color w:val="auto"/>
        </w:rPr>
      </w:pPr>
    </w:p>
    <w:p>
      <w:pPr>
        <w:ind w:firstLine="616"/>
        <w:spacing w:after="0" w:line="268" w:lineRule="auto"/>
        <w:tabs>
          <w:tab w:leader="none" w:pos="1222" w:val="left"/>
        </w:tabs>
        <w:numPr>
          <w:ilvl w:val="1"/>
          <w:numId w:val="4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For the avoidance of doubt, the holder of an Option or a SAR shall not be entitled to be credited with dividend equivalent payments in respect of such Option or SAR.</w:t>
      </w:r>
    </w:p>
    <w:p>
      <w:pPr>
        <w:spacing w:after="0" w:line="154" w:lineRule="exact"/>
        <w:rPr>
          <w:rFonts w:ascii="Times New Roman" w:cs="Times New Roman" w:eastAsia="Times New Roman" w:hAnsi="Times New Roman"/>
          <w:sz w:val="21"/>
          <w:szCs w:val="21"/>
          <w:color w:val="010000"/>
        </w:rPr>
      </w:pPr>
    </w:p>
    <w:p>
      <w:pPr>
        <w:ind w:left="620" w:hanging="620"/>
        <w:spacing w:after="0"/>
        <w:tabs>
          <w:tab w:leader="none" w:pos="620" w:val="left"/>
        </w:tabs>
        <w:numPr>
          <w:ilvl w:val="0"/>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w:t>
      </w:r>
    </w:p>
    <w:p>
      <w:pPr>
        <w:spacing w:after="0" w:line="208" w:lineRule="exact"/>
        <w:rPr>
          <w:rFonts w:ascii="Times New Roman" w:cs="Times New Roman" w:eastAsia="Times New Roman" w:hAnsi="Times New Roman"/>
          <w:sz w:val="21"/>
          <w:szCs w:val="21"/>
          <w:color w:val="010000"/>
        </w:rPr>
      </w:pPr>
    </w:p>
    <w:p>
      <w:pPr>
        <w:jc w:val="both"/>
        <w:ind w:firstLine="616"/>
        <w:spacing w:after="0" w:line="250" w:lineRule="auto"/>
        <w:tabs>
          <w:tab w:leader="none" w:pos="1222" w:val="left"/>
        </w:tabs>
        <w:numPr>
          <w:ilvl w:val="1"/>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 Participant shall be required to pay the Company or one or more of its Subsidiaries, as applicable, an amount in cash (by check or wire transfer) equal to the aggregate amount of any income, employment and/or other applicable taxes that are required to be withheld under Applicable Law in respect of an Award, no later than the date of the event creating the tax liability. Alternatively, the Company or any of its Subsidiaries may elect, in its sole discretion and to the extent permitted by law, to satisfy this requirement by withholding such amount from any cash compensation or other cash amounts owing to a Participant under the Plan or otherwise.</w:t>
      </w:r>
    </w:p>
    <w:p>
      <w:pPr>
        <w:spacing w:after="0" w:line="173" w:lineRule="exact"/>
        <w:rPr>
          <w:rFonts w:ascii="Times New Roman" w:cs="Times New Roman" w:eastAsia="Times New Roman" w:hAnsi="Times New Roman"/>
          <w:sz w:val="21"/>
          <w:szCs w:val="21"/>
          <w:color w:val="010000"/>
        </w:rPr>
      </w:pPr>
    </w:p>
    <w:p>
      <w:pPr>
        <w:jc w:val="both"/>
        <w:ind w:firstLine="616"/>
        <w:spacing w:after="0" w:line="247" w:lineRule="auto"/>
        <w:tabs>
          <w:tab w:leader="none" w:pos="1228" w:val="left"/>
        </w:tabs>
        <w:numPr>
          <w:ilvl w:val="1"/>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Without limiting the foregoing, the Committee may (but is not obligated to), in its sole discretion, permit or require a Participant to satisfy, all or any portion of the minimum income, employment and/or other applicable taxes that are required to be withheld under Applicable Law with respect to an Award by (A) the delivery of shares of Common Stock (which are not subject to any pledge or other security interest) that have been both held by the Participant and vested for at least six months (or such other period as established from time to time by the Committee in order to avoid adverse accounting treatment under applicable accounting standards) having an aggregate Fair Market Value equal to such minimum statutorily required withholding liability (or portion thereof); or (B) having the Company withhold from the shares of Common Stock otherwise issuable or deliverable to, or that would otherwise be retained by, the Participant upon the grant, exercise, vesting or settlement of the Award, as applicable, a number of shares of Common Stock with an aggregate Fair Market Value equal to an amount, subject to clause (iii) below, not in excess of such minimum statutorily required withholding liability (or portion thereof). In the Committee’s discretion, fractional shares may be withheld and/or delivered to Participants in connection with tax withholding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0620"/>
          </w:cols>
          <w:pgMar w:left="940" w:top="1360" w:right="339" w:bottom="1440" w:gutter="0" w:footer="0" w:header="0"/>
        </w:sectPr>
      </w:pPr>
    </w:p>
    <w:bookmarkStart w:id="26" w:name="page27"/>
    <w:bookmarkEnd w:id="26"/>
    <w:p>
      <w:pPr>
        <w:jc w:val="both"/>
        <w:ind w:left="620" w:firstLine="616"/>
        <w:spacing w:after="0" w:line="249" w:lineRule="auto"/>
        <w:tabs>
          <w:tab w:leader="none" w:pos="1853" w:val="left"/>
        </w:tabs>
        <w:numPr>
          <w:ilvl w:val="1"/>
          <w:numId w:val="4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Committee, subject to its having considered the applicable accounting impact of any such determination, has full discretion to allow Participants to satisfy, in whole or in part, any additional income, employment and/or other applicable taxes payable by them with respect to an Award by electing to have the Company withhold from the shares of Common Stock otherwise issuable or deliverable to, or that would otherwise be retained by, a Participant upon the grant, exercise, vesting or settlement of the Award, as applicable, shares of Common Stock having an aggregate Fair Market Value that is greater than the applicable minimum required statutory withholding liability (but such withholding may in no event be in excess of the maximum statutory withholding amount(s) in a Participant’s relevant tax jurisdictions).</w:t>
      </w:r>
    </w:p>
    <w:p>
      <w:pPr>
        <w:spacing w:after="0" w:line="173" w:lineRule="exact"/>
        <w:rPr>
          <w:rFonts w:ascii="Times New Roman" w:cs="Times New Roman" w:eastAsia="Times New Roman" w:hAnsi="Times New Roman"/>
          <w:sz w:val="21"/>
          <w:szCs w:val="21"/>
          <w:color w:val="010000"/>
        </w:rPr>
      </w:pPr>
    </w:p>
    <w:p>
      <w:pPr>
        <w:jc w:val="both"/>
        <w:ind w:firstLine="620"/>
        <w:spacing w:after="0" w:line="246" w:lineRule="auto"/>
        <w:tabs>
          <w:tab w:leader="none" w:pos="1230" w:val="left"/>
        </w:tabs>
        <w:numPr>
          <w:ilvl w:val="0"/>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Claim to Awards; No Rights to Continued Employment; Waiver</w:t>
      </w:r>
      <w:r>
        <w:rPr>
          <w:rFonts w:ascii="Times New Roman" w:cs="Times New Roman" w:eastAsia="Times New Roman" w:hAnsi="Times New Roman"/>
          <w:sz w:val="21"/>
          <w:szCs w:val="21"/>
          <w:color w:val="auto"/>
        </w:rPr>
        <w:t>. No employee of any member of the Company Group, or other Person, shall have any claim or right to be granted an Award under the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adoption, maintenance, or operation of the Plan nor any action taken or Award granted hereunder shall be construed as giving any Participant any right to be retained in the employ or service of the Company or any other member of the Company Group, nor shall it be construed as giving any Participant any rights to continued service on the Board. The Company or any other member of the Company Group may at any time change the terms of a Participant’s employment or engagement with any member of the Company Group (including, without limitation, promote, demote, or otherwise re-assign any Participant from one position to another within the Company Group or any Affiliate) or otherwise dismiss a Participant from employment or discontinue any consulting relationship, free from any liability or any claim under the Plan, unless otherwise expressly provided in the Plan or any Award Agreement. By accepting an Award under the Plan, a Participant shall thereby be deemed to have waived any claim to continued exercise or vesting of an Award or to damages or severance entitlement related to non-continuation of the Award beyond the period provided under the Plan or any Award Agreement, except to the extent of any provision to the contrary in any written employment contract or other agreement between the Company and/or any member of the Company Group and the Participant, whether any such agreement is executed before, on or after the Date of Grant.</w:t>
      </w:r>
    </w:p>
    <w:p>
      <w:pPr>
        <w:spacing w:after="0" w:line="199" w:lineRule="exact"/>
        <w:rPr>
          <w:rFonts w:ascii="Times New Roman" w:cs="Times New Roman" w:eastAsia="Times New Roman" w:hAnsi="Times New Roman"/>
          <w:sz w:val="21"/>
          <w:szCs w:val="21"/>
          <w:color w:val="010000"/>
        </w:rPr>
      </w:pPr>
    </w:p>
    <w:p>
      <w:pPr>
        <w:jc w:val="both"/>
        <w:ind w:firstLine="620"/>
        <w:spacing w:after="0" w:line="249" w:lineRule="auto"/>
        <w:tabs>
          <w:tab w:leader="none" w:pos="1233" w:val="left"/>
        </w:tabs>
        <w:numPr>
          <w:ilvl w:val="0"/>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International Participants</w:t>
      </w:r>
      <w:r>
        <w:rPr>
          <w:rFonts w:ascii="Times New Roman" w:cs="Times New Roman" w:eastAsia="Times New Roman" w:hAnsi="Times New Roman"/>
          <w:sz w:val="21"/>
          <w:szCs w:val="21"/>
          <w:color w:val="auto"/>
        </w:rPr>
        <w:t>. With respect to Participants who reside or work outside of the United States of America, the Committee may, in its sole discretion, amend the terms of the Plan and create or amend Sub-Plans or amend outstanding Awards with respect to such Participants in order to permit or facilitate participation in the Plan by such Participants, conform such terms with the requirements of Applicable Law or to obtain more favorable tax or other treatment for a Participant or any member of the Company Group.</w:t>
      </w:r>
    </w:p>
    <w:p>
      <w:pPr>
        <w:spacing w:after="0" w:line="173" w:lineRule="exact"/>
        <w:rPr>
          <w:rFonts w:ascii="Times New Roman" w:cs="Times New Roman" w:eastAsia="Times New Roman" w:hAnsi="Times New Roman"/>
          <w:sz w:val="21"/>
          <w:szCs w:val="21"/>
          <w:color w:val="010000"/>
        </w:rPr>
      </w:pPr>
    </w:p>
    <w:p>
      <w:pPr>
        <w:ind w:firstLine="620"/>
        <w:spacing w:after="0" w:line="280" w:lineRule="auto"/>
        <w:tabs>
          <w:tab w:leader="none" w:pos="1229" w:val="left"/>
        </w:tabs>
        <w:numPr>
          <w:ilvl w:val="0"/>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Designation and Change of Beneficiary</w:t>
      </w:r>
      <w:r>
        <w:rPr>
          <w:rFonts w:ascii="Times New Roman" w:cs="Times New Roman" w:eastAsia="Times New Roman" w:hAnsi="Times New Roman"/>
          <w:sz w:val="21"/>
          <w:szCs w:val="21"/>
          <w:color w:val="auto"/>
        </w:rPr>
        <w:t>. To the extent permitted under Applicable Law and by the Company, each Participant may file with the Committee a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361" w:right="339" w:bottom="1440" w:gutter="0" w:footer="0" w:header="0"/>
        </w:sectPr>
      </w:pPr>
    </w:p>
    <w:bookmarkStart w:id="27" w:name="page28"/>
    <w:bookmarkEnd w:id="27"/>
    <w:p>
      <w:pPr>
        <w:jc w:val="both"/>
        <w:spacing w:after="0" w:line="263" w:lineRule="auto"/>
        <w:rPr>
          <w:sz w:val="20"/>
          <w:szCs w:val="20"/>
          <w:color w:val="auto"/>
        </w:rPr>
      </w:pPr>
      <w:r>
        <w:rPr>
          <w:rFonts w:ascii="Times New Roman" w:cs="Times New Roman" w:eastAsia="Times New Roman" w:hAnsi="Times New Roman"/>
          <w:sz w:val="20"/>
          <w:szCs w:val="20"/>
          <w:color w:val="auto"/>
        </w:rPr>
        <w:t xml:space="preserve">designation of one or more Persons as the beneficiary(ies) who shall be entitled to receive the amounts payable or exercise rights with respect to an Award, if any, due under the Plan upon the Participant’s death. A Participant may, from time to time, revoke or change the Participant’s beneficiary designation without the consent of any prior beneficiary by filing a new designation with the Committee. The last such designation received by the Committee shall be controlling;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no designation, or change or revocation thereof, shall be effective unless received by the Committee prior to the Participant’s death, and in no event shall it be effective as of a date prior to such receipt. If no beneficiary designation is filed by a Participant, or in the event the Company determines that any such designation does not comply with Applicable Law, the beneficiary shall be deemed to be the Participant’s estate.</w:t>
      </w:r>
    </w:p>
    <w:p>
      <w:pPr>
        <w:spacing w:after="0" w:line="163" w:lineRule="exact"/>
        <w:rPr>
          <w:sz w:val="20"/>
          <w:szCs w:val="20"/>
          <w:color w:val="auto"/>
        </w:rPr>
      </w:pPr>
    </w:p>
    <w:p>
      <w:pPr>
        <w:jc w:val="both"/>
        <w:ind w:firstLine="620"/>
        <w:spacing w:after="0" w:line="247" w:lineRule="auto"/>
        <w:tabs>
          <w:tab w:leader="none" w:pos="1229" w:val="left"/>
        </w:tabs>
        <w:numPr>
          <w:ilvl w:val="0"/>
          <w:numId w:val="4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Changes in Status &amp; Leaves of Absence</w:t>
      </w:r>
      <w:r>
        <w:rPr>
          <w:rFonts w:ascii="Times New Roman" w:cs="Times New Roman" w:eastAsia="Times New Roman" w:hAnsi="Times New Roman"/>
          <w:sz w:val="21"/>
          <w:szCs w:val="21"/>
          <w:color w:val="auto"/>
        </w:rPr>
        <w:t xml:space="preserve">. The Committee shall have the discretion to determine (whether by establishing a policy applicable to the treatment of any or all Awards in such circumstances, or by making an individualized determination) at any time whether and to what extent any tolling, reduction, vesting-extension, forfeiture or other treatment should be applied to an Award in connection with a Participant’s leave of absence or a change in a Participant’s regular level of time commitment to any member of the Company Group or any of the Company’s parents or Affiliates, as applicable (e.g., in connection with a change from full-time to part-time status);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Committee shall not have any such discretion (whether pursuant to a policy or specific determination) to the extent that the grant of such discretion would cause any tax to become due under Section 409A of the Code; and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in the absence of a determination to the contrary by the Committee, vesting shall continue during any paid leave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shall be tolled during any unpaid leave (in all cases, unless otherwise required by Applicable Laws or unless it would cause any tax to become due under Section 409A of the Code). In the event of any such tolling, forfeiture, reduction or extension, the Participant shall have no right to the portion of the Award so tolled, forfeited, reduced or extended (except for the right that remains, if any, after the application of such action).</w:t>
      </w:r>
    </w:p>
    <w:p>
      <w:pPr>
        <w:spacing w:after="0" w:line="191" w:lineRule="exact"/>
        <w:rPr>
          <w:rFonts w:ascii="Times New Roman" w:cs="Times New Roman" w:eastAsia="Times New Roman" w:hAnsi="Times New Roman"/>
          <w:sz w:val="21"/>
          <w:szCs w:val="21"/>
          <w:color w:val="010000"/>
        </w:rPr>
      </w:pPr>
    </w:p>
    <w:p>
      <w:pPr>
        <w:jc w:val="both"/>
        <w:ind w:firstLine="620"/>
        <w:spacing w:after="0" w:line="255" w:lineRule="auto"/>
        <w:tabs>
          <w:tab w:leader="none" w:pos="1222" w:val="left"/>
        </w:tabs>
        <w:numPr>
          <w:ilvl w:val="0"/>
          <w:numId w:val="4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Rights as a Stockholder</w:t>
      </w:r>
      <w:r>
        <w:rPr>
          <w:rFonts w:ascii="Times New Roman" w:cs="Times New Roman" w:eastAsia="Times New Roman" w:hAnsi="Times New Roman"/>
          <w:sz w:val="21"/>
          <w:szCs w:val="21"/>
          <w:color w:val="auto"/>
        </w:rPr>
        <w:t>. Except as otherwise specifically provided in the Plan or any Award Agreement, no Person shall be entitled to the privileges of ownership in respect of shares of Common Stock which are subject to Awards hereunder until such shares have been issued or delivered to such Person.</w:t>
      </w:r>
    </w:p>
    <w:p>
      <w:pPr>
        <w:spacing w:after="0" w:line="168" w:lineRule="exact"/>
        <w:rPr>
          <w:rFonts w:ascii="Times New Roman" w:cs="Times New Roman" w:eastAsia="Times New Roman" w:hAnsi="Times New Roman"/>
          <w:sz w:val="21"/>
          <w:szCs w:val="21"/>
          <w:color w:val="010000"/>
        </w:rPr>
      </w:pPr>
    </w:p>
    <w:p>
      <w:pPr>
        <w:ind w:left="1220" w:hanging="600"/>
        <w:spacing w:after="0"/>
        <w:tabs>
          <w:tab w:leader="none" w:pos="1220" w:val="left"/>
        </w:tabs>
        <w:numPr>
          <w:ilvl w:val="0"/>
          <w:numId w:val="4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Government and Other Regulations</w:t>
      </w:r>
      <w:r>
        <w:rPr>
          <w:rFonts w:ascii="Times New Roman" w:cs="Times New Roman" w:eastAsia="Times New Roman" w:hAnsi="Times New Roman"/>
          <w:sz w:val="21"/>
          <w:szCs w:val="21"/>
          <w:color w:val="auto"/>
        </w:rPr>
        <w:t>.</w:t>
      </w:r>
    </w:p>
    <w:p>
      <w:pPr>
        <w:spacing w:after="0" w:line="208" w:lineRule="exact"/>
        <w:rPr>
          <w:rFonts w:ascii="Times New Roman" w:cs="Times New Roman" w:eastAsia="Times New Roman" w:hAnsi="Times New Roman"/>
          <w:sz w:val="21"/>
          <w:szCs w:val="21"/>
          <w:color w:val="010000"/>
        </w:rPr>
      </w:pPr>
    </w:p>
    <w:p>
      <w:pPr>
        <w:jc w:val="both"/>
        <w:ind w:left="620" w:firstLine="616"/>
        <w:spacing w:after="0" w:line="249" w:lineRule="auto"/>
        <w:tabs>
          <w:tab w:leader="none" w:pos="1842" w:val="left"/>
        </w:tabs>
        <w:numPr>
          <w:ilvl w:val="1"/>
          <w:numId w:val="4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obligation of the Company to settle Awards in shares of Common Stock or other consideration shall be subject to all Applicable Law. Notwithstanding any terms or conditions of any Award to the contrary, the Company shall be under no obligation to offer to sell or to sell, and shall be prohibited from offering to sell or selling, any shares of Common Stock pursuant to an Award unless such shares have been properly registered for sale pursuant to the Securities Act with the Securities and Exchange Commission (or as otherwise permitted under Applicable Law) or unless the Company has received an opinion of counsel (if the Company has requested such an opinion), satisfactory to the Company, that such shares may be offered or sold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361" w:right="339" w:bottom="1440" w:gutter="0" w:footer="0" w:header="0"/>
        </w:sectPr>
      </w:pPr>
    </w:p>
    <w:bookmarkStart w:id="28" w:name="page29"/>
    <w:bookmarkEnd w:id="28"/>
    <w:p>
      <w:pPr>
        <w:jc w:val="both"/>
        <w:ind w:left="620"/>
        <w:spacing w:after="0" w:line="246" w:lineRule="auto"/>
        <w:rPr>
          <w:sz w:val="20"/>
          <w:szCs w:val="20"/>
          <w:color w:val="auto"/>
        </w:rPr>
      </w:pPr>
      <w:r>
        <w:rPr>
          <w:rFonts w:ascii="Times New Roman" w:cs="Times New Roman" w:eastAsia="Times New Roman" w:hAnsi="Times New Roman"/>
          <w:sz w:val="21"/>
          <w:szCs w:val="21"/>
          <w:color w:val="auto"/>
        </w:rPr>
        <w:t>such registration pursuant to an available exemption therefrom and the terms and conditions of such exemption have been fully complied with. The Company shall be under no obligation to register for sale under the Securities Act any of the shares of Common Stock to be offered or sold under the Plan. The Committee shall have the authority to provide that all shares of Common Stock or other securities of any member of the Company Group issued under the Plan shall be subject to such stop-transfer orders and other restrictions as the Committee may deem advisable under the Plan, the applicable Award Agreement and Applicable Law, and, without limiting the generality of Section 8 of the Plan, the Committee may cause a legend or legends to be put on certificates representing shares of Common Stock or other securities of any member of the Company Group issued under the Plan to make appropriate reference to such restrictions or may cause such Common Stock or other securities of any member of the Company Group issued under the Plan in book-entry form to be held subject to the Company’s instructions or subject to appropriate stop-transfer orders. Notwithstanding any provision in the Plan to the contrary, the Committee reserves the right to add, at any time, any additional terms or provisions to any Award granted under the Plan that the Committee, in its sole discretion, deems necessary or advisable in order that such Award complies with the legal requirements of any governmental entity to whose jurisdiction the Award is subject.</w:t>
      </w:r>
    </w:p>
    <w:p>
      <w:pPr>
        <w:spacing w:after="0" w:line="187" w:lineRule="exact"/>
        <w:rPr>
          <w:sz w:val="20"/>
          <w:szCs w:val="20"/>
          <w:color w:val="auto"/>
        </w:rPr>
      </w:pPr>
    </w:p>
    <w:p>
      <w:pPr>
        <w:jc w:val="both"/>
        <w:ind w:left="620" w:firstLine="616"/>
        <w:spacing w:after="0" w:line="246" w:lineRule="auto"/>
        <w:tabs>
          <w:tab w:leader="none" w:pos="1848" w:val="left"/>
        </w:tabs>
        <w:numPr>
          <w:ilvl w:val="1"/>
          <w:numId w:val="4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Prior to a Change in Control, the Committee may cancel an Award or any portion thereof if it determines, in its sole discretion, that legal or contractual restrictions and/or blockage and/or other market considerations would make the Company’s acquisition of shares of Common Stock from the public markets, the Company’s issuance of Common Stock to the Participant, the Participant’s acquisition of Common Stock from the Company and/or the Participant’s sale of Common Stock to the public markets, illegal, impracticable or inadvisable. If the Committee determines to cancel all or any portion of an Award in accordance with the foregoing, the Company shall, subject to any limitations or reductions as may be necessary to comply with Section 409A of the Code, (A) in the case of Options, SARs or other Awards subject to exercise, pay to the Participant an amount equal to the excess of (I) the aggregate Fair Market Value of the shares of Common Stock subject to such Award or portion thereof canceled (determined as of the applicable exercise date, or the date that the shares would have been vested or issued, as applicable); over (II) the aggregate Exercise Price or SAR Base Price (in the case of an Option or SAR, respectively) or any amount payable as a condition of issuance of shares of Common Stock (in the case of any other Award subject to exercise), or (B) in the case of Restricted Stock, Restricted Stock Units or Other Equity-Based Awards, provide the Participant with a cash payment or equity subject to deferred vesting and delivery consistent with the vesting restrictions applicable to such Restricted Stock, Restricted Stock Units or Other Equity-Based Awards, or the underlying shares in respect thereof. Any applicable amounts shall be delivered to the Participant as soon as practicable following the cancellation of such Award or portion thereof.</w:t>
      </w:r>
    </w:p>
    <w:p>
      <w:pPr>
        <w:spacing w:after="0" w:line="189" w:lineRule="exact"/>
        <w:rPr>
          <w:rFonts w:ascii="Times New Roman" w:cs="Times New Roman" w:eastAsia="Times New Roman" w:hAnsi="Times New Roman"/>
          <w:sz w:val="21"/>
          <w:szCs w:val="21"/>
          <w:color w:val="010000"/>
        </w:rPr>
      </w:pPr>
    </w:p>
    <w:p>
      <w:pPr>
        <w:ind w:firstLine="620"/>
        <w:spacing w:after="0" w:line="280" w:lineRule="auto"/>
        <w:tabs>
          <w:tab w:leader="none" w:pos="1229" w:val="left"/>
        </w:tabs>
        <w:numPr>
          <w:ilvl w:val="0"/>
          <w:numId w:val="5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Section 83(b) Elections Without Consent of Company</w:t>
      </w:r>
      <w:r>
        <w:rPr>
          <w:rFonts w:ascii="Times New Roman" w:cs="Times New Roman" w:eastAsia="Times New Roman" w:hAnsi="Times New Roman"/>
          <w:sz w:val="21"/>
          <w:szCs w:val="21"/>
          <w:color w:val="auto"/>
        </w:rPr>
        <w:t>. No election under Section 83(b) of the Code or under a similar provision of law may be made unless expressly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361" w:right="339" w:bottom="1440" w:gutter="0" w:footer="0" w:header="0"/>
        </w:sectPr>
      </w:pPr>
    </w:p>
    <w:bookmarkStart w:id="29" w:name="page30"/>
    <w:bookmarkEnd w:id="29"/>
    <w:p>
      <w:pPr>
        <w:jc w:val="both"/>
        <w:spacing w:after="0" w:line="252" w:lineRule="auto"/>
        <w:rPr>
          <w:sz w:val="20"/>
          <w:szCs w:val="20"/>
          <w:color w:val="auto"/>
        </w:rPr>
      </w:pPr>
      <w:r>
        <w:rPr>
          <w:rFonts w:ascii="Times New Roman" w:cs="Times New Roman" w:eastAsia="Times New Roman" w:hAnsi="Times New Roman"/>
          <w:sz w:val="21"/>
          <w:szCs w:val="21"/>
          <w:color w:val="auto"/>
        </w:rPr>
        <w:t>permitted by the terms of the applicable Award Agreement or by action of the Committee in writing prior to the making of such election. If a Participant, in connection with the acquisition of shares of Common Stock under the Plan or otherwise, is expressly permitted to make such election and the Participant makes the election, the Participant shall notify the Company of such election within 10 days after filing notice of the election with the Internal Revenue Service or other governmental authority, in addition to any filing and notification required pursuant to Section 83(b) of the Code or other applicable provision.</w:t>
      </w:r>
    </w:p>
    <w:p>
      <w:pPr>
        <w:spacing w:after="0" w:line="171" w:lineRule="exact"/>
        <w:rPr>
          <w:sz w:val="20"/>
          <w:szCs w:val="20"/>
          <w:color w:val="auto"/>
        </w:rPr>
      </w:pPr>
    </w:p>
    <w:p>
      <w:pPr>
        <w:jc w:val="both"/>
        <w:ind w:firstLine="620"/>
        <w:spacing w:after="0" w:line="249" w:lineRule="auto"/>
        <w:tabs>
          <w:tab w:leader="none" w:pos="1222" w:val="left"/>
        </w:tabs>
        <w:numPr>
          <w:ilvl w:val="0"/>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Payments to Persons Other Than Participants</w:t>
      </w:r>
      <w:r>
        <w:rPr>
          <w:rFonts w:ascii="Times New Roman" w:cs="Times New Roman" w:eastAsia="Times New Roman" w:hAnsi="Times New Roman"/>
          <w:sz w:val="21"/>
          <w:szCs w:val="21"/>
          <w:color w:val="auto"/>
        </w:rPr>
        <w:t>. If the Committee shall find that any Person to whom any amount is payable under the Plan is unable to care for the Participant’s affairs because of illness or accident, or is a minor, or has died, then any payment due to such Person or the Participant’s estate (unless a prior claim therefor has been made by a duly appointed legal representative) may, if the Committee so directs the Company, be paid to the Participant’s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73" w:lineRule="exact"/>
        <w:rPr>
          <w:rFonts w:ascii="Times New Roman" w:cs="Times New Roman" w:eastAsia="Times New Roman" w:hAnsi="Times New Roman"/>
          <w:sz w:val="21"/>
          <w:szCs w:val="21"/>
          <w:color w:val="010000"/>
        </w:rPr>
      </w:pPr>
    </w:p>
    <w:p>
      <w:pPr>
        <w:jc w:val="both"/>
        <w:ind w:firstLine="620"/>
        <w:spacing w:after="0" w:line="255" w:lineRule="auto"/>
        <w:tabs>
          <w:tab w:leader="none" w:pos="1222" w:val="left"/>
        </w:tabs>
        <w:numPr>
          <w:ilvl w:val="0"/>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Nonexclusivity of the Plan</w:t>
      </w:r>
      <w:r>
        <w:rPr>
          <w:rFonts w:ascii="Times New Roman" w:cs="Times New Roman" w:eastAsia="Times New Roman" w:hAnsi="Times New Roman"/>
          <w:sz w:val="21"/>
          <w:szCs w:val="21"/>
          <w:color w:val="auto"/>
        </w:rPr>
        <w:t>. Neither the adoption of the Plan by the Board nor the submission of the Plan to the stockholders of the Company for approval shall be construed as creating any limitations on the power of the Board to adopt such other incentive arrangements as it may deem desirable, including, without limitation, the granting of equity-based awards otherwise than under the Plan, and such arrangements may be either applicable generally or only in specific cases.</w:t>
      </w:r>
    </w:p>
    <w:p>
      <w:pPr>
        <w:spacing w:after="0" w:line="168" w:lineRule="exact"/>
        <w:rPr>
          <w:rFonts w:ascii="Times New Roman" w:cs="Times New Roman" w:eastAsia="Times New Roman" w:hAnsi="Times New Roman"/>
          <w:sz w:val="21"/>
          <w:szCs w:val="21"/>
          <w:color w:val="010000"/>
        </w:rPr>
      </w:pPr>
    </w:p>
    <w:p>
      <w:pPr>
        <w:jc w:val="both"/>
        <w:ind w:firstLine="620"/>
        <w:spacing w:after="0" w:line="262" w:lineRule="auto"/>
        <w:tabs>
          <w:tab w:leader="none" w:pos="1229" w:val="left"/>
        </w:tabs>
        <w:numPr>
          <w:ilvl w:val="0"/>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Trust or Fund Created</w:t>
      </w:r>
      <w:r>
        <w:rPr>
          <w:rFonts w:ascii="Times New Roman" w:cs="Times New Roman" w:eastAsia="Times New Roman" w:hAnsi="Times New Roman"/>
          <w:sz w:val="20"/>
          <w:szCs w:val="20"/>
          <w:color w:val="auto"/>
        </w:rPr>
        <w:t>. Neither the Plan nor any Award shall create or be construed to create a trust or separate fund of any kind or a fiduciary relationship between any member of the Company Group, on the one hand, and a Participant or other Person,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 Company be obligated to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service providers under general law.</w:t>
      </w:r>
    </w:p>
    <w:p>
      <w:pPr>
        <w:spacing w:after="0" w:line="175" w:lineRule="exact"/>
        <w:rPr>
          <w:rFonts w:ascii="Times New Roman" w:cs="Times New Roman" w:eastAsia="Times New Roman" w:hAnsi="Times New Roman"/>
          <w:sz w:val="20"/>
          <w:szCs w:val="20"/>
          <w:color w:val="010000"/>
        </w:rPr>
      </w:pPr>
    </w:p>
    <w:p>
      <w:pPr>
        <w:jc w:val="both"/>
        <w:ind w:firstLine="620"/>
        <w:spacing w:after="0" w:line="251" w:lineRule="auto"/>
        <w:tabs>
          <w:tab w:leader="none" w:pos="1229" w:val="left"/>
        </w:tabs>
        <w:numPr>
          <w:ilvl w:val="0"/>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Reliance on Reports</w:t>
      </w:r>
      <w:r>
        <w:rPr>
          <w:rFonts w:ascii="Times New Roman" w:cs="Times New Roman" w:eastAsia="Times New Roman" w:hAnsi="Times New Roman"/>
          <w:sz w:val="21"/>
          <w:szCs w:val="21"/>
          <w:color w:val="auto"/>
        </w:rPr>
        <w:t>. Each member of the Committee and each member of the Board shall be fully justified in acting or failing to act, as the case may be, and shall not be liable for having so acted or failed to act in good faith, in reliance upon any report made by the independent public accountant of any member of the Company Group and/or any other information furnished in connection with the Plan by any agent of the Company or the Committee or the Board, other than himself or herself.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361" w:right="339" w:bottom="1440" w:gutter="0" w:footer="0" w:header="0"/>
        </w:sectPr>
      </w:pPr>
    </w:p>
    <w:bookmarkStart w:id="30" w:name="page31"/>
    <w:bookmarkEnd w:id="30"/>
    <w:p>
      <w:pPr>
        <w:jc w:val="both"/>
        <w:ind w:firstLine="620"/>
        <w:spacing w:after="0" w:line="252" w:lineRule="auto"/>
        <w:tabs>
          <w:tab w:leader="none" w:pos="1229" w:val="left"/>
        </w:tabs>
        <w:numPr>
          <w:ilvl w:val="0"/>
          <w:numId w:val="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Relationship to Other Benefits; No Contract of Employment</w:t>
      </w:r>
      <w:r>
        <w:rPr>
          <w:rFonts w:ascii="Times New Roman" w:cs="Times New Roman" w:eastAsia="Times New Roman" w:hAnsi="Times New Roman"/>
          <w:sz w:val="21"/>
          <w:szCs w:val="21"/>
          <w:color w:val="auto"/>
        </w:rPr>
        <w:t>. No payment under the Plan shall be taken into account in determining any benefits under any pension, retirement, profit sharing, group insurance or other benefit plan of the Company except as otherwise specifically provided in such other plan or as required by Applicable Law. This Plan shall not constitute a contract of employment, and adoption of this Plan shall not confer upon any employee any right to continued employment, nor shall it interfere in any way with the right of the Company or any Subsidiary or Affiliate to terminate the employment of any employee at any time.</w:t>
      </w:r>
    </w:p>
    <w:p>
      <w:pPr>
        <w:spacing w:after="0" w:line="171" w:lineRule="exact"/>
        <w:rPr>
          <w:rFonts w:ascii="Times New Roman" w:cs="Times New Roman" w:eastAsia="Times New Roman" w:hAnsi="Times New Roman"/>
          <w:sz w:val="21"/>
          <w:szCs w:val="21"/>
          <w:color w:val="010000"/>
        </w:rPr>
      </w:pPr>
    </w:p>
    <w:p>
      <w:pPr>
        <w:jc w:val="both"/>
        <w:ind w:firstLine="620"/>
        <w:spacing w:after="0" w:line="267" w:lineRule="auto"/>
        <w:tabs>
          <w:tab w:leader="none" w:pos="1229" w:val="left"/>
        </w:tabs>
        <w:numPr>
          <w:ilvl w:val="0"/>
          <w:numId w:val="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Plan shall be governed by and construed in accordance with the internal laws of the State of Delaware applicable to contracts made and performed wholly within the State of Delaware, without giving effect to the conflict of laws provisions thereof. EACH PARTICIPANT WHO ACCEPTS AN AWARD IRREVOCABLY WAIVES ALL RIGHT TO A TRIAL BY JURY IN ANY SUIT, ACTION, OR OTHER PROCEEDING INSTITUTED BY OR AGAINST SUCH PARTICIPANT IN RESPECT OF THE PARTICIPANT’S RIGHTS OR OBLIGATIONS UNDER THE PLAN OR ANY APPLICABLE AWARD AGREEMENT.</w:t>
      </w:r>
    </w:p>
    <w:p>
      <w:pPr>
        <w:spacing w:after="0" w:line="159" w:lineRule="exact"/>
        <w:rPr>
          <w:rFonts w:ascii="Times New Roman" w:cs="Times New Roman" w:eastAsia="Times New Roman" w:hAnsi="Times New Roman"/>
          <w:sz w:val="20"/>
          <w:szCs w:val="20"/>
          <w:color w:val="010000"/>
        </w:rPr>
      </w:pPr>
    </w:p>
    <w:p>
      <w:pPr>
        <w:jc w:val="both"/>
        <w:ind w:firstLine="620"/>
        <w:spacing w:after="0" w:line="250" w:lineRule="auto"/>
        <w:tabs>
          <w:tab w:leader="none" w:pos="1233" w:val="left"/>
        </w:tabs>
        <w:numPr>
          <w:ilvl w:val="0"/>
          <w:numId w:val="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provision of the Plan or any Award or Award Agreement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Award and the remainder of the Plan and any such Award shall remain in full force and effect.</w:t>
      </w:r>
    </w:p>
    <w:p>
      <w:pPr>
        <w:spacing w:after="0" w:line="173" w:lineRule="exact"/>
        <w:rPr>
          <w:rFonts w:ascii="Times New Roman" w:cs="Times New Roman" w:eastAsia="Times New Roman" w:hAnsi="Times New Roman"/>
          <w:sz w:val="21"/>
          <w:szCs w:val="21"/>
          <w:color w:val="010000"/>
        </w:rPr>
      </w:pPr>
    </w:p>
    <w:p>
      <w:pPr>
        <w:jc w:val="both"/>
        <w:ind w:firstLine="620"/>
        <w:spacing w:after="0" w:line="252" w:lineRule="auto"/>
        <w:tabs>
          <w:tab w:leader="none" w:pos="1232" w:val="left"/>
        </w:tabs>
        <w:numPr>
          <w:ilvl w:val="0"/>
          <w:numId w:val="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Obligations Binding on Successors</w:t>
      </w:r>
      <w:r>
        <w:rPr>
          <w:rFonts w:ascii="Times New Roman" w:cs="Times New Roman" w:eastAsia="Times New Roman" w:hAnsi="Times New Roman"/>
          <w:sz w:val="21"/>
          <w:szCs w:val="21"/>
          <w:color w:val="auto"/>
        </w:rPr>
        <w:t>. 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 This Plan shall be binding on all successors and permitted assigns of a Participant, including, without limitation, the estate of such Participant and the executor, administrator, or trustee of such estate.</w:t>
      </w:r>
    </w:p>
    <w:p>
      <w:pPr>
        <w:spacing w:after="0" w:line="171" w:lineRule="exact"/>
        <w:rPr>
          <w:rFonts w:ascii="Times New Roman" w:cs="Times New Roman" w:eastAsia="Times New Roman" w:hAnsi="Times New Roman"/>
          <w:sz w:val="21"/>
          <w:szCs w:val="21"/>
          <w:color w:val="010000"/>
        </w:rPr>
      </w:pPr>
    </w:p>
    <w:p>
      <w:pPr>
        <w:ind w:left="1220" w:hanging="600"/>
        <w:spacing w:after="0"/>
        <w:tabs>
          <w:tab w:leader="none" w:pos="1220" w:val="left"/>
        </w:tabs>
        <w:numPr>
          <w:ilvl w:val="0"/>
          <w:numId w:val="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Section 409A of the Code</w:t>
      </w:r>
      <w:r>
        <w:rPr>
          <w:rFonts w:ascii="Times New Roman" w:cs="Times New Roman" w:eastAsia="Times New Roman" w:hAnsi="Times New Roman"/>
          <w:sz w:val="21"/>
          <w:szCs w:val="21"/>
          <w:color w:val="auto"/>
        </w:rPr>
        <w:t>.</w:t>
      </w:r>
    </w:p>
    <w:p>
      <w:pPr>
        <w:spacing w:after="0" w:line="208" w:lineRule="exact"/>
        <w:rPr>
          <w:rFonts w:ascii="Times New Roman" w:cs="Times New Roman" w:eastAsia="Times New Roman" w:hAnsi="Times New Roman"/>
          <w:sz w:val="21"/>
          <w:szCs w:val="21"/>
          <w:color w:val="010000"/>
        </w:rPr>
      </w:pPr>
    </w:p>
    <w:p>
      <w:pPr>
        <w:jc w:val="both"/>
        <w:ind w:left="620" w:firstLine="616"/>
        <w:spacing w:after="0" w:line="249" w:lineRule="auto"/>
        <w:tabs>
          <w:tab w:leader="none" w:pos="1842" w:val="left"/>
        </w:tabs>
        <w:numPr>
          <w:ilvl w:val="1"/>
          <w:numId w:val="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any provision of the Plan to the contrary, it is intended that the provisions of the Plan comply with Section 409A of the Code, and all provisions of the Plan shall 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the Plan (including any taxes and penalties under Section 409A of the Code), and neither the Company nor any other member of the Company Group shall have any obligation to indemnify or otherwise hold such Participant (or any beneficiary) harmless from any or all of such taxes or penalties. With respect to any Award that constitutes “nonqualified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361" w:right="339" w:bottom="1440" w:gutter="0" w:footer="0" w:header="0"/>
        </w:sectPr>
      </w:pPr>
    </w:p>
    <w:bookmarkStart w:id="31" w:name="page32"/>
    <w:bookmarkEnd w:id="31"/>
    <w:p>
      <w:pPr>
        <w:jc w:val="both"/>
        <w:ind w:left="620"/>
        <w:spacing w:after="0" w:line="255" w:lineRule="auto"/>
        <w:rPr>
          <w:sz w:val="20"/>
          <w:szCs w:val="20"/>
          <w:color w:val="auto"/>
        </w:rPr>
      </w:pPr>
      <w:r>
        <w:rPr>
          <w:rFonts w:ascii="Times New Roman" w:cs="Times New Roman" w:eastAsia="Times New Roman" w:hAnsi="Times New Roman"/>
          <w:sz w:val="21"/>
          <w:szCs w:val="21"/>
          <w:color w:val="auto"/>
        </w:rPr>
        <w:t>deferred compensation” subject to Section 409A of the Code, references in the Plan to “termination of employment” (and substantially similar phrases) shall mean “separation from service” within the meaning of Section 409A of the Code. For purposes of Section 409A of the Code, each of the payments that may be made in respect of any Award granted under the Plan is designated as separate payments.</w:t>
      </w:r>
    </w:p>
    <w:p>
      <w:pPr>
        <w:spacing w:after="0" w:line="169" w:lineRule="exact"/>
        <w:rPr>
          <w:sz w:val="20"/>
          <w:szCs w:val="20"/>
          <w:color w:val="auto"/>
        </w:rPr>
      </w:pPr>
    </w:p>
    <w:p>
      <w:pPr>
        <w:jc w:val="both"/>
        <w:ind w:left="620" w:firstLine="616"/>
        <w:spacing w:after="0" w:line="249" w:lineRule="auto"/>
        <w:tabs>
          <w:tab w:leader="none" w:pos="1848" w:val="left"/>
        </w:tabs>
        <w:numPr>
          <w:ilvl w:val="2"/>
          <w:numId w:val="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anything in the Plan to the contrary, if a Participant is a “specified employee” within the meaning of Section 409A(a)(2)(B)(i) of the Code, no payments in respect of any Awards that constitute “nonqualified deferred compensation” subject to Section 409A of the Code and which would otherwise be payable upon the Participant’s “separation from service” (as defined in Section 409A of the Code) shall be made to such Participant prior to the date that is six months after the date of such Participant’s “separation from service” or, if earlier, the date of the Participant’s death. Following any applicable six month delay, all such delayed payments will be paid in a single lump sum on the earliest date permitted under Section 409A of the Code that is also a business day.</w:t>
      </w:r>
    </w:p>
    <w:p>
      <w:pPr>
        <w:spacing w:after="0" w:line="173" w:lineRule="exact"/>
        <w:rPr>
          <w:rFonts w:ascii="Times New Roman" w:cs="Times New Roman" w:eastAsia="Times New Roman" w:hAnsi="Times New Roman"/>
          <w:sz w:val="21"/>
          <w:szCs w:val="21"/>
          <w:color w:val="010000"/>
        </w:rPr>
      </w:pPr>
    </w:p>
    <w:p>
      <w:pPr>
        <w:ind w:left="1860" w:hanging="624"/>
        <w:spacing w:after="0"/>
        <w:tabs>
          <w:tab w:leader="none" w:pos="1860" w:val="left"/>
        </w:tabs>
        <w:numPr>
          <w:ilvl w:val="2"/>
          <w:numId w:val="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Section 12(t) shall only apply with respect to Participants to whom Section 409A of the Code is applicable.</w:t>
      </w:r>
    </w:p>
    <w:p>
      <w:pPr>
        <w:spacing w:after="0" w:line="219" w:lineRule="exact"/>
        <w:rPr>
          <w:rFonts w:ascii="Times New Roman" w:cs="Times New Roman" w:eastAsia="Times New Roman" w:hAnsi="Times New Roman"/>
          <w:sz w:val="20"/>
          <w:szCs w:val="20"/>
          <w:color w:val="010000"/>
        </w:rPr>
      </w:pPr>
    </w:p>
    <w:p>
      <w:pPr>
        <w:jc w:val="both"/>
        <w:ind w:firstLine="620"/>
        <w:spacing w:after="0" w:line="254" w:lineRule="auto"/>
        <w:tabs>
          <w:tab w:leader="none" w:pos="1229" w:val="left"/>
        </w:tabs>
        <w:numPr>
          <w:ilvl w:val="1"/>
          <w:numId w:val="5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Clawback/Repayment</w:t>
      </w:r>
      <w:r>
        <w:rPr>
          <w:rFonts w:ascii="Times New Roman" w:cs="Times New Roman" w:eastAsia="Times New Roman" w:hAnsi="Times New Roman"/>
          <w:sz w:val="21"/>
          <w:szCs w:val="21"/>
          <w:color w:val="auto"/>
        </w:rPr>
        <w:t>. All Awards shall be subject to reduction, cancellation, forfeiture or recoupment to the extent necessary to comply with (i) any clawback, forfeiture or other similar policy adopted by the Board or the Committee and as in effect from time to time, including the American Tower Corporation Compensation Recovery Policy, as amended from time to time; and</w:t>
      </w:r>
    </w:p>
    <w:p>
      <w:pPr>
        <w:jc w:val="both"/>
        <w:ind w:firstLine="3"/>
        <w:spacing w:after="0" w:line="243" w:lineRule="auto"/>
        <w:tabs>
          <w:tab w:leader="none" w:pos="304"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Applicable Law. Further, unless otherwise determined by the Committee,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w:t>
      </w:r>
    </w:p>
    <w:p>
      <w:pPr>
        <w:spacing w:after="0" w:line="194" w:lineRule="exact"/>
        <w:rPr>
          <w:rFonts w:ascii="Times New Roman" w:cs="Times New Roman" w:eastAsia="Times New Roman" w:hAnsi="Times New Roman"/>
          <w:sz w:val="21"/>
          <w:szCs w:val="21"/>
          <w:color w:val="auto"/>
        </w:rPr>
      </w:pPr>
    </w:p>
    <w:p>
      <w:pPr>
        <w:jc w:val="both"/>
        <w:ind w:firstLine="620"/>
        <w:spacing w:after="0" w:line="247" w:lineRule="auto"/>
        <w:tabs>
          <w:tab w:leader="none" w:pos="1229" w:val="left"/>
        </w:tabs>
        <w:numPr>
          <w:ilvl w:val="1"/>
          <w:numId w:val="5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Right of Offset</w:t>
      </w:r>
      <w:r>
        <w:rPr>
          <w:rFonts w:ascii="Times New Roman" w:cs="Times New Roman" w:eastAsia="Times New Roman" w:hAnsi="Times New Roman"/>
          <w:sz w:val="21"/>
          <w:szCs w:val="21"/>
          <w:color w:val="auto"/>
        </w:rPr>
        <w:t>. The Company will have the right to offset against its obligation to deliver shares of Common Stock (or other property or cash) under the Plan or any Award Agreement any outstanding amounts (including, without limitation, travel and entertainment or advance account balances, loans, repayment obligations under any Awards, or amounts repayable to the Company pursuant to tax equalization, housing, automobile or other employee programs) that the Participant then owes to any member of the Company Group and any amounts the Committee otherwise deems appropriate pursuant to any tax equalization policy or agreement. Notwithstanding the foregoing, except as may be required pursuant to Section 12(u) hereof, if an Award constitutes “nonqualified deferred compensation” under Section 409A of the Code, the Committee will have no right to offset against its obligation to deliver shares of Common Stock (or other property or cash) under the Plan or any Award Agreement if such offset could subject the Participant to the additional tax imposed under Section 409A of the Code in respect of an outstanding Award.</w:t>
      </w:r>
    </w:p>
    <w:p>
      <w:pPr>
        <w:spacing w:after="0" w:line="178" w:lineRule="exact"/>
        <w:rPr>
          <w:rFonts w:ascii="Times New Roman" w:cs="Times New Roman" w:eastAsia="Times New Roman" w:hAnsi="Times New Roman"/>
          <w:sz w:val="21"/>
          <w:szCs w:val="21"/>
          <w:color w:val="010000"/>
        </w:rPr>
      </w:pPr>
    </w:p>
    <w:p>
      <w:pPr>
        <w:ind w:firstLine="620"/>
        <w:spacing w:after="0" w:line="268" w:lineRule="auto"/>
        <w:tabs>
          <w:tab w:leader="none" w:pos="1223" w:val="left"/>
        </w:tabs>
        <w:numPr>
          <w:ilvl w:val="1"/>
          <w:numId w:val="5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Section 16(b) of the Exchange Act</w:t>
      </w:r>
      <w:r>
        <w:rPr>
          <w:rFonts w:ascii="Times New Roman" w:cs="Times New Roman" w:eastAsia="Times New Roman" w:hAnsi="Times New Roman"/>
          <w:sz w:val="21"/>
          <w:szCs w:val="21"/>
          <w:color w:val="auto"/>
        </w:rPr>
        <w:t>. It is the intent of the Company that this Plan and any Awards granted, forfeited, withheld, or “net exercised” hereunder satisfy, and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360" w:right="339" w:bottom="1440" w:gutter="0" w:footer="0" w:header="0"/>
        </w:sectPr>
      </w:pPr>
    </w:p>
    <w:bookmarkStart w:id="32" w:name="page33"/>
    <w:bookmarkEnd w:id="32"/>
    <w:p>
      <w:pPr>
        <w:jc w:val="both"/>
        <w:spacing w:after="0" w:line="252" w:lineRule="auto"/>
        <w:rPr>
          <w:sz w:val="20"/>
          <w:szCs w:val="20"/>
          <w:color w:val="auto"/>
        </w:rPr>
      </w:pPr>
      <w:r>
        <w:rPr>
          <w:rFonts w:ascii="Times New Roman" w:cs="Times New Roman" w:eastAsia="Times New Roman" w:hAnsi="Times New Roman"/>
          <w:sz w:val="21"/>
          <w:szCs w:val="21"/>
          <w:color w:val="auto"/>
        </w:rPr>
        <w:t>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this Plan would conflict with the intent expressed in this Section 12(w), such provision to the extent possible shall be interpreted and/or deemed amended so as to avoid such conflict.</w:t>
      </w:r>
    </w:p>
    <w:p>
      <w:pPr>
        <w:spacing w:after="0" w:line="171" w:lineRule="exact"/>
        <w:rPr>
          <w:sz w:val="20"/>
          <w:szCs w:val="20"/>
          <w:color w:val="auto"/>
        </w:rPr>
      </w:pPr>
    </w:p>
    <w:p>
      <w:pPr>
        <w:jc w:val="both"/>
        <w:ind w:firstLine="620"/>
        <w:spacing w:after="0" w:line="255" w:lineRule="auto"/>
        <w:tabs>
          <w:tab w:leader="none" w:pos="1229" w:val="left"/>
        </w:tabs>
        <w:numPr>
          <w:ilvl w:val="0"/>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Expenses; Titles and Headings</w:t>
      </w:r>
      <w:r>
        <w:rPr>
          <w:rFonts w:ascii="Times New Roman" w:cs="Times New Roman" w:eastAsia="Times New Roman" w:hAnsi="Times New Roman"/>
          <w:sz w:val="21"/>
          <w:szCs w:val="21"/>
          <w:color w:val="auto"/>
        </w:rPr>
        <w:t>. The expenses of administering the Plan shall be borne by the Company Group. The titles and headings of the sections in the Plan are for convenience of reference only, and in the event of any conflict, the text of the Plan, rather than such titles or headings,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360" w:right="339" w:bottom="1440" w:gutter="0" w:footer="0" w:header="0"/>
        </w:sectPr>
      </w:pPr>
    </w:p>
    <w:bookmarkStart w:id="33" w:name="page34"/>
    <w:bookmarkEnd w:id="33"/>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814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American Tower Corporation</w:t>
            </w:r>
          </w:p>
        </w:tc>
        <w:tc>
          <w:tcPr>
            <w:tcW w:w="3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American Tower Corporation</w:t>
            </w:r>
          </w:p>
        </w:tc>
        <w:tc>
          <w:tcPr>
            <w:tcW w:w="0" w:type="dxa"/>
            <w:vAlign w:val="bottom"/>
          </w:tcPr>
          <w:p>
            <w:pPr>
              <w:spacing w:after="0"/>
              <w:rPr>
                <w:sz w:val="1"/>
                <w:szCs w:val="1"/>
                <w:color w:val="auto"/>
              </w:rPr>
            </w:pPr>
          </w:p>
        </w:tc>
      </w:tr>
      <w:tr>
        <w:trPr>
          <w:trHeight w:val="171"/>
        </w:trPr>
        <w:tc>
          <w:tcPr>
            <w:tcW w:w="8140" w:type="dxa"/>
            <w:vAlign w:val="bottom"/>
            <w:tcBorders>
              <w:left w:val="single" w:sz="8" w:color="auto"/>
              <w:right w:val="single" w:sz="8" w:color="auto"/>
            </w:tcBorders>
            <w:vMerge w:val="continue"/>
          </w:tcPr>
          <w:p>
            <w:pPr>
              <w:spacing w:after="0"/>
              <w:rPr>
                <w:sz w:val="14"/>
                <w:szCs w:val="14"/>
                <w:color w:val="auto"/>
              </w:rPr>
            </w:pPr>
          </w:p>
        </w:tc>
        <w:tc>
          <w:tcPr>
            <w:tcW w:w="3120" w:type="dxa"/>
            <w:vAlign w:val="bottom"/>
            <w:tcBorders>
              <w:right w:val="single" w:sz="8" w:color="auto"/>
            </w:tcBorders>
          </w:tcPr>
          <w:p>
            <w:pPr>
              <w:ind w:left="20"/>
              <w:spacing w:after="0" w:line="171" w:lineRule="exact"/>
              <w:rPr>
                <w:sz w:val="20"/>
                <w:szCs w:val="20"/>
                <w:color w:val="auto"/>
              </w:rPr>
            </w:pPr>
            <w:r>
              <w:rPr>
                <w:rFonts w:ascii="Times New Roman" w:cs="Times New Roman" w:eastAsia="Times New Roman" w:hAnsi="Times New Roman"/>
                <w:sz w:val="17"/>
                <w:szCs w:val="17"/>
                <w:color w:val="auto"/>
              </w:rPr>
              <w:t>ID: 65-0723837</w:t>
            </w:r>
          </w:p>
        </w:tc>
        <w:tc>
          <w:tcPr>
            <w:tcW w:w="0" w:type="dxa"/>
            <w:vAlign w:val="bottom"/>
          </w:tcPr>
          <w:p>
            <w:pPr>
              <w:spacing w:after="0"/>
              <w:rPr>
                <w:sz w:val="1"/>
                <w:szCs w:val="1"/>
                <w:color w:val="auto"/>
              </w:rPr>
            </w:pPr>
          </w:p>
        </w:tc>
      </w:tr>
      <w:tr>
        <w:trPr>
          <w:trHeight w:val="241"/>
        </w:trPr>
        <w:tc>
          <w:tcPr>
            <w:tcW w:w="81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Notice of Grant of Restricted Stock Units and RSU Agreement (Employee / Time)</w:t>
            </w:r>
          </w:p>
        </w:tc>
        <w:tc>
          <w:tcPr>
            <w:tcW w:w="3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222 Berkeley Street</w:t>
            </w:r>
          </w:p>
        </w:tc>
        <w:tc>
          <w:tcPr>
            <w:tcW w:w="0" w:type="dxa"/>
            <w:vAlign w:val="bottom"/>
          </w:tcPr>
          <w:p>
            <w:pPr>
              <w:spacing w:after="0"/>
              <w:rPr>
                <w:sz w:val="1"/>
                <w:szCs w:val="1"/>
                <w:color w:val="auto"/>
              </w:rPr>
            </w:pPr>
          </w:p>
        </w:tc>
      </w:tr>
      <w:tr>
        <w:trPr>
          <w:trHeight w:val="223"/>
        </w:trPr>
        <w:tc>
          <w:tcPr>
            <w:tcW w:w="8140" w:type="dxa"/>
            <w:vAlign w:val="bottom"/>
            <w:tcBorders>
              <w:left w:val="single" w:sz="8" w:color="auto"/>
              <w:right w:val="single" w:sz="8" w:color="auto"/>
            </w:tcBorders>
          </w:tcPr>
          <w:p>
            <w:pPr>
              <w:spacing w:after="0"/>
              <w:rPr>
                <w:sz w:val="19"/>
                <w:szCs w:val="19"/>
                <w:color w:val="auto"/>
              </w:rPr>
            </w:pPr>
          </w:p>
        </w:tc>
        <w:tc>
          <w:tcPr>
            <w:tcW w:w="3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Boston, MA 02116</w:t>
            </w:r>
          </w:p>
        </w:tc>
        <w:tc>
          <w:tcPr>
            <w:tcW w:w="0" w:type="dxa"/>
            <w:vAlign w:val="bottom"/>
          </w:tcPr>
          <w:p>
            <w:pPr>
              <w:spacing w:after="0"/>
              <w:rPr>
                <w:sz w:val="1"/>
                <w:szCs w:val="1"/>
                <w:color w:val="auto"/>
              </w:rPr>
            </w:pPr>
          </w:p>
        </w:tc>
      </w:tr>
      <w:tr>
        <w:trPr>
          <w:trHeight w:val="25"/>
        </w:trPr>
        <w:tc>
          <w:tcPr>
            <w:tcW w:w="81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1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Administrator</w:t>
            </w:r>
          </w:p>
        </w:tc>
        <w:tc>
          <w:tcPr>
            <w:tcW w:w="3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Participant Name:</w:t>
            </w:r>
          </w:p>
        </w:tc>
        <w:tc>
          <w:tcPr>
            <w:tcW w:w="0" w:type="dxa"/>
            <w:vAlign w:val="bottom"/>
          </w:tcPr>
          <w:p>
            <w:pPr>
              <w:spacing w:after="0"/>
              <w:rPr>
                <w:sz w:val="1"/>
                <w:szCs w:val="1"/>
                <w:color w:val="auto"/>
              </w:rPr>
            </w:pPr>
          </w:p>
        </w:tc>
      </w:tr>
      <w:tr>
        <w:trPr>
          <w:trHeight w:val="206"/>
        </w:trPr>
        <w:tc>
          <w:tcPr>
            <w:tcW w:w="81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222 Berkeley Street</w:t>
            </w:r>
          </w:p>
        </w:tc>
        <w:tc>
          <w:tcPr>
            <w:tcW w:w="3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RSU Number:</w:t>
            </w:r>
          </w:p>
        </w:tc>
        <w:tc>
          <w:tcPr>
            <w:tcW w:w="0" w:type="dxa"/>
            <w:vAlign w:val="bottom"/>
          </w:tcPr>
          <w:p>
            <w:pPr>
              <w:spacing w:after="0"/>
              <w:rPr>
                <w:sz w:val="1"/>
                <w:szCs w:val="1"/>
                <w:color w:val="auto"/>
              </w:rPr>
            </w:pPr>
          </w:p>
        </w:tc>
      </w:tr>
      <w:tr>
        <w:trPr>
          <w:trHeight w:val="210"/>
        </w:trPr>
        <w:tc>
          <w:tcPr>
            <w:tcW w:w="81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Boston MA United States 02116</w:t>
            </w:r>
          </w:p>
        </w:tc>
        <w:tc>
          <w:tcPr>
            <w:tcW w:w="3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Plan:</w:t>
            </w:r>
          </w:p>
        </w:tc>
        <w:tc>
          <w:tcPr>
            <w:tcW w:w="0" w:type="dxa"/>
            <w:vAlign w:val="bottom"/>
          </w:tcPr>
          <w:p>
            <w:pPr>
              <w:spacing w:after="0"/>
              <w:rPr>
                <w:sz w:val="1"/>
                <w:szCs w:val="1"/>
                <w:color w:val="auto"/>
              </w:rPr>
            </w:pPr>
          </w:p>
        </w:tc>
      </w:tr>
      <w:tr>
        <w:trPr>
          <w:trHeight w:val="223"/>
        </w:trPr>
        <w:tc>
          <w:tcPr>
            <w:tcW w:w="8140" w:type="dxa"/>
            <w:vAlign w:val="bottom"/>
            <w:tcBorders>
              <w:left w:val="single" w:sz="8" w:color="auto"/>
              <w:right w:val="single" w:sz="8" w:color="auto"/>
            </w:tcBorders>
          </w:tcPr>
          <w:p>
            <w:pPr>
              <w:spacing w:after="0"/>
              <w:rPr>
                <w:sz w:val="19"/>
                <w:szCs w:val="19"/>
                <w:color w:val="auto"/>
              </w:rPr>
            </w:pPr>
          </w:p>
        </w:tc>
        <w:tc>
          <w:tcPr>
            <w:tcW w:w="3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ID:</w:t>
            </w:r>
          </w:p>
        </w:tc>
        <w:tc>
          <w:tcPr>
            <w:tcW w:w="0" w:type="dxa"/>
            <w:vAlign w:val="bottom"/>
          </w:tcPr>
          <w:p>
            <w:pPr>
              <w:spacing w:after="0"/>
              <w:rPr>
                <w:sz w:val="1"/>
                <w:szCs w:val="1"/>
                <w:color w:val="auto"/>
              </w:rPr>
            </w:pPr>
          </w:p>
        </w:tc>
      </w:tr>
      <w:tr>
        <w:trPr>
          <w:trHeight w:val="25"/>
        </w:trPr>
        <w:tc>
          <w:tcPr>
            <w:tcW w:w="81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7"/>
          <w:szCs w:val="17"/>
          <w:color w:val="auto"/>
        </w:rPr>
        <w:t>American Tower Corporation, a Delaware corporation (the “Company”), pursuant to its 2026 Equity Incentive Plan, as it may be amended and restated from time to time (the “Plan”), hereby grants to the Participant named above (“you”) restricted stock units (the “RSUs”) representing the right to receive the number of shares of Common Stock, par value $0.01 per share of the Company set forth below (or, if so determined by the Committee, the value of such shares, payable in cash or such other property as the Committee determines) on the terms of this Notice of Grant of Restricted Stock Units (the “Grant Notice”) and the RSU Agreement (the “Agreement”), subject to your acceptance of, and compliance with, the terms and conditions of the Agreement and the Plan. Capitalized terms used and not otherwise defined in this Grant Notice have the meanings given to them in the Plan.</w:t>
      </w:r>
    </w:p>
    <w:p>
      <w:pPr>
        <w:spacing w:after="0" w:line="276" w:lineRule="exact"/>
        <w:rPr>
          <w:sz w:val="20"/>
          <w:szCs w:val="20"/>
          <w:color w:val="auto"/>
        </w:rPr>
      </w:pPr>
    </w:p>
    <w:p>
      <w:pPr>
        <w:ind w:left="640"/>
        <w:spacing w:after="0"/>
        <w:tabs>
          <w:tab w:leader="none" w:pos="7820" w:val="left"/>
        </w:tabs>
        <w:rPr>
          <w:sz w:val="20"/>
          <w:szCs w:val="20"/>
          <w:color w:val="auto"/>
        </w:rPr>
      </w:pPr>
      <w:r>
        <w:rPr>
          <w:rFonts w:ascii="Times New Roman" w:cs="Times New Roman" w:eastAsia="Times New Roman" w:hAnsi="Times New Roman"/>
          <w:sz w:val="17"/>
          <w:szCs w:val="17"/>
          <w:color w:val="auto"/>
        </w:rPr>
        <w:t>Date of Grant:</w:t>
      </w:r>
      <w:r>
        <w:rPr>
          <w:sz w:val="20"/>
          <w:szCs w:val="20"/>
          <w:color w:val="auto"/>
        </w:rPr>
        <w:tab/>
      </w:r>
      <w:r>
        <w:rPr>
          <w:rFonts w:ascii="Times New Roman" w:cs="Times New Roman" w:eastAsia="Times New Roman" w:hAnsi="Times New Roman"/>
          <w:sz w:val="17"/>
          <w:szCs w:val="17"/>
          <w:color w:val="auto"/>
        </w:rPr>
        <w:t>, 20____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33020</wp:posOffset>
            </wp:positionV>
            <wp:extent cx="6362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6270" cy="8255"/>
                    </a:xfrm>
                    <a:prstGeom prst="rect">
                      <a:avLst/>
                    </a:prstGeom>
                    <a:noFill/>
                  </pic:spPr>
                </pic:pic>
              </a:graphicData>
            </a:graphic>
          </wp:anchor>
        </w:drawing>
      </w:r>
    </w:p>
    <w:p>
      <w:pPr>
        <w:spacing w:after="0" w:line="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33020</wp:posOffset>
            </wp:positionV>
            <wp:extent cx="6362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627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RSUs will vest and the underlying shares will become issuable on the following schedule (each date, a “Scheduled Vesting Date”), subject to the terms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and the terms of the Plan:</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on or after _________, 20__, as to _________ shares,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on or after _________, 20__ , as to _________ additional shares, and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on or after _________, 20__ , as to _________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414020</wp:posOffset>
            </wp:positionV>
            <wp:extent cx="71386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9460" w:val="left"/>
        </w:tabs>
        <w:rPr>
          <w:sz w:val="20"/>
          <w:szCs w:val="20"/>
          <w:color w:val="auto"/>
        </w:rPr>
      </w:pPr>
      <w:r>
        <w:rPr>
          <w:rFonts w:ascii="Times New Roman" w:cs="Times New Roman" w:eastAsia="Times New Roman" w:hAnsi="Times New Roman"/>
          <w:sz w:val="17"/>
          <w:szCs w:val="17"/>
          <w:color w:val="auto"/>
        </w:rPr>
        <w:t>American Tower Corporation</w:t>
      </w:r>
      <w:r>
        <w:rPr>
          <w:sz w:val="20"/>
          <w:szCs w:val="20"/>
          <w:color w:val="auto"/>
        </w:rPr>
        <w:tab/>
      </w:r>
      <w:r>
        <w:rPr>
          <w:rFonts w:ascii="Times New Roman" w:cs="Times New Roman" w:eastAsia="Times New Roman" w:hAnsi="Times New Roman"/>
          <w:sz w:val="17"/>
          <w:szCs w:val="17"/>
          <w:color w:val="auto"/>
        </w:rPr>
        <w:t>Date</w:t>
      </w:r>
    </w:p>
    <w:p>
      <w:pPr>
        <w:spacing w:after="0" w:line="100"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7"/>
          <w:szCs w:val="17"/>
          <w:color w:val="auto"/>
        </w:rPr>
        <w:t>By your signature below, you acknowledge receipt of the Agreement and the Plan, and, as an express condition to the grant of RSUs hereunder, agree to be bound by the terms of the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319405</wp:posOffset>
            </wp:positionV>
            <wp:extent cx="71386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8040" w:val="left"/>
        </w:tabs>
        <w:rPr>
          <w:sz w:val="20"/>
          <w:szCs w:val="20"/>
          <w:color w:val="auto"/>
        </w:rPr>
      </w:pPr>
      <w:r>
        <w:rPr>
          <w:rFonts w:ascii="Times New Roman" w:cs="Times New Roman" w:eastAsia="Times New Roman" w:hAnsi="Times New Roman"/>
          <w:sz w:val="17"/>
          <w:szCs w:val="17"/>
          <w:color w:val="auto"/>
        </w:rPr>
        <w:t>Participant</w:t>
      </w:r>
      <w:r>
        <w:rPr>
          <w:sz w:val="20"/>
          <w:szCs w:val="20"/>
          <w:color w:val="auto"/>
        </w:rPr>
        <w:tab/>
      </w:r>
      <w:r>
        <w:rPr>
          <w:rFonts w:ascii="Times New Roman" w:cs="Times New Roman" w:eastAsia="Times New Roman" w:hAnsi="Times New Roman"/>
          <w:sz w:val="17"/>
          <w:szCs w:val="17"/>
          <w:color w:val="auto"/>
        </w:rPr>
        <w:t>Date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Alternative (for electronic award administration)</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Participant’s Online Acceptance is required through E*TRADE</w:t>
      </w:r>
    </w:p>
    <w:p>
      <w:pPr>
        <w:spacing w:after="0" w:line="24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7"/>
          <w:szCs w:val="17"/>
          <w:color w:val="auto"/>
        </w:rPr>
        <w:t>I understand that I must accept this grant online through my E*TRADE account. By doing so I acknowledge receipt of the Agreement and the Plan, and, as an express condition to the grant of RSUs hereunder, agree to be bound by the terms of the Agreement and the Plan, and I intend that by clicking the “Accept” button for this grant package to have the same force in all respects as my handwritten signature.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w:t>
      </w:r>
    </w:p>
    <w:p>
      <w:pPr>
        <w:sectPr>
          <w:pgSz w:w="11900" w:h="16838" w:orient="portrait"/>
          <w:cols w:equalWidth="0" w:num="1">
            <w:col w:w="11260"/>
          </w:cols>
          <w:pgMar w:left="320" w:top="119" w:right="31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Terms of Restricted Stock Units</w:t>
      </w:r>
    </w:p>
    <w:p>
      <w:pPr>
        <w:spacing w:after="0" w:line="222" w:lineRule="exact"/>
        <w:rPr>
          <w:sz w:val="20"/>
          <w:szCs w:val="20"/>
          <w:color w:val="auto"/>
        </w:rPr>
      </w:pPr>
    </w:p>
    <w:p>
      <w:pPr>
        <w:jc w:val="both"/>
        <w:ind w:firstLine="420"/>
        <w:spacing w:after="0" w:line="263" w:lineRule="auto"/>
        <w:rPr>
          <w:sz w:val="20"/>
          <w:szCs w:val="20"/>
          <w:color w:val="auto"/>
        </w:rPr>
      </w:pPr>
      <w:r>
        <w:rPr>
          <w:rFonts w:ascii="Times New Roman" w:cs="Times New Roman" w:eastAsia="Times New Roman" w:hAnsi="Times New Roman"/>
          <w:sz w:val="17"/>
          <w:szCs w:val="17"/>
          <w:color w:val="auto"/>
        </w:rPr>
        <w:t>Pursuant to the Notice of Grant of Restricted Stock Units delivered to you (the “Grant Notice”), and subject to the terms of this RSU Agreement (the “Agreement”) and the American Tower Corporation 2026 Equity Incentive Plan, as it may be amended and restated from time to time (the “Plan”), you and the Company agree as follows. Capitalized terms used and not otherwise defined in this Agreement have the meanings given to them in the Plan or the Grant Notice, as applicable.</w:t>
      </w:r>
    </w:p>
    <w:p>
      <w:pPr>
        <w:spacing w:after="0" w:line="197" w:lineRule="exact"/>
        <w:rPr>
          <w:sz w:val="20"/>
          <w:szCs w:val="20"/>
          <w:color w:val="auto"/>
        </w:rPr>
      </w:pPr>
    </w:p>
    <w:p>
      <w:pPr>
        <w:jc w:val="both"/>
        <w:ind w:firstLine="422"/>
        <w:spacing w:after="0" w:line="260" w:lineRule="auto"/>
        <w:tabs>
          <w:tab w:leader="none" w:pos="604"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Plan Incorporated by Reference</w:t>
      </w:r>
      <w:r>
        <w:rPr>
          <w:rFonts w:ascii="Times New Roman" w:cs="Times New Roman" w:eastAsia="Times New Roman" w:hAnsi="Times New Roman"/>
          <w:sz w:val="17"/>
          <w:szCs w:val="17"/>
          <w:color w:val="auto"/>
        </w:rPr>
        <w:t>. The provisions of the Plan are incorporated into and made a part of this Agreement by this reference. The Committee administers the Plan, and its determinations regarding the interpretation and operation of the Plan and this Agreement are final and binding. The Board may in its sole discretion at any time terminate or from time to time modify and amend the Plan as provided therein. You may obtain a copy of the Plan without charge upon request to the Company’s Human Resources Department. In the event of a conflict or inconsistency between the terms and/or provisions of the Plan and the terms and/or provisions of this Agreement (including the Grant Notice), this Agreement shall govern and control.</w:t>
      </w:r>
    </w:p>
    <w:p>
      <w:pPr>
        <w:spacing w:after="0" w:line="200" w:lineRule="exact"/>
        <w:rPr>
          <w:rFonts w:ascii="Times New Roman" w:cs="Times New Roman" w:eastAsia="Times New Roman" w:hAnsi="Times New Roman"/>
          <w:sz w:val="17"/>
          <w:szCs w:val="17"/>
          <w:color w:val="auto"/>
        </w:rPr>
      </w:pPr>
    </w:p>
    <w:p>
      <w:pPr>
        <w:jc w:val="both"/>
        <w:ind w:firstLine="427"/>
        <w:spacing w:after="0" w:line="257" w:lineRule="auto"/>
        <w:tabs>
          <w:tab w:leader="none" w:pos="59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of RSUs</w:t>
      </w:r>
      <w:r>
        <w:rPr>
          <w:rFonts w:ascii="Times New Roman" w:cs="Times New Roman" w:eastAsia="Times New Roman" w:hAnsi="Times New Roman"/>
          <w:sz w:val="17"/>
          <w:szCs w:val="17"/>
          <w:color w:val="auto"/>
        </w:rPr>
        <w:t>. The RSUs will vest, while you are employed by the Company Group, for the respective numbers of shares and on the Scheduled Vesting Dates stated in the vesting schedule on the first page of this Agreement, subject to the other terms of this Agreement. RSUs are an unfunded, unsecured obligation of the Company. You shall not earn any rights under the RSUs except in conformity with such schedule and until all other conditions that are required to be met in order to issue the underlying shares have been satisfied. Subject to Sections 4 and 5 of this Agreement, as soon as reasonably practicable (and, in any event, within sixty (60) days after the Scheduled Vesting Date for any RSUs), the Company will deliver to you or your legal representative, without charge, one share of Common Stock for each RSU which becomes vested hereunder (or such cash or other property as the Committee determines) and such RSU shall be canceled upon such delivery.</w:t>
      </w:r>
    </w:p>
    <w:p>
      <w:pPr>
        <w:spacing w:after="0" w:line="204" w:lineRule="exact"/>
        <w:rPr>
          <w:rFonts w:ascii="Times New Roman" w:cs="Times New Roman" w:eastAsia="Times New Roman" w:hAnsi="Times New Roman"/>
          <w:sz w:val="17"/>
          <w:szCs w:val="17"/>
          <w:color w:val="auto"/>
        </w:rPr>
      </w:pPr>
    </w:p>
    <w:p>
      <w:pPr>
        <w:jc w:val="both"/>
        <w:ind w:firstLine="427"/>
        <w:spacing w:after="0" w:line="259" w:lineRule="auto"/>
        <w:tabs>
          <w:tab w:leader="none" w:pos="621"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 Equivalents</w:t>
      </w:r>
      <w:r>
        <w:rPr>
          <w:rFonts w:ascii="Times New Roman" w:cs="Times New Roman" w:eastAsia="Times New Roman" w:hAnsi="Times New Roman"/>
          <w:sz w:val="17"/>
          <w:szCs w:val="17"/>
          <w:color w:val="auto"/>
        </w:rPr>
        <w:t>. While the RSUs are outstanding and unvested, the Company will accrue dividend equivalents on your behalf. The dividend equivalent with respect to each RSU will be equal to the sum of the cash dividend declared and paid by the Company with respect to each share of Common Stock while the RSU is outstanding. No interest will accrue on the dividend equivalents. No dividend equivalent amounts will be paid in respect of unvested or forfeited RSUs. At the time the Company delivers shares of Common Stock in respect of your vested RSUs under Sections 2 and 4 of this Agreement, the Company will also pay you a lump sum cash amount equal to the cash dividends you would have received had you held such number of shares of Common Stock from the Date of Grant through the date of your receipt of such shares of Common Stock in settlement of your vested RSUs.</w:t>
      </w:r>
    </w:p>
    <w:p>
      <w:pPr>
        <w:spacing w:after="0" w:line="198" w:lineRule="exact"/>
        <w:rPr>
          <w:rFonts w:ascii="Times New Roman" w:cs="Times New Roman" w:eastAsia="Times New Roman" w:hAnsi="Times New Roman"/>
          <w:sz w:val="17"/>
          <w:szCs w:val="17"/>
          <w:color w:val="auto"/>
        </w:rPr>
      </w:pPr>
    </w:p>
    <w:p>
      <w:pPr>
        <w:jc w:val="both"/>
        <w:ind w:firstLine="427"/>
        <w:spacing w:after="0" w:line="255" w:lineRule="auto"/>
        <w:tabs>
          <w:tab w:leader="none" w:pos="621"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Employment</w:t>
      </w:r>
      <w:r>
        <w:rPr>
          <w:rFonts w:ascii="Times New Roman" w:cs="Times New Roman" w:eastAsia="Times New Roman" w:hAnsi="Times New Roman"/>
          <w:sz w:val="17"/>
          <w:szCs w:val="17"/>
          <w:color w:val="auto"/>
        </w:rPr>
        <w:t xml:space="preserve">. Upon Termination of your employment with the Company Group for any reason other than Qualified Retirement, a Qualifying Termination, death or Disability (as defined below, where applicable), in each case, prior to a Scheduled Vesting Date, you will forfeit any of the RSUs that are unvested as of the Termination date, together with any accrued dividend equivalents, as of the date of Termination and all such unvested RSUs and accrued dividend equivalents will be canceled for no value. Upon Termination of your employment with the Company Group by reason of Qualified Retirement, a Qualifying Termination, death or Disability, in each case, prior to a Scheduled Vesting Date, any of the RSUs that are unvested as of the Termination date shall immediately vest on such Termination date; provided, however, for a Qualifying Termination, the treatment described in this Section 4 is subject to, and conditioned upon (i) if you are a participant in the Severance Plan (as defined below) at the time of your Termination, your compliance and satisfaction of the terms and conditions of the Severance Plan (including, without limitation, Section 3.1 </w:t>
      </w:r>
      <w:r>
        <w:rPr>
          <w:rFonts w:ascii="Times New Roman" w:cs="Times New Roman" w:eastAsia="Times New Roman" w:hAnsi="Times New Roman"/>
          <w:sz w:val="17"/>
          <w:szCs w:val="17"/>
          <w:i w:val="1"/>
          <w:iCs w:val="1"/>
          <w:color w:val="auto"/>
        </w:rPr>
        <w:t>Eligibility for Severance Benefits</w:t>
      </w:r>
      <w:r>
        <w:rPr>
          <w:rFonts w:ascii="Times New Roman" w:cs="Times New Roman" w:eastAsia="Times New Roman" w:hAnsi="Times New Roman"/>
          <w:sz w:val="17"/>
          <w:szCs w:val="17"/>
          <w:color w:val="auto"/>
        </w:rPr>
        <w:t xml:space="preserve"> of the Severance Plan) or (ii) if you are not a participant in the Severance Plan and located outside of the U.S. at the time of your Termination, your execution and non-revocation of a release, if applicable, (which may contain non-compete, non-solicitation and non-disparagement provisions in a form and with the content satisfactory to the Company. Subject to Section 6 of this Agreement, within sixty (60) days after the vesting date for any RSUs pursuant to this Section 4, the Company will deliver to you or your legal representative the number of shares of Common Stock underlying the number of vested RSUs associated with such vesting date (or such cash or other property as the Committee determines); provided, however, if you are a “specified employee” as defined in Treasury</w:t>
      </w:r>
    </w:p>
    <w:p>
      <w:pPr>
        <w:sectPr>
          <w:pgSz w:w="11900" w:h="16838" w:orient="portrait"/>
          <w:cols w:equalWidth="0" w:num="1">
            <w:col w:w="11240"/>
          </w:cols>
          <w:pgMar w:left="320" w:top="1119" w:right="339" w:bottom="1440" w:gutter="0" w:footer="0" w:header="0"/>
        </w:sectPr>
      </w:pPr>
    </w:p>
    <w:bookmarkStart w:id="35" w:name="page36"/>
    <w:bookmarkEnd w:id="35"/>
    <w:p>
      <w:pPr>
        <w:jc w:val="both"/>
        <w:spacing w:after="0" w:line="259" w:lineRule="auto"/>
        <w:rPr>
          <w:sz w:val="20"/>
          <w:szCs w:val="20"/>
          <w:color w:val="auto"/>
        </w:rPr>
      </w:pPr>
      <w:r>
        <w:rPr>
          <w:rFonts w:ascii="Times New Roman" w:cs="Times New Roman" w:eastAsia="Times New Roman" w:hAnsi="Times New Roman"/>
          <w:sz w:val="17"/>
          <w:szCs w:val="17"/>
          <w:color w:val="auto"/>
        </w:rPr>
        <w:t>Regulation Section 1.409A-1(i) or any successor provision, on the date of your Qualified Retirement, then, irrespective of any other provision contained in this Agreement, to the extent any RSUs or accrued dividend equivalents constitute nonqualified deferred compensation subject to the requirements of Section 409A of the Internal Revenue Code of 1986, as amended (the “Code,” and such section, “Section 409A”), any shares of Common Stock or accrued dividend equivalents vesting pursuant to a Qualified Retirement shall be delivered on the first day of the seventh month following such Termination (or, if earlier, the date of your death). For purposes of Section 409A, each payment made under this Agreement shall be treated as a separate payment and the right to a series of installment payments under this Agreement shall be treated as a right to a series of separate payments.</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For purposes of this Agreement:</w:t>
      </w:r>
    </w:p>
    <w:p>
      <w:pPr>
        <w:spacing w:after="0" w:line="241" w:lineRule="exact"/>
        <w:rPr>
          <w:sz w:val="20"/>
          <w:szCs w:val="20"/>
          <w:color w:val="auto"/>
        </w:rPr>
      </w:pPr>
    </w:p>
    <w:p>
      <w:pPr>
        <w:jc w:val="both"/>
        <w:ind w:firstLine="465"/>
        <w:spacing w:after="0" w:line="263" w:lineRule="auto"/>
        <w:tabs>
          <w:tab w:leader="none" w:pos="672"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“Qualified Retirement” shall mean that (a) you have a combined age and years of service with the Company Group of at least 65 years, provided further that you must (I) be at least 55 years old and (II) have a minimum of five years of service with the Company Group, (b) you experience a “separation from service” within the meaning set forth in Section 409A, and (c) you execute and do not revoke a release, if applicable, (which may contain non-compete, non-solicitation and non-disparagement provisions); and</w:t>
      </w:r>
    </w:p>
    <w:p>
      <w:pPr>
        <w:spacing w:after="0" w:line="196" w:lineRule="exact"/>
        <w:rPr>
          <w:rFonts w:ascii="Times New Roman" w:cs="Times New Roman" w:eastAsia="Times New Roman" w:hAnsi="Times New Roman"/>
          <w:sz w:val="17"/>
          <w:szCs w:val="17"/>
          <w:color w:val="auto"/>
        </w:rPr>
      </w:pPr>
    </w:p>
    <w:p>
      <w:pPr>
        <w:jc w:val="both"/>
        <w:ind w:firstLine="422"/>
        <w:spacing w:after="0" w:line="259" w:lineRule="auto"/>
        <w:tabs>
          <w:tab w:leader="none" w:pos="677"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“Qualifying Termination” shall mean the Termination of your employment by the Company Group when you are not a Senior Executive (as defined in the American Tower Corporation Severance Plan, dated as of March 2, 2009, as amended and restated as of January 1, 2024, and as may be further amended from time to time (the “Severance Plan”)) (a) if you are a participant in the Severance Plan at the time of your Termination, entitling you to receive severance benefits under Section 3.2(c) of the Severance Plan and (b) if you are not a participant in the Severance Plan and you are located outside of the U.S. at the time of your Termination, solely as a result of the elimination of your job or position or for one or more reasons that do not constitute cause or performance reasons (as determined by the Committee).</w:t>
      </w:r>
    </w:p>
    <w:p>
      <w:pPr>
        <w:spacing w:after="0" w:line="198" w:lineRule="exact"/>
        <w:rPr>
          <w:rFonts w:ascii="Times New Roman" w:cs="Times New Roman" w:eastAsia="Times New Roman" w:hAnsi="Times New Roman"/>
          <w:sz w:val="17"/>
          <w:szCs w:val="17"/>
          <w:color w:val="auto"/>
        </w:rPr>
      </w:pPr>
    </w:p>
    <w:p>
      <w:pPr>
        <w:ind w:left="600" w:hanging="178"/>
        <w:spacing w:after="0"/>
        <w:tabs>
          <w:tab w:leader="none" w:pos="6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 Taxes</w:t>
      </w:r>
      <w:r>
        <w:rPr>
          <w:rFonts w:ascii="Times New Roman" w:cs="Times New Roman" w:eastAsia="Times New Roman" w:hAnsi="Times New Roman"/>
          <w:sz w:val="17"/>
          <w:szCs w:val="17"/>
          <w:color w:val="auto"/>
        </w:rPr>
        <w:t>. The provisions of Section 12(d) of the Plan are incorporated herein by reference and made a part hereof.</w:t>
      </w:r>
    </w:p>
    <w:p>
      <w:pPr>
        <w:spacing w:after="0" w:line="241" w:lineRule="exact"/>
        <w:rPr>
          <w:rFonts w:ascii="Times New Roman" w:cs="Times New Roman" w:eastAsia="Times New Roman" w:hAnsi="Times New Roman"/>
          <w:sz w:val="17"/>
          <w:szCs w:val="17"/>
          <w:color w:val="auto"/>
        </w:rPr>
      </w:pPr>
    </w:p>
    <w:p>
      <w:pPr>
        <w:jc w:val="both"/>
        <w:ind w:firstLine="427"/>
        <w:spacing w:after="0" w:line="254" w:lineRule="auto"/>
        <w:tabs>
          <w:tab w:leader="none" w:pos="59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Clawback and Forfeiture Provisions</w:t>
      </w:r>
      <w:r>
        <w:rPr>
          <w:rFonts w:ascii="Times New Roman" w:cs="Times New Roman" w:eastAsia="Times New Roman" w:hAnsi="Times New Roman"/>
          <w:sz w:val="17"/>
          <w:szCs w:val="17"/>
          <w:color w:val="auto"/>
        </w:rPr>
        <w:t>. Notwithstanding any other provision of this Agreement, you shall be obligated to promptly (a) transfer to the Company any shares of Common Stock, cash or other property previously issued upon the vesting of RSUs and dividend equivalents and (b) pay to the Company all gains realized by any person from the disposition of any such shares or other property, in each of (a) and (b), (I) to the extent required by applicable law or permitted by any clawback or similar policy of the Company Group, including, for the avoidance of doubt, the American Tower Corporation Compensation Recovery Policy, as amended from time to time (the “Clawback Policy”), which Clawback Policy shall apply and be deemed incorporated herein to the extent applicable, if: (II) you experience a Termination for cause (as defined below) from the Company Group or if (III) following Termination of employment for any reason, either (A) the Company determines that you engaged in conduct while an employee that would have justified Termination for cause or (B) you violate any applicable confidentiality or non-competition agreement with the Company Group. Additionally, you shall be obligated to forfeit outstanding and unvested RSUs granted pursuant to this Agreement as permitted by any clawback or similar policy of the Company Group (including the Clawback Policy). For purposes of this Section 6, Termination for cause means criminal conduct involving a felony in the U.S. or the equivalent of a felony under the laws of other countries, material violations of civil law related to your job responsibilities, fraud, dishonesty, self-dealing, breach of your obligations regarding the Company’s intellectual property, or willful misconduct that the Committee determines to be injurious to the Company, in each case, as determined by the Committee. No recovery of compensation under any clawback policy (including the Clawback Policy) will be an event giving rise to a right to a voluntary Termination of employment upon a resignation for “good reason,” or for a “constructive termination” or any similar term under any plan of or agreement with the Company. In addition to the obligations contained herein and any obligations under applicable law or any clawback or similar policy of the Company Group, including, for the avoidance of doubt, the Clawback Policy, if you receive any amount in excess of what you should have received under the terms of this Agreement for any reason (including, without limitation, by reason of a financial restatement, mistake in calculations, or other administrative error), then you shall be required to repay any such excess amount to the Company. Without limiting the foregoing, all RSUs shall be subject to reduction, cancellation, forfeiture, or recoupment to the extent necessary to comply with applicable law.</w:t>
      </w:r>
    </w:p>
    <w:p>
      <w:pPr>
        <w:sectPr>
          <w:pgSz w:w="11900" w:h="16838" w:orient="portrait"/>
          <w:cols w:equalWidth="0" w:num="1">
            <w:col w:w="11240"/>
          </w:cols>
          <w:pgMar w:left="320" w:top="894" w:right="339" w:bottom="1440" w:gutter="0" w:footer="0" w:header="0"/>
        </w:sectPr>
      </w:pPr>
    </w:p>
    <w:bookmarkStart w:id="36" w:name="page37"/>
    <w:bookmarkEnd w:id="36"/>
    <w:p>
      <w:pPr>
        <w:jc w:val="both"/>
        <w:ind w:left="-422" w:firstLine="427"/>
        <w:spacing w:after="0" w:line="257" w:lineRule="auto"/>
        <w:tabs>
          <w:tab w:leader="none" w:pos="18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Law; Lock-Up Agreement</w:t>
      </w:r>
      <w:r>
        <w:rPr>
          <w:rFonts w:ascii="Times New Roman" w:cs="Times New Roman" w:eastAsia="Times New Roman" w:hAnsi="Times New Roman"/>
          <w:sz w:val="17"/>
          <w:szCs w:val="17"/>
          <w:color w:val="auto"/>
        </w:rPr>
        <w:t>. The Company shall not be obligated to issue any shares of Common Stock or other securities upon the vesting of the RSUs unless the Company is satisfied that all requirements of law or any applicable stock exchange in connection therewith (including, without limitation, the effective registration or exemption of the issuance of such shares or other securities under the Securities Act of 1933, as amended, and applicable state securities laws) have been or will be complied with, and the Committee may impose any restrictions on your rights as it shall deem necessary or advisable to comply with any such requirements; provided that the Company will issue such shares or other securities on the earliest date at which it reasonably anticipates that such issuance will not cause such violation. You further agree hereby that, as a condition to the issuance of shares upon the vesting of the RSUs, you will enter into and perform any underwriter’s lock-up agreement requested by the Company from time to time in connection with public offerings of the Company’s securities.</w:t>
      </w:r>
    </w:p>
    <w:p>
      <w:pPr>
        <w:spacing w:after="0" w:line="204" w:lineRule="exact"/>
        <w:rPr>
          <w:rFonts w:ascii="Times New Roman" w:cs="Times New Roman" w:eastAsia="Times New Roman" w:hAnsi="Times New Roman"/>
          <w:sz w:val="17"/>
          <w:szCs w:val="17"/>
          <w:color w:val="auto"/>
        </w:rPr>
      </w:pPr>
    </w:p>
    <w:p>
      <w:pPr>
        <w:jc w:val="both"/>
        <w:ind w:left="-422" w:firstLine="427"/>
        <w:spacing w:after="0" w:line="269" w:lineRule="auto"/>
        <w:tabs>
          <w:tab w:leader="none" w:pos="173"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as Stockholder</w:t>
      </w:r>
      <w:r>
        <w:rPr>
          <w:rFonts w:ascii="Times New Roman" w:cs="Times New Roman" w:eastAsia="Times New Roman" w:hAnsi="Times New Roman"/>
          <w:sz w:val="17"/>
          <w:szCs w:val="17"/>
          <w:color w:val="auto"/>
        </w:rPr>
        <w:t>. RSUs are unfunded, unsecured obligations of the Company. You shall not have any rights under the RSUs until all conditions that are required to be met in order to issue the underlying shares of Common Stock have been satisfied. You shall have no rights as a stockholder with respect to any shares of Common Stock or other securities covered by the RSUs until the issuance of such actual shares of Common Stock or other securities.</w:t>
      </w:r>
    </w:p>
    <w:p>
      <w:pPr>
        <w:spacing w:after="0" w:line="190" w:lineRule="exact"/>
        <w:rPr>
          <w:rFonts w:ascii="Times New Roman" w:cs="Times New Roman" w:eastAsia="Times New Roman" w:hAnsi="Times New Roman"/>
          <w:sz w:val="17"/>
          <w:szCs w:val="17"/>
          <w:color w:val="auto"/>
        </w:rPr>
      </w:pPr>
    </w:p>
    <w:p>
      <w:pPr>
        <w:jc w:val="both"/>
        <w:ind w:left="-422" w:firstLine="427"/>
        <w:spacing w:after="0" w:line="260" w:lineRule="auto"/>
        <w:tabs>
          <w:tab w:leader="none" w:pos="18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on Your Employment</w:t>
      </w:r>
      <w:r>
        <w:rPr>
          <w:rFonts w:ascii="Times New Roman" w:cs="Times New Roman" w:eastAsia="Times New Roman" w:hAnsi="Times New Roman"/>
          <w:sz w:val="17"/>
          <w:szCs w:val="17"/>
          <w:color w:val="auto"/>
        </w:rPr>
        <w:t>. Neither the adoption, maintenance or operation of the Plan nor the award of the RSUs and the dividend equivalents with respect to the RSUs confers upon you any right to continue your employment with the Company Group, nor shall they interfere with the rights of the Company Group to subject you to a Termination or otherwise change the terms of such employment or service at any time, including, without limitation, the right to promote, demote or reassign you from one position to another in the Company Group. Unless the Committee otherwise provides in any case, you shall be deemed to have experienced a Termination with an Affiliate for purposes of the Plan when such Affiliate ceases to be an Affiliate of the Company.</w:t>
      </w:r>
    </w:p>
    <w:p>
      <w:pPr>
        <w:spacing w:after="0" w:line="200" w:lineRule="exact"/>
        <w:rPr>
          <w:rFonts w:ascii="Times New Roman" w:cs="Times New Roman" w:eastAsia="Times New Roman" w:hAnsi="Times New Roman"/>
          <w:sz w:val="17"/>
          <w:szCs w:val="17"/>
          <w:color w:val="auto"/>
        </w:rPr>
      </w:pPr>
    </w:p>
    <w:p>
      <w:pPr>
        <w:jc w:val="both"/>
        <w:ind w:left="-422" w:firstLine="422"/>
        <w:spacing w:after="0" w:line="269" w:lineRule="auto"/>
        <w:tabs>
          <w:tab w:leader="none" w:pos="267"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Nontransferability</w:t>
      </w:r>
      <w:r>
        <w:rPr>
          <w:rFonts w:ascii="Times New Roman" w:cs="Times New Roman" w:eastAsia="Times New Roman" w:hAnsi="Times New Roman"/>
          <w:sz w:val="17"/>
          <w:szCs w:val="17"/>
          <w:color w:val="auto"/>
        </w:rPr>
        <w:t>. You may not assign or transfer the RSUs or any rights with respect thereto, including, without limitation, the dividend equivalents with respect to the RSUs, except by will or by the laws of descent and distribution or to the extent expressly permitted in writing by the Committee in accordance with Section 12(b) of the Plan.</w:t>
      </w:r>
    </w:p>
    <w:p>
      <w:pPr>
        <w:spacing w:after="0" w:line="190" w:lineRule="exact"/>
        <w:rPr>
          <w:rFonts w:ascii="Times New Roman" w:cs="Times New Roman" w:eastAsia="Times New Roman" w:hAnsi="Times New Roman"/>
          <w:sz w:val="17"/>
          <w:szCs w:val="17"/>
          <w:color w:val="auto"/>
        </w:rPr>
      </w:pPr>
    </w:p>
    <w:p>
      <w:pPr>
        <w:ind w:left="258" w:hanging="258"/>
        <w:spacing w:after="0"/>
        <w:tabs>
          <w:tab w:leader="none" w:pos="258"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Corporate Events</w:t>
      </w:r>
      <w:r>
        <w:rPr>
          <w:rFonts w:ascii="Times New Roman" w:cs="Times New Roman" w:eastAsia="Times New Roman" w:hAnsi="Times New Roman"/>
          <w:sz w:val="17"/>
          <w:szCs w:val="17"/>
          <w:color w:val="auto"/>
        </w:rPr>
        <w:t>. The terms of the RSUs and the dividend equivalents with respect to the RSUs may be changed as provided in Section 10(b) of the Plan.</w:t>
      </w:r>
    </w:p>
    <w:p>
      <w:pPr>
        <w:spacing w:after="0" w:line="241" w:lineRule="exact"/>
        <w:rPr>
          <w:rFonts w:ascii="Times New Roman" w:cs="Times New Roman" w:eastAsia="Times New Roman" w:hAnsi="Times New Roman"/>
          <w:sz w:val="17"/>
          <w:szCs w:val="17"/>
          <w:color w:val="auto"/>
        </w:rPr>
      </w:pPr>
    </w:p>
    <w:p>
      <w:pPr>
        <w:jc w:val="both"/>
        <w:ind w:left="-422" w:firstLine="427"/>
        <w:spacing w:after="0" w:line="254" w:lineRule="auto"/>
        <w:tabs>
          <w:tab w:leader="none" w:pos="271"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Data Privacy</w:t>
      </w:r>
      <w:r>
        <w:rPr>
          <w:rFonts w:ascii="Times New Roman" w:cs="Times New Roman" w:eastAsia="Times New Roman" w:hAnsi="Times New Roman"/>
          <w:sz w:val="17"/>
          <w:szCs w:val="17"/>
          <w:color w:val="auto"/>
        </w:rPr>
        <w:t>. You hereby explicitly consent to the collection, use and transfer, in electronic or other form, of your personal data as described in this Notice and Agreement by and among, as applicable, the Company Group for the exclusive purpose of implementing, administering and managing your participation in the Plan. You understand that the Company Group holds certain personal information about you, including, but not limited to, your name, home address and telephone number, date of birth, social insurance number or other identification number, salary, nationality, job title, any shares of stock or directorships held in the Company Group, details of all RSUs or any other entitlement to shares of stock awarded, canceled, vested, unvested or outstanding in your favor, for the purpose of implementing, administering and managing the Plan (“Data”). You understand that Data may be transferred to any third parties assisting in the implementation, administration and management of the Plan, that these recipients may be located in your country of residence or elsewhere, and that the recipient’s country may have different data privacy laws and protections than your country. You understand that you may request a list with the names and addresses of any potential recipients of the Data by contacting your local Human Resources representative. You authorize the recipients to receive, possess, use, retain and transfer the Data, in electronic or other form, for the purposes of implementing, administering and managing your participation in the Plan, including any requisite transfer of such Data as may be required to a broker or other third party.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You understand, however, that refusing or withdrawing your consent may affect your ability to participate in the Plan. For more information on the</w:t>
      </w:r>
    </w:p>
    <w:p>
      <w:pPr>
        <w:sectPr>
          <w:pgSz w:w="11900" w:h="16838" w:orient="portrait"/>
          <w:cols w:equalWidth="0" w:num="1">
            <w:col w:w="10818"/>
          </w:cols>
          <w:pgMar w:left="742" w:top="112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color w:val="auto"/>
        </w:rPr>
        <w:t>consequences of refusal to consent or withdrawal of consent, you understand that you may contact your local Human Resources representative.</w:t>
      </w:r>
    </w:p>
    <w:p>
      <w:pPr>
        <w:spacing w:after="0" w:line="241" w:lineRule="exact"/>
        <w:rPr>
          <w:sz w:val="20"/>
          <w:szCs w:val="20"/>
          <w:color w:val="auto"/>
        </w:rPr>
      </w:pPr>
    </w:p>
    <w:p>
      <w:pPr>
        <w:jc w:val="both"/>
        <w:ind w:firstLine="427"/>
        <w:spacing w:after="0" w:line="269" w:lineRule="auto"/>
        <w:tabs>
          <w:tab w:leader="none" w:pos="70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governed by and construed and enforced in accordance with the applicable laws of the United States of America and the law (other than the law governing conflict of law questions) of the State of Delaware except to the extent the laws of any other jurisdiction are mandatorily applicable.</w:t>
      </w:r>
    </w:p>
    <w:p>
      <w:pPr>
        <w:spacing w:after="0" w:line="190" w:lineRule="exact"/>
        <w:rPr>
          <w:rFonts w:ascii="Times New Roman" w:cs="Times New Roman" w:eastAsia="Times New Roman" w:hAnsi="Times New Roman"/>
          <w:sz w:val="17"/>
          <w:szCs w:val="17"/>
          <w:color w:val="auto"/>
        </w:rPr>
      </w:pPr>
    </w:p>
    <w:p>
      <w:pPr>
        <w:jc w:val="both"/>
        <w:ind w:firstLine="427"/>
        <w:spacing w:after="0" w:line="259" w:lineRule="auto"/>
        <w:tabs>
          <w:tab w:leader="none" w:pos="70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and Termination of the RSUs; Waiver</w:t>
      </w:r>
      <w:r>
        <w:rPr>
          <w:rFonts w:ascii="Times New Roman" w:cs="Times New Roman" w:eastAsia="Times New Roman" w:hAnsi="Times New Roman"/>
          <w:sz w:val="17"/>
          <w:szCs w:val="17"/>
          <w:color w:val="auto"/>
        </w:rPr>
        <w:t>. The RSUs and the dividend equivalents with respect to the RSUs awarded hereunder may be amended or terminated by the Company with or without your consent, as permitted by Section 11 of the Plan. Except as otherwise set forth in Section 11 of the Plan, any waiver, alteration, amendment, or modification of any of the terms of this Agreement shall be valid only if made in writing and signed by the parties hereto; provided, however,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98" w:lineRule="exact"/>
        <w:rPr>
          <w:rFonts w:ascii="Times New Roman" w:cs="Times New Roman" w:eastAsia="Times New Roman" w:hAnsi="Times New Roman"/>
          <w:sz w:val="17"/>
          <w:szCs w:val="17"/>
          <w:color w:val="auto"/>
        </w:rPr>
      </w:pPr>
    </w:p>
    <w:p>
      <w:pPr>
        <w:jc w:val="both"/>
        <w:ind w:firstLine="427"/>
        <w:spacing w:after="0" w:line="269" w:lineRule="auto"/>
        <w:tabs>
          <w:tab w:leader="none" w:pos="681"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Imposition of Other Requirements</w:t>
      </w:r>
      <w:r>
        <w:rPr>
          <w:rFonts w:ascii="Times New Roman" w:cs="Times New Roman" w:eastAsia="Times New Roman" w:hAnsi="Times New Roman"/>
          <w:sz w:val="17"/>
          <w:szCs w:val="17"/>
          <w:color w:val="auto"/>
        </w:rPr>
        <w:t>. The Company reserves the right to impose other requirements on your participation in the Plan, on the RSUs,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90" w:lineRule="exact"/>
        <w:rPr>
          <w:rFonts w:ascii="Times New Roman" w:cs="Times New Roman" w:eastAsia="Times New Roman" w:hAnsi="Times New Roman"/>
          <w:sz w:val="17"/>
          <w:szCs w:val="17"/>
          <w:color w:val="auto"/>
        </w:rPr>
      </w:pPr>
    </w:p>
    <w:p>
      <w:pPr>
        <w:ind w:left="680" w:hanging="253"/>
        <w:spacing w:after="0"/>
        <w:tabs>
          <w:tab w:leader="none" w:pos="68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Binding Effect</w:t>
      </w:r>
      <w:r>
        <w:rPr>
          <w:rFonts w:ascii="Times New Roman" w:cs="Times New Roman" w:eastAsia="Times New Roman" w:hAnsi="Times New Roman"/>
          <w:sz w:val="17"/>
          <w:szCs w:val="17"/>
          <w:color w:val="auto"/>
        </w:rPr>
        <w:t>. This Agreement shall be binding upon the heirs, executors, administrators, and successors of the parties hereto.</w:t>
      </w:r>
    </w:p>
    <w:p>
      <w:pPr>
        <w:spacing w:after="0" w:line="241" w:lineRule="exact"/>
        <w:rPr>
          <w:rFonts w:ascii="Times New Roman" w:cs="Times New Roman" w:eastAsia="Times New Roman" w:hAnsi="Times New Roman"/>
          <w:sz w:val="17"/>
          <w:szCs w:val="17"/>
          <w:color w:val="auto"/>
        </w:rPr>
      </w:pPr>
    </w:p>
    <w:p>
      <w:pPr>
        <w:jc w:val="both"/>
        <w:ind w:firstLine="427"/>
        <w:spacing w:after="0" w:line="269" w:lineRule="auto"/>
        <w:tabs>
          <w:tab w:leader="none" w:pos="681"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Electronic Delivery and Acceptance</w:t>
      </w:r>
      <w:r>
        <w:rPr>
          <w:rFonts w:ascii="Times New Roman" w:cs="Times New Roman" w:eastAsia="Times New Roman" w:hAnsi="Times New Roman"/>
          <w:sz w:val="17"/>
          <w:szCs w:val="17"/>
          <w:color w:val="auto"/>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90" w:lineRule="exact"/>
        <w:rPr>
          <w:rFonts w:ascii="Times New Roman" w:cs="Times New Roman" w:eastAsia="Times New Roman" w:hAnsi="Times New Roman"/>
          <w:sz w:val="17"/>
          <w:szCs w:val="17"/>
          <w:color w:val="auto"/>
        </w:rPr>
      </w:pPr>
    </w:p>
    <w:p>
      <w:pPr>
        <w:ind w:firstLine="427"/>
        <w:spacing w:after="0" w:line="285" w:lineRule="auto"/>
        <w:tabs>
          <w:tab w:leader="none" w:pos="681"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the Grant Notice, and the Plan constitute the entire agreement of the parties hereto in respect of the subject matter contained herein and supersede all prior agreements and understandings of the parties, oral and written, with respect to such subject matter.</w:t>
      </w:r>
    </w:p>
    <w:p>
      <w:pPr>
        <w:sectPr>
          <w:pgSz w:w="11900" w:h="16838" w:orient="portrait"/>
          <w:cols w:equalWidth="0" w:num="1">
            <w:col w:w="11240"/>
          </w:cols>
          <w:pgMar w:left="320" w:top="894" w:right="339" w:bottom="1440" w:gutter="0" w:footer="0" w:header="0"/>
        </w:sectPr>
      </w:pPr>
    </w:p>
    <w:bookmarkStart w:id="38" w:name="page39"/>
    <w:bookmarkEnd w:id="38"/>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856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American Tower Corporation</w:t>
            </w:r>
          </w:p>
        </w:tc>
        <w:tc>
          <w:tcPr>
            <w:tcW w:w="2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American Tower Corporation</w:t>
            </w:r>
          </w:p>
        </w:tc>
        <w:tc>
          <w:tcPr>
            <w:tcW w:w="0" w:type="dxa"/>
            <w:vAlign w:val="bottom"/>
          </w:tcPr>
          <w:p>
            <w:pPr>
              <w:spacing w:after="0"/>
              <w:rPr>
                <w:sz w:val="1"/>
                <w:szCs w:val="1"/>
                <w:color w:val="auto"/>
              </w:rPr>
            </w:pPr>
          </w:p>
        </w:tc>
      </w:tr>
      <w:tr>
        <w:trPr>
          <w:trHeight w:val="171"/>
        </w:trPr>
        <w:tc>
          <w:tcPr>
            <w:tcW w:w="8560" w:type="dxa"/>
            <w:vAlign w:val="bottom"/>
            <w:tcBorders>
              <w:left w:val="single" w:sz="8" w:color="auto"/>
              <w:right w:val="single" w:sz="8" w:color="auto"/>
            </w:tcBorders>
            <w:vMerge w:val="continue"/>
          </w:tcPr>
          <w:p>
            <w:pPr>
              <w:spacing w:after="0"/>
              <w:rPr>
                <w:sz w:val="14"/>
                <w:szCs w:val="14"/>
                <w:color w:val="auto"/>
              </w:rPr>
            </w:pPr>
          </w:p>
        </w:tc>
        <w:tc>
          <w:tcPr>
            <w:tcW w:w="2700" w:type="dxa"/>
            <w:vAlign w:val="bottom"/>
            <w:tcBorders>
              <w:right w:val="single" w:sz="8" w:color="auto"/>
            </w:tcBorders>
          </w:tcPr>
          <w:p>
            <w:pPr>
              <w:ind w:left="20"/>
              <w:spacing w:after="0" w:line="171" w:lineRule="exact"/>
              <w:rPr>
                <w:sz w:val="20"/>
                <w:szCs w:val="20"/>
                <w:color w:val="auto"/>
              </w:rPr>
            </w:pPr>
            <w:r>
              <w:rPr>
                <w:rFonts w:ascii="Times New Roman" w:cs="Times New Roman" w:eastAsia="Times New Roman" w:hAnsi="Times New Roman"/>
                <w:sz w:val="17"/>
                <w:szCs w:val="17"/>
                <w:color w:val="auto"/>
              </w:rPr>
              <w:t>ID: 65-0723837</w:t>
            </w:r>
          </w:p>
        </w:tc>
        <w:tc>
          <w:tcPr>
            <w:tcW w:w="0" w:type="dxa"/>
            <w:vAlign w:val="bottom"/>
          </w:tcPr>
          <w:p>
            <w:pPr>
              <w:spacing w:after="0"/>
              <w:rPr>
                <w:sz w:val="1"/>
                <w:szCs w:val="1"/>
                <w:color w:val="auto"/>
              </w:rPr>
            </w:pPr>
          </w:p>
        </w:tc>
      </w:tr>
      <w:tr>
        <w:trPr>
          <w:trHeight w:val="241"/>
        </w:trPr>
        <w:tc>
          <w:tcPr>
            <w:tcW w:w="8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Notice of Grant of Restricted Stock Units and RSU Agreement for Non-U.S. Participants (Employee / Time)</w:t>
            </w:r>
          </w:p>
        </w:tc>
        <w:tc>
          <w:tcPr>
            <w:tcW w:w="2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222 Berkeley Street</w:t>
            </w:r>
          </w:p>
        </w:tc>
        <w:tc>
          <w:tcPr>
            <w:tcW w:w="0" w:type="dxa"/>
            <w:vAlign w:val="bottom"/>
          </w:tcPr>
          <w:p>
            <w:pPr>
              <w:spacing w:after="0"/>
              <w:rPr>
                <w:sz w:val="1"/>
                <w:szCs w:val="1"/>
                <w:color w:val="auto"/>
              </w:rPr>
            </w:pPr>
          </w:p>
        </w:tc>
      </w:tr>
      <w:tr>
        <w:trPr>
          <w:trHeight w:val="223"/>
        </w:trPr>
        <w:tc>
          <w:tcPr>
            <w:tcW w:w="8560" w:type="dxa"/>
            <w:vAlign w:val="bottom"/>
            <w:tcBorders>
              <w:left w:val="single" w:sz="8" w:color="auto"/>
              <w:right w:val="single" w:sz="8" w:color="auto"/>
            </w:tcBorders>
          </w:tcPr>
          <w:p>
            <w:pPr>
              <w:spacing w:after="0"/>
              <w:rPr>
                <w:sz w:val="19"/>
                <w:szCs w:val="19"/>
                <w:color w:val="auto"/>
              </w:rPr>
            </w:pPr>
          </w:p>
        </w:tc>
        <w:tc>
          <w:tcPr>
            <w:tcW w:w="2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Boston, MA 02116</w:t>
            </w:r>
          </w:p>
        </w:tc>
        <w:tc>
          <w:tcPr>
            <w:tcW w:w="0" w:type="dxa"/>
            <w:vAlign w:val="bottom"/>
          </w:tcPr>
          <w:p>
            <w:pPr>
              <w:spacing w:after="0"/>
              <w:rPr>
                <w:sz w:val="1"/>
                <w:szCs w:val="1"/>
                <w:color w:val="auto"/>
              </w:rPr>
            </w:pPr>
          </w:p>
        </w:tc>
      </w:tr>
      <w:tr>
        <w:trPr>
          <w:trHeight w:val="25"/>
        </w:trPr>
        <w:tc>
          <w:tcPr>
            <w:tcW w:w="856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Administrator</w:t>
            </w:r>
          </w:p>
        </w:tc>
        <w:tc>
          <w:tcPr>
            <w:tcW w:w="2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Participant Name:</w:t>
            </w:r>
          </w:p>
        </w:tc>
        <w:tc>
          <w:tcPr>
            <w:tcW w:w="0" w:type="dxa"/>
            <w:vAlign w:val="bottom"/>
          </w:tcPr>
          <w:p>
            <w:pPr>
              <w:spacing w:after="0"/>
              <w:rPr>
                <w:sz w:val="1"/>
                <w:szCs w:val="1"/>
                <w:color w:val="auto"/>
              </w:rPr>
            </w:pPr>
          </w:p>
        </w:tc>
      </w:tr>
      <w:tr>
        <w:trPr>
          <w:trHeight w:val="206"/>
        </w:trPr>
        <w:tc>
          <w:tcPr>
            <w:tcW w:w="8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222 Berkeley Street</w:t>
            </w:r>
          </w:p>
        </w:tc>
        <w:tc>
          <w:tcPr>
            <w:tcW w:w="2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RSU Number:</w:t>
            </w:r>
          </w:p>
        </w:tc>
        <w:tc>
          <w:tcPr>
            <w:tcW w:w="0" w:type="dxa"/>
            <w:vAlign w:val="bottom"/>
          </w:tcPr>
          <w:p>
            <w:pPr>
              <w:spacing w:after="0"/>
              <w:rPr>
                <w:sz w:val="1"/>
                <w:szCs w:val="1"/>
                <w:color w:val="auto"/>
              </w:rPr>
            </w:pPr>
          </w:p>
        </w:tc>
      </w:tr>
      <w:tr>
        <w:trPr>
          <w:trHeight w:val="210"/>
        </w:trPr>
        <w:tc>
          <w:tcPr>
            <w:tcW w:w="8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Boston MA United States 02116</w:t>
            </w:r>
          </w:p>
        </w:tc>
        <w:tc>
          <w:tcPr>
            <w:tcW w:w="2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Plan:</w:t>
            </w:r>
          </w:p>
        </w:tc>
        <w:tc>
          <w:tcPr>
            <w:tcW w:w="0" w:type="dxa"/>
            <w:vAlign w:val="bottom"/>
          </w:tcPr>
          <w:p>
            <w:pPr>
              <w:spacing w:after="0"/>
              <w:rPr>
                <w:sz w:val="1"/>
                <w:szCs w:val="1"/>
                <w:color w:val="auto"/>
              </w:rPr>
            </w:pPr>
          </w:p>
        </w:tc>
      </w:tr>
      <w:tr>
        <w:trPr>
          <w:trHeight w:val="223"/>
        </w:trPr>
        <w:tc>
          <w:tcPr>
            <w:tcW w:w="8560" w:type="dxa"/>
            <w:vAlign w:val="bottom"/>
            <w:tcBorders>
              <w:left w:val="single" w:sz="8" w:color="auto"/>
              <w:right w:val="single" w:sz="8" w:color="auto"/>
            </w:tcBorders>
          </w:tcPr>
          <w:p>
            <w:pPr>
              <w:spacing w:after="0"/>
              <w:rPr>
                <w:sz w:val="19"/>
                <w:szCs w:val="19"/>
                <w:color w:val="auto"/>
              </w:rPr>
            </w:pPr>
          </w:p>
        </w:tc>
        <w:tc>
          <w:tcPr>
            <w:tcW w:w="2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ID:</w:t>
            </w:r>
          </w:p>
        </w:tc>
        <w:tc>
          <w:tcPr>
            <w:tcW w:w="0" w:type="dxa"/>
            <w:vAlign w:val="bottom"/>
          </w:tcPr>
          <w:p>
            <w:pPr>
              <w:spacing w:after="0"/>
              <w:rPr>
                <w:sz w:val="1"/>
                <w:szCs w:val="1"/>
                <w:color w:val="auto"/>
              </w:rPr>
            </w:pPr>
          </w:p>
        </w:tc>
      </w:tr>
      <w:tr>
        <w:trPr>
          <w:trHeight w:val="25"/>
        </w:trPr>
        <w:tc>
          <w:tcPr>
            <w:tcW w:w="856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7"/>
          <w:szCs w:val="17"/>
          <w:color w:val="auto"/>
        </w:rPr>
        <w:t>American Tower Corporation, a Delaware corporation (the “Company”), pursuant to its 2026 Equity Incentive Plan, as it may be amended and restated from time to time (the “Plan”), hereby grants to the Participant named above (“you”) restricted stock units (the “RSUs”) representing the right to receive the number of shares of Common Stock, par value $0.01 per share of the Company set forth below (or, if so determined by the Committee, the value of such shares, payable in cash or such other property as the Committee determines) on the terms of this Notice of Grant of Restricted Stock Units (the “Grant Notice”) and the RSU Agreement for Non-U.S. Participants (the “RSU Agreement”), including any addendum to the RSU Agreement (the “Addendum,” and together with the RSU Agreement, the “Agreement”), subject to your acceptance of, and compliance with, the terms and conditions of the Agreement and the Plan. Capitalized terms used and not otherwise defined in this Grant Notice have the meanings given to them in the Plan.</w:t>
      </w:r>
    </w:p>
    <w:p>
      <w:pPr>
        <w:spacing w:after="0" w:line="256" w:lineRule="exact"/>
        <w:rPr>
          <w:sz w:val="20"/>
          <w:szCs w:val="20"/>
          <w:color w:val="auto"/>
        </w:rPr>
      </w:pPr>
    </w:p>
    <w:p>
      <w:pPr>
        <w:ind w:left="640"/>
        <w:spacing w:after="0"/>
        <w:tabs>
          <w:tab w:leader="none" w:pos="7820" w:val="left"/>
        </w:tabs>
        <w:rPr>
          <w:sz w:val="20"/>
          <w:szCs w:val="20"/>
          <w:color w:val="auto"/>
        </w:rPr>
      </w:pPr>
      <w:r>
        <w:rPr>
          <w:rFonts w:ascii="Times New Roman" w:cs="Times New Roman" w:eastAsia="Times New Roman" w:hAnsi="Times New Roman"/>
          <w:sz w:val="17"/>
          <w:szCs w:val="17"/>
          <w:color w:val="auto"/>
        </w:rPr>
        <w:t>Date of Grant:</w:t>
      </w:r>
      <w:r>
        <w:rPr>
          <w:sz w:val="20"/>
          <w:szCs w:val="20"/>
          <w:color w:val="auto"/>
        </w:rPr>
        <w:tab/>
      </w:r>
      <w:r>
        <w:rPr>
          <w:rFonts w:ascii="Times New Roman" w:cs="Times New Roman" w:eastAsia="Times New Roman" w:hAnsi="Times New Roman"/>
          <w:sz w:val="17"/>
          <w:szCs w:val="17"/>
          <w:color w:val="auto"/>
        </w:rPr>
        <w:t>, 20____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33020</wp:posOffset>
            </wp:positionV>
            <wp:extent cx="6362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6270" cy="8255"/>
                    </a:xfrm>
                    <a:prstGeom prst="rect">
                      <a:avLst/>
                    </a:prstGeom>
                    <a:noFill/>
                  </pic:spPr>
                </pic:pic>
              </a:graphicData>
            </a:graphic>
          </wp:anchor>
        </w:drawing>
      </w:r>
    </w:p>
    <w:p>
      <w:pPr>
        <w:spacing w:after="0" w:line="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33020</wp:posOffset>
            </wp:positionV>
            <wp:extent cx="6362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627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RSUs will vest and the underlying shares will become issuable on the following schedule (each date, a “Scheduled Vesting Date”), subject to the terms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and the terms of the Plan:</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on or after _________, 20__, as to _________ shares,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on or after _________, 20__ , as to _________ additional shares, and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on or after _________, 20__ , as to _________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414020</wp:posOffset>
            </wp:positionV>
            <wp:extent cx="71386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9460" w:val="left"/>
        </w:tabs>
        <w:rPr>
          <w:sz w:val="20"/>
          <w:szCs w:val="20"/>
          <w:color w:val="auto"/>
        </w:rPr>
      </w:pPr>
      <w:r>
        <w:rPr>
          <w:rFonts w:ascii="Times New Roman" w:cs="Times New Roman" w:eastAsia="Times New Roman" w:hAnsi="Times New Roman"/>
          <w:sz w:val="17"/>
          <w:szCs w:val="17"/>
          <w:color w:val="auto"/>
        </w:rPr>
        <w:t>American Tower Corporation</w:t>
      </w:r>
      <w:r>
        <w:rPr>
          <w:sz w:val="20"/>
          <w:szCs w:val="20"/>
          <w:color w:val="auto"/>
        </w:rPr>
        <w:tab/>
      </w:r>
      <w:r>
        <w:rPr>
          <w:rFonts w:ascii="Times New Roman" w:cs="Times New Roman" w:eastAsia="Times New Roman" w:hAnsi="Times New Roman"/>
          <w:sz w:val="17"/>
          <w:szCs w:val="17"/>
          <w:color w:val="auto"/>
        </w:rPr>
        <w:t>Date</w:t>
      </w:r>
    </w:p>
    <w:p>
      <w:pPr>
        <w:spacing w:after="0" w:line="100"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7"/>
          <w:szCs w:val="17"/>
          <w:color w:val="auto"/>
        </w:rPr>
        <w:t>By your signature below, you acknowledge receipt of the Agreement and the Plan, and, as an express condition to the grant of RSUs hereunder, agree to be bound by the terms of the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319405</wp:posOffset>
            </wp:positionV>
            <wp:extent cx="71386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8040" w:val="left"/>
        </w:tabs>
        <w:rPr>
          <w:sz w:val="20"/>
          <w:szCs w:val="20"/>
          <w:color w:val="auto"/>
        </w:rPr>
      </w:pPr>
      <w:r>
        <w:rPr>
          <w:rFonts w:ascii="Times New Roman" w:cs="Times New Roman" w:eastAsia="Times New Roman" w:hAnsi="Times New Roman"/>
          <w:sz w:val="17"/>
          <w:szCs w:val="17"/>
          <w:color w:val="auto"/>
        </w:rPr>
        <w:t>Participant</w:t>
      </w:r>
      <w:r>
        <w:rPr>
          <w:sz w:val="20"/>
          <w:szCs w:val="20"/>
          <w:color w:val="auto"/>
        </w:rPr>
        <w:tab/>
      </w:r>
      <w:r>
        <w:rPr>
          <w:rFonts w:ascii="Times New Roman" w:cs="Times New Roman" w:eastAsia="Times New Roman" w:hAnsi="Times New Roman"/>
          <w:sz w:val="17"/>
          <w:szCs w:val="17"/>
          <w:color w:val="auto"/>
        </w:rPr>
        <w:t>Date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Alternative (for electronic award administration)</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Participant’s Online Acceptance is required through E*TRADE</w:t>
      </w:r>
    </w:p>
    <w:p>
      <w:pPr>
        <w:spacing w:after="0" w:line="24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7"/>
          <w:szCs w:val="17"/>
          <w:color w:val="auto"/>
        </w:rPr>
        <w:t>I understand that I must accept this grant online through my E*TRADE account. By doing so I acknowledge receipt of the Agreement and the Plan, and, as an express condition to the grant of RSUs hereunder, agree to be bound by the terms of the Agreement and the Plan, and I intend that by clicking the “Accept” button for this grant package to have the same force in all respects as my handwritten signature.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w:t>
      </w:r>
    </w:p>
    <w:p>
      <w:pPr>
        <w:sectPr>
          <w:pgSz w:w="11900" w:h="16838" w:orient="portrait"/>
          <w:cols w:equalWidth="0" w:num="1">
            <w:col w:w="11260"/>
          </w:cols>
          <w:pgMar w:left="320" w:top="119" w:right="31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Terms of Restricted Stock Units for Non-U.S. Participants</w:t>
      </w:r>
    </w:p>
    <w:p>
      <w:pPr>
        <w:spacing w:after="0" w:line="222" w:lineRule="exact"/>
        <w:rPr>
          <w:sz w:val="20"/>
          <w:szCs w:val="20"/>
          <w:color w:val="auto"/>
        </w:rPr>
      </w:pPr>
    </w:p>
    <w:p>
      <w:pPr>
        <w:jc w:val="both"/>
        <w:ind w:firstLine="420"/>
        <w:spacing w:after="0" w:line="262" w:lineRule="auto"/>
        <w:rPr>
          <w:sz w:val="20"/>
          <w:szCs w:val="20"/>
          <w:color w:val="auto"/>
        </w:rPr>
      </w:pPr>
      <w:r>
        <w:rPr>
          <w:rFonts w:ascii="Times New Roman" w:cs="Times New Roman" w:eastAsia="Times New Roman" w:hAnsi="Times New Roman"/>
          <w:sz w:val="17"/>
          <w:szCs w:val="17"/>
          <w:color w:val="auto"/>
        </w:rPr>
        <w:t>Pursuant to the Notice of Grant of Restricted Stock Units delivered to you (the “Grant Notice”), and subject to the terms of this RSU Agreement for Non-U.S. Participants (the “RSU Agreement”), including any addendum to the RSU Agreement (the “Addendum,” and together with the RSU Agreement, the “Agreement”), and the American Tower Corporation 2026 Equity Incentive Plan, as it may be amended and restated from time to time (the “Plan”), you and the Company agree as follows. Capitalized terms used and not otherwise defined in this Agreement have the meanings given to them in the Plan or the Grant Notice, as applicable.</w:t>
      </w:r>
    </w:p>
    <w:p>
      <w:pPr>
        <w:spacing w:after="0" w:line="200" w:lineRule="exact"/>
        <w:rPr>
          <w:sz w:val="20"/>
          <w:szCs w:val="20"/>
          <w:color w:val="auto"/>
        </w:rPr>
      </w:pPr>
    </w:p>
    <w:p>
      <w:pPr>
        <w:spacing w:after="0" w:line="206" w:lineRule="exact"/>
        <w:rPr>
          <w:sz w:val="20"/>
          <w:szCs w:val="20"/>
          <w:color w:val="auto"/>
        </w:rPr>
      </w:pPr>
    </w:p>
    <w:p>
      <w:pPr>
        <w:jc w:val="both"/>
        <w:ind w:firstLine="422"/>
        <w:spacing w:after="0" w:line="260" w:lineRule="auto"/>
        <w:tabs>
          <w:tab w:leader="none" w:pos="60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Plan Incorporated by Reference</w:t>
      </w:r>
      <w:r>
        <w:rPr>
          <w:rFonts w:ascii="Times New Roman" w:cs="Times New Roman" w:eastAsia="Times New Roman" w:hAnsi="Times New Roman"/>
          <w:sz w:val="17"/>
          <w:szCs w:val="17"/>
          <w:color w:val="auto"/>
        </w:rPr>
        <w:t>. The provisions of the Plan are incorporated into and made a part of this Agreement by this reference. The Committee administers the Plan, and its determinations regarding the interpretation and operation of the Plan and this Agreement are final and binding. The Board may in its sole discretion at any time terminate or from time to time modify and amend the Plan as provided therein. You may obtain a copy of the Plan without charge upon request to the Company’s Human Resources Department. In the event of a conflict or inconsistency between the terms and/or provisions of the Plan and the terms and/or provisions of this Agreement (including the Grant Notice), this Agreement shall govern and control.</w:t>
      </w:r>
    </w:p>
    <w:p>
      <w:pPr>
        <w:spacing w:after="0" w:line="200" w:lineRule="exact"/>
        <w:rPr>
          <w:rFonts w:ascii="Times New Roman" w:cs="Times New Roman" w:eastAsia="Times New Roman" w:hAnsi="Times New Roman"/>
          <w:sz w:val="17"/>
          <w:szCs w:val="17"/>
          <w:color w:val="auto"/>
        </w:rPr>
      </w:pPr>
    </w:p>
    <w:p>
      <w:pPr>
        <w:jc w:val="both"/>
        <w:ind w:firstLine="427"/>
        <w:spacing w:after="0" w:line="257" w:lineRule="auto"/>
        <w:tabs>
          <w:tab w:leader="none" w:pos="59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of RSUs</w:t>
      </w:r>
      <w:r>
        <w:rPr>
          <w:rFonts w:ascii="Times New Roman" w:cs="Times New Roman" w:eastAsia="Times New Roman" w:hAnsi="Times New Roman"/>
          <w:sz w:val="17"/>
          <w:szCs w:val="17"/>
          <w:color w:val="auto"/>
        </w:rPr>
        <w:t>. The RSUs will vest, while you are employed by the Company Group, for the respective numbers of shares and on the Scheduled Vesting Dates stated in the vesting schedule on the first page of this Agreement, subject to the other terms of this Agreement. RSUs are an unfunded, unsecured obligation of the Company. You shall not earn any rights under the RSUs except in conformity with such schedule and until all other conditions that are required to be met in order to issue the underlying shares have been satisfied. Subject to Sections 4 and 5 of this Agreement, as soon as reasonably practicable (and, in any event, within sixty (60) days after the Scheduled Vesting Date for any RSUs), the Company will deliver to you or your legal representative, without charge, one share of Common Stock for each RSU which becomes vested hereunder (or such cash or other property as the Committee determines) and such RSU shall be canceled upon such delivery.</w:t>
      </w:r>
    </w:p>
    <w:p>
      <w:pPr>
        <w:spacing w:after="0" w:line="204" w:lineRule="exact"/>
        <w:rPr>
          <w:rFonts w:ascii="Times New Roman" w:cs="Times New Roman" w:eastAsia="Times New Roman" w:hAnsi="Times New Roman"/>
          <w:sz w:val="17"/>
          <w:szCs w:val="17"/>
          <w:color w:val="auto"/>
        </w:rPr>
      </w:pPr>
    </w:p>
    <w:p>
      <w:pPr>
        <w:jc w:val="both"/>
        <w:ind w:firstLine="427"/>
        <w:spacing w:after="0" w:line="259" w:lineRule="auto"/>
        <w:tabs>
          <w:tab w:leader="none" w:pos="62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 Equivalents</w:t>
      </w:r>
      <w:r>
        <w:rPr>
          <w:rFonts w:ascii="Times New Roman" w:cs="Times New Roman" w:eastAsia="Times New Roman" w:hAnsi="Times New Roman"/>
          <w:sz w:val="17"/>
          <w:szCs w:val="17"/>
          <w:color w:val="auto"/>
        </w:rPr>
        <w:t>. While the RSUs are outstanding and unvested, the Company will accrue dividend equivalents on your behalf. The dividend equivalent with respect to each RSU will be equal to the sum of the cash dividend declared and paid by the Company with respect to each share of Common Stock while the RSU is outstanding. No interest will accrue on the dividend equivalents. No dividend equivalent amounts will be paid in respect of unvested or forfeited RSUs. At the time the Company delivers shares of Common Stock in respect of your vested RSUs under Sections 2 and 4 of this Agreement, the Company will also pay you a lump sum cash amount equal to the cash dividends you would have received had you held such number of shares of Common Stock from the Date of Grant through the date of your receipt of such shares of Common Stock in settlement of your vested RSUs.</w:t>
      </w:r>
    </w:p>
    <w:p>
      <w:pPr>
        <w:spacing w:after="0" w:line="198" w:lineRule="exact"/>
        <w:rPr>
          <w:rFonts w:ascii="Times New Roman" w:cs="Times New Roman" w:eastAsia="Times New Roman" w:hAnsi="Times New Roman"/>
          <w:sz w:val="17"/>
          <w:szCs w:val="17"/>
          <w:color w:val="auto"/>
        </w:rPr>
      </w:pPr>
    </w:p>
    <w:p>
      <w:pPr>
        <w:jc w:val="both"/>
        <w:ind w:firstLine="427"/>
        <w:spacing w:after="0" w:line="255" w:lineRule="auto"/>
        <w:tabs>
          <w:tab w:leader="none" w:pos="62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Employment</w:t>
      </w:r>
      <w:r>
        <w:rPr>
          <w:rFonts w:ascii="Times New Roman" w:cs="Times New Roman" w:eastAsia="Times New Roman" w:hAnsi="Times New Roman"/>
          <w:sz w:val="17"/>
          <w:szCs w:val="17"/>
          <w:color w:val="auto"/>
        </w:rPr>
        <w:t xml:space="preserve">. Upon Termination of your employment with the Company Group for any reason other than Qualified Retirement, a Qualifying Termination, death or Disability (as defined below, where applicable), in each case, prior to a Scheduled Vesting Date, you will forfeit any of the RSUs that are unvested as of the Termination date, together with any accrued dividend equivalents, as of the date of Termination and all such unvested RSUs and accrued dividend equivalents will be canceled for no value. Upon Termination of your employment with the Company Group by reason of Qualified Retirement, a Qualifying Termination, death or Disability, in each case, prior to a Scheduled Vesting Date, any of the RSUs that are unvested as of the Termination date shall immediately vest on such Termination date; provided, however, for a Qualifying Termination, the treatment described in this Section 4 is subject to, and conditioned upon (i) if you are a participant in the Severance Plan (as defined below) at the time of your Termination, your compliance and satisfaction of the terms and conditions of the Severance Plan (including, without limitation, Section 3.1 </w:t>
      </w:r>
      <w:r>
        <w:rPr>
          <w:rFonts w:ascii="Times New Roman" w:cs="Times New Roman" w:eastAsia="Times New Roman" w:hAnsi="Times New Roman"/>
          <w:sz w:val="17"/>
          <w:szCs w:val="17"/>
          <w:i w:val="1"/>
          <w:iCs w:val="1"/>
          <w:color w:val="auto"/>
        </w:rPr>
        <w:t>Eligibility for Severance Benefits</w:t>
      </w:r>
      <w:r>
        <w:rPr>
          <w:rFonts w:ascii="Times New Roman" w:cs="Times New Roman" w:eastAsia="Times New Roman" w:hAnsi="Times New Roman"/>
          <w:sz w:val="17"/>
          <w:szCs w:val="17"/>
          <w:color w:val="auto"/>
        </w:rPr>
        <w:t xml:space="preserve"> of the Severance Plan) or (ii) if you are not a participant in the Severance Plan and located outside of the U.S. at the time of your Termination, your execution and non-revocation of a release, if applicable, (which may contain non-compete, non-solicitation and non-disparagement provisions in a form and with the content satisfactory to the Company. Subject to Section 6 of this Agreement, within sixty (60) days after the vesting date for any RSUs pursuant to this Section 4, the Company will deliver to you or your legal representative the number of shares of Common Stock underlying the number of vested RSUs associated with such vesting date (or such cash or other</w:t>
      </w:r>
    </w:p>
    <w:p>
      <w:pPr>
        <w:sectPr>
          <w:pgSz w:w="11900" w:h="16838" w:orient="portrait"/>
          <w:cols w:equalWidth="0" w:num="1">
            <w:col w:w="11240"/>
          </w:cols>
          <w:pgMar w:left="320" w:top="1119" w:right="339" w:bottom="1440" w:gutter="0" w:footer="0" w:header="0"/>
        </w:sectPr>
      </w:pPr>
    </w:p>
    <w:bookmarkStart w:id="40" w:name="page41"/>
    <w:bookmarkEnd w:id="40"/>
    <w:p>
      <w:pPr>
        <w:jc w:val="both"/>
        <w:spacing w:after="0" w:line="257" w:lineRule="auto"/>
        <w:rPr>
          <w:sz w:val="20"/>
          <w:szCs w:val="20"/>
          <w:color w:val="auto"/>
        </w:rPr>
      </w:pPr>
      <w:r>
        <w:rPr>
          <w:rFonts w:ascii="Times New Roman" w:cs="Times New Roman" w:eastAsia="Times New Roman" w:hAnsi="Times New Roman"/>
          <w:sz w:val="17"/>
          <w:szCs w:val="17"/>
          <w:color w:val="auto"/>
        </w:rPr>
        <w:t>property as the Committee determines); provided, however, if you are a “specified employee” as defined in Treasury Regulation Section 1.409A-1(i) or any successor provision, on the date of your Qualified Retirement, then, irrespective of any other provision contained in this Agreement, to the extent any RSUs or accrued dividend equivalents constitute nonqualified deferred compensation subject to the requirements of Section 409A of the Internal Revenue Code of 1986, as amended (the “Code,” and such section, “Section 409A”), any shares of Common Stock or accrued dividend equivalents vesting pursuant to a Qualified Retirement shall be delivered on the first day of the seventh month following such Termination (or, if earlier, the date of your death). For purposes of Section 409A, each payment made under this Agreement shall be treated as a separate payment and the right to a series of installment payments under this Agreement shall be treated as a right to a series of separate payments.</w:t>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For purposes of this Agreement:</w:t>
      </w:r>
    </w:p>
    <w:p>
      <w:pPr>
        <w:spacing w:after="0" w:line="241" w:lineRule="exact"/>
        <w:rPr>
          <w:sz w:val="20"/>
          <w:szCs w:val="20"/>
          <w:color w:val="auto"/>
        </w:rPr>
      </w:pPr>
    </w:p>
    <w:p>
      <w:pPr>
        <w:jc w:val="both"/>
        <w:ind w:firstLine="465"/>
        <w:spacing w:after="0" w:line="263" w:lineRule="auto"/>
        <w:tabs>
          <w:tab w:leader="none" w:pos="672"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“Qualified Retirement” shall mean that (a) you have a combined age and years of service with the Company Group of at least 65 years, provided further that you must (I) be at least 55 years old and (II) have a minimum of five years of service with the Company Group, (b) you experience a “separation from service” within the meaning set forth in Section 409A, and (c) you execute and do not revoke a release, if applicable, (which may contain non-compete, non-solicitation and non-disparagement provisions); and</w:t>
      </w:r>
    </w:p>
    <w:p>
      <w:pPr>
        <w:spacing w:after="0" w:line="196" w:lineRule="exact"/>
        <w:rPr>
          <w:rFonts w:ascii="Times New Roman" w:cs="Times New Roman" w:eastAsia="Times New Roman" w:hAnsi="Times New Roman"/>
          <w:sz w:val="17"/>
          <w:szCs w:val="17"/>
          <w:color w:val="auto"/>
        </w:rPr>
      </w:pPr>
    </w:p>
    <w:p>
      <w:pPr>
        <w:jc w:val="both"/>
        <w:ind w:firstLine="422"/>
        <w:spacing w:after="0" w:line="259" w:lineRule="auto"/>
        <w:tabs>
          <w:tab w:leader="none" w:pos="677"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“Qualifying Termination” shall mean the Termination of your employment by the Company Group when you are not a Senior Executive (as defined in the American Tower Corporation Severance Plan, dated as of March 2, 2009, as amended and restated as of January 1, 2024, and as may be further amended from time to time (the “Severance Plan”)) (a) if you are a participant in the Severance Plan at the time of your Termination, entitling you to receive severance benefits under Section 3.2(c) of the Severance Plan and (b) if you are not a participant in the Severance Plan and you are located outside of the U.S. at the time of your Termination, solely as a result of the elimination of your job or position or for one or more reasons that do not constitute cause or performance reasons (as determined by the Committee).</w:t>
      </w:r>
    </w:p>
    <w:p>
      <w:pPr>
        <w:spacing w:after="0" w:line="198" w:lineRule="exact"/>
        <w:rPr>
          <w:rFonts w:ascii="Times New Roman" w:cs="Times New Roman" w:eastAsia="Times New Roman" w:hAnsi="Times New Roman"/>
          <w:sz w:val="17"/>
          <w:szCs w:val="17"/>
          <w:color w:val="auto"/>
        </w:rPr>
      </w:pPr>
    </w:p>
    <w:p>
      <w:pPr>
        <w:ind w:left="600" w:hanging="178"/>
        <w:spacing w:after="0"/>
        <w:tabs>
          <w:tab w:leader="none" w:pos="6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 Taxes</w:t>
      </w:r>
      <w:r>
        <w:rPr>
          <w:rFonts w:ascii="Times New Roman" w:cs="Times New Roman" w:eastAsia="Times New Roman" w:hAnsi="Times New Roman"/>
          <w:sz w:val="17"/>
          <w:szCs w:val="17"/>
          <w:color w:val="auto"/>
        </w:rPr>
        <w:t>. The provisions of Section 12(d) of the Plan are incorporated herein by reference and made a part hereof.</w:t>
      </w:r>
    </w:p>
    <w:p>
      <w:pPr>
        <w:spacing w:after="0" w:line="241" w:lineRule="exact"/>
        <w:rPr>
          <w:rFonts w:ascii="Times New Roman" w:cs="Times New Roman" w:eastAsia="Times New Roman" w:hAnsi="Times New Roman"/>
          <w:sz w:val="17"/>
          <w:szCs w:val="17"/>
          <w:color w:val="auto"/>
        </w:rPr>
      </w:pPr>
    </w:p>
    <w:p>
      <w:pPr>
        <w:jc w:val="both"/>
        <w:ind w:firstLine="427"/>
        <w:spacing w:after="0" w:line="254" w:lineRule="auto"/>
        <w:tabs>
          <w:tab w:leader="none" w:pos="59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Clawback and Forfeiture Provisions</w:t>
      </w:r>
      <w:r>
        <w:rPr>
          <w:rFonts w:ascii="Times New Roman" w:cs="Times New Roman" w:eastAsia="Times New Roman" w:hAnsi="Times New Roman"/>
          <w:sz w:val="17"/>
          <w:szCs w:val="17"/>
          <w:color w:val="auto"/>
        </w:rPr>
        <w:t>. Notwithstanding any other provision of this Agreement, you shall be obligated to promptly (a) transfer to the Company any shares of Common Stock, cash or other property previously issued upon the vesting of RSUs and dividend equivalents and (b) pay to the Company all gains realized by any person from the disposition of any such shares or other property, in each of (a) and (b), (I) to the extent required by applicable law or permitted by any clawback or similar policy of the Company Group, including, for the avoidance of doubt, the American Tower Corporation Compensation Recovery Policy, as amended from time to time (the “Clawback Policy”), which Clawback Policy shall apply and be deemed incorporated herein to the extent applicable, if: (II) you experience a Termination for cause (as defined below) from the Company Group or if (III) following Termination of employment for any reason, either (A) the Company determines that you engaged in conduct while an employee that would have justified Termination for cause or (B) you violate any applicable confidentiality or non-competition agreement with the Company Group. Additionally, you shall be obligated to forfeit outstanding and unvested RSUs granted pursuant to this Agreement as permitted by any clawback or similar policy of the Company Group (including the Clawback Policy). For purposes of this Section 6, Termination for cause means criminal conduct involving a felony in the U.S. or the equivalent of a felony under the laws of other countries, material violations of civil law related to your job responsibilities, fraud, dishonesty, self-dealing, breach of your obligations regarding the Company’s intellectual property, or willful misconduct that the Committee determines to be injurious to the Company, in each case, as determined by the Committee. No recovery of compensation under any clawback policy (including the Clawback Policy) will be an event giving rise to a right to a voluntary Termination of employment upon a resignation for “good reason,” or for a “constructive termination” or any similar term under any plan of or agreement with the Company. In addition to the obligations contained herein and any obligations under applicable law or any clawback or similar policy of the Company Group, including, for the avoidance of doubt, the Clawback Policy, if you receive any amount in excess of what you should have received under the terms of this Agreement for any reason (including, without limitation, by reason of a financial restatement, mistake in calculations, or other administrative error), then you shall be required to repay any such excess amount to the Company. Without limiting the foregoing, all RSUs shall be subject to reduction, cancellation, forfeiture, or recoupment to the extent necessary to comply with applicable law.</w:t>
      </w:r>
    </w:p>
    <w:p>
      <w:pPr>
        <w:sectPr>
          <w:pgSz w:w="11900" w:h="16838" w:orient="portrait"/>
          <w:cols w:equalWidth="0" w:num="1">
            <w:col w:w="11240"/>
          </w:cols>
          <w:pgMar w:left="320" w:top="894" w:right="339" w:bottom="1440" w:gutter="0" w:footer="0" w:header="0"/>
        </w:sectPr>
      </w:pPr>
    </w:p>
    <w:bookmarkStart w:id="41" w:name="page42"/>
    <w:bookmarkEnd w:id="41"/>
    <w:p>
      <w:pPr>
        <w:jc w:val="both"/>
        <w:ind w:left="-422" w:firstLine="427"/>
        <w:spacing w:after="0" w:line="257" w:lineRule="auto"/>
        <w:tabs>
          <w:tab w:leader="none" w:pos="186"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Law; Lock-Up Agreement</w:t>
      </w:r>
      <w:r>
        <w:rPr>
          <w:rFonts w:ascii="Times New Roman" w:cs="Times New Roman" w:eastAsia="Times New Roman" w:hAnsi="Times New Roman"/>
          <w:sz w:val="17"/>
          <w:szCs w:val="17"/>
          <w:color w:val="auto"/>
        </w:rPr>
        <w:t>. The Company shall not be obligated to issue any shares of Common Stock or other securities upon the vesting of the RSUs unless the Company is satisfied that all requirements of law or any applicable stock exchange in connection therewith (including, without limitation, the effective registration or exemption of the issuance of such shares or other securities under the Securities Act of 1933, as amended, and applicable state securities laws) have been or will be complied with, and the Committee may impose any restrictions on your rights as it shall deem necessary or advisable to comply with any such requirements; provided that the Company will issue such shares or other securities on the earliest date at which it reasonably anticipates that such issuance will not cause such violation. You further agree hereby that, as a condition to the issuance of shares upon the vesting of the RSUs, you will enter into and perform any underwriter’s lock-up agreement requested by the Company from time to time in connection with public offerings of the Company’s securities.</w:t>
      </w:r>
    </w:p>
    <w:p>
      <w:pPr>
        <w:spacing w:after="0" w:line="204" w:lineRule="exact"/>
        <w:rPr>
          <w:rFonts w:ascii="Times New Roman" w:cs="Times New Roman" w:eastAsia="Times New Roman" w:hAnsi="Times New Roman"/>
          <w:sz w:val="17"/>
          <w:szCs w:val="17"/>
          <w:color w:val="auto"/>
        </w:rPr>
      </w:pPr>
    </w:p>
    <w:p>
      <w:pPr>
        <w:jc w:val="both"/>
        <w:ind w:left="-422" w:firstLine="427"/>
        <w:spacing w:after="0" w:line="269" w:lineRule="auto"/>
        <w:tabs>
          <w:tab w:leader="none" w:pos="173"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as Stockholder</w:t>
      </w:r>
      <w:r>
        <w:rPr>
          <w:rFonts w:ascii="Times New Roman" w:cs="Times New Roman" w:eastAsia="Times New Roman" w:hAnsi="Times New Roman"/>
          <w:sz w:val="17"/>
          <w:szCs w:val="17"/>
          <w:color w:val="auto"/>
        </w:rPr>
        <w:t>. RSUs are unfunded, unsecured obligations of the Company. You shall not have any rights under the RSUs until all conditions that are required to be met in order to issue the underlying shares of Common Stock have been satisfied. You shall have no rights as a stockholder with respect to any shares of Common Stock or other securities covered by the RSUs until the issuance of such actual shares of Common Stock or other securities.</w:t>
      </w:r>
    </w:p>
    <w:p>
      <w:pPr>
        <w:spacing w:after="0" w:line="190" w:lineRule="exact"/>
        <w:rPr>
          <w:rFonts w:ascii="Times New Roman" w:cs="Times New Roman" w:eastAsia="Times New Roman" w:hAnsi="Times New Roman"/>
          <w:sz w:val="17"/>
          <w:szCs w:val="17"/>
          <w:color w:val="auto"/>
        </w:rPr>
      </w:pPr>
    </w:p>
    <w:p>
      <w:pPr>
        <w:jc w:val="both"/>
        <w:ind w:left="-422" w:firstLine="427"/>
        <w:spacing w:after="0" w:line="260" w:lineRule="auto"/>
        <w:tabs>
          <w:tab w:leader="none" w:pos="186"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on Your Employment</w:t>
      </w:r>
      <w:r>
        <w:rPr>
          <w:rFonts w:ascii="Times New Roman" w:cs="Times New Roman" w:eastAsia="Times New Roman" w:hAnsi="Times New Roman"/>
          <w:sz w:val="17"/>
          <w:szCs w:val="17"/>
          <w:color w:val="auto"/>
        </w:rPr>
        <w:t>. Neither the adoption, maintenance or operation of the Plan nor the award of the RSUs and the dividend equivalents with respect to the RSUs confers upon you any right to continue your employment with the Company Group, nor shall they interfere with the rights of the Company Group to subject you to a Termination or otherwise change the terms of such employment or service at any time, including, without limitation, the right to promote, demote or reassign you from one position to another in the Company Group. Unless the Committee otherwise provides in any case, you shall be deemed to have experienced a termination with an Affiliate for purposes of the Plan when such Affiliate ceases to be an Affiliate of the Company.</w:t>
      </w:r>
    </w:p>
    <w:p>
      <w:pPr>
        <w:spacing w:after="0" w:line="200" w:lineRule="exact"/>
        <w:rPr>
          <w:rFonts w:ascii="Times New Roman" w:cs="Times New Roman" w:eastAsia="Times New Roman" w:hAnsi="Times New Roman"/>
          <w:sz w:val="17"/>
          <w:szCs w:val="17"/>
          <w:color w:val="auto"/>
        </w:rPr>
      </w:pPr>
    </w:p>
    <w:p>
      <w:pPr>
        <w:jc w:val="both"/>
        <w:ind w:left="-422" w:firstLine="422"/>
        <w:spacing w:after="0" w:line="269" w:lineRule="auto"/>
        <w:tabs>
          <w:tab w:leader="none" w:pos="267"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Nontransferability</w:t>
      </w:r>
      <w:r>
        <w:rPr>
          <w:rFonts w:ascii="Times New Roman" w:cs="Times New Roman" w:eastAsia="Times New Roman" w:hAnsi="Times New Roman"/>
          <w:sz w:val="17"/>
          <w:szCs w:val="17"/>
          <w:color w:val="auto"/>
        </w:rPr>
        <w:t>. You may not assign or transfer the RSUs or any rights with respect thereto, including, without limitation, the dividend equivalents with respect to the RSUs, except by will or by the laws of descent and distribution or to the extent expressly permitted in writing by the Committee in accordance with Section 12(b) of the Plan.</w:t>
      </w:r>
    </w:p>
    <w:p>
      <w:pPr>
        <w:spacing w:after="0" w:line="190" w:lineRule="exact"/>
        <w:rPr>
          <w:rFonts w:ascii="Times New Roman" w:cs="Times New Roman" w:eastAsia="Times New Roman" w:hAnsi="Times New Roman"/>
          <w:sz w:val="17"/>
          <w:szCs w:val="17"/>
          <w:color w:val="auto"/>
        </w:rPr>
      </w:pPr>
    </w:p>
    <w:p>
      <w:pPr>
        <w:ind w:left="258" w:hanging="258"/>
        <w:spacing w:after="0"/>
        <w:tabs>
          <w:tab w:leader="none" w:pos="258"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Corporate Events</w:t>
      </w:r>
      <w:r>
        <w:rPr>
          <w:rFonts w:ascii="Times New Roman" w:cs="Times New Roman" w:eastAsia="Times New Roman" w:hAnsi="Times New Roman"/>
          <w:sz w:val="17"/>
          <w:szCs w:val="17"/>
          <w:color w:val="auto"/>
        </w:rPr>
        <w:t>. The terms of the RSUs and the dividend equivalents with respect to the RSUs may be changed as provided in Section 10(b) of the Plan.</w:t>
      </w:r>
    </w:p>
    <w:p>
      <w:pPr>
        <w:spacing w:after="0" w:line="241" w:lineRule="exact"/>
        <w:rPr>
          <w:rFonts w:ascii="Times New Roman" w:cs="Times New Roman" w:eastAsia="Times New Roman" w:hAnsi="Times New Roman"/>
          <w:sz w:val="17"/>
          <w:szCs w:val="17"/>
          <w:color w:val="auto"/>
        </w:rPr>
      </w:pPr>
    </w:p>
    <w:p>
      <w:pPr>
        <w:jc w:val="both"/>
        <w:ind w:left="-422" w:firstLine="427"/>
        <w:spacing w:after="0" w:line="254" w:lineRule="auto"/>
        <w:tabs>
          <w:tab w:leader="none" w:pos="27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Data Privacy</w:t>
      </w:r>
      <w:r>
        <w:rPr>
          <w:rFonts w:ascii="Times New Roman" w:cs="Times New Roman" w:eastAsia="Times New Roman" w:hAnsi="Times New Roman"/>
          <w:sz w:val="17"/>
          <w:szCs w:val="17"/>
          <w:color w:val="auto"/>
        </w:rPr>
        <w:t>. You hereby explicitly consent to the collection, use and transfer, in electronic or other form, of your personal data as described in this Notice and Agreement by and among, as applicable, the Company Group for the exclusive purpose of implementing, administering and managing your participation in the Plan. You understand that the Company Group holds certain personal information about you, including, but not limited to, your name, home address and telephone number, date of birth, social insurance number or other identification number, salary, nationality, job title, any shares of stock or directorships held in the Company Group, details of all RSUs or any other entitlement to shares of stock awarded, canceled, vested, unvested or outstanding in your favor, for the purpose of implementing, administering and managing the Plan (“Data”). You understand that Data may be transferred to any third parties assisting in the implementation, administration and management of the Plan, that these recipients may be located in your country of residence or elsewhere, and that the recipient’s country may have different data privacy laws and protections than your country. You understand that you may request a list with the names and addresses of any potential recipients of the Data by contacting your local Human Resources representative. You authorize the recipients to receive, possess, use, retain and transfer the Data, in electronic or other form, for the purposes of implementing, administering and managing your participation in the Plan, including any requisite transfer of such Data as may be required to a broker or other third party.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You understand, however, that refusing or withdrawing your consent may affect your ability to participate in the Plan. For more information on the</w:t>
      </w:r>
    </w:p>
    <w:p>
      <w:pPr>
        <w:sectPr>
          <w:pgSz w:w="11900" w:h="16838" w:orient="portrait"/>
          <w:cols w:equalWidth="0" w:num="1">
            <w:col w:w="10818"/>
          </w:cols>
          <w:pgMar w:left="742" w:top="112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color w:val="auto"/>
        </w:rPr>
        <w:t>consequences of refusal to consent or withdrawal of consent, you understand that you may contact your local Human Resources representative.</w:t>
      </w:r>
    </w:p>
    <w:p>
      <w:pPr>
        <w:spacing w:after="0" w:line="241" w:lineRule="exact"/>
        <w:rPr>
          <w:sz w:val="20"/>
          <w:szCs w:val="20"/>
          <w:color w:val="auto"/>
        </w:rPr>
      </w:pPr>
    </w:p>
    <w:p>
      <w:pPr>
        <w:jc w:val="both"/>
        <w:ind w:firstLine="427"/>
        <w:spacing w:after="0" w:line="269" w:lineRule="auto"/>
        <w:tabs>
          <w:tab w:leader="none" w:pos="706"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governed by and construed and enforced in accordance with the applicable laws of the United States of America and the law (other than the law governing conflict of law questions) of the State of Delaware except to the extent the laws of any other jurisdiction are mandatorily applicable.</w:t>
      </w:r>
    </w:p>
    <w:p>
      <w:pPr>
        <w:spacing w:after="0" w:line="190" w:lineRule="exact"/>
        <w:rPr>
          <w:rFonts w:ascii="Times New Roman" w:cs="Times New Roman" w:eastAsia="Times New Roman" w:hAnsi="Times New Roman"/>
          <w:sz w:val="17"/>
          <w:szCs w:val="17"/>
          <w:color w:val="auto"/>
        </w:rPr>
      </w:pPr>
    </w:p>
    <w:p>
      <w:pPr>
        <w:jc w:val="both"/>
        <w:ind w:firstLine="427"/>
        <w:spacing w:after="0" w:line="259" w:lineRule="auto"/>
        <w:tabs>
          <w:tab w:leader="none" w:pos="706"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and Termination of the RSUs; Waiver</w:t>
      </w:r>
      <w:r>
        <w:rPr>
          <w:rFonts w:ascii="Times New Roman" w:cs="Times New Roman" w:eastAsia="Times New Roman" w:hAnsi="Times New Roman"/>
          <w:sz w:val="17"/>
          <w:szCs w:val="17"/>
          <w:color w:val="auto"/>
        </w:rPr>
        <w:t>. The RSUs and the dividend equivalents with respect to the RSUs awarded hereunder may be amended or terminated by the Company with or without your consent, as permitted by Section 11 of the Plan. Except as otherwise set forth in Section 11 of the Plan, any waiver, alteration, amendment, or modification of any of the terms of this Agreement shall be valid only if made in writing and signed by the parties hereto; provided, however,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98" w:lineRule="exact"/>
        <w:rPr>
          <w:rFonts w:ascii="Times New Roman" w:cs="Times New Roman" w:eastAsia="Times New Roman" w:hAnsi="Times New Roman"/>
          <w:sz w:val="17"/>
          <w:szCs w:val="17"/>
          <w:color w:val="auto"/>
        </w:rPr>
      </w:pPr>
    </w:p>
    <w:p>
      <w:pPr>
        <w:jc w:val="both"/>
        <w:ind w:firstLine="427"/>
        <w:spacing w:after="0" w:line="269" w:lineRule="auto"/>
        <w:tabs>
          <w:tab w:leader="none" w:pos="681"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Imposition of Other Requirements</w:t>
      </w:r>
      <w:r>
        <w:rPr>
          <w:rFonts w:ascii="Times New Roman" w:cs="Times New Roman" w:eastAsia="Times New Roman" w:hAnsi="Times New Roman"/>
          <w:sz w:val="17"/>
          <w:szCs w:val="17"/>
          <w:color w:val="auto"/>
        </w:rPr>
        <w:t>. The Company reserves the right to impose other requirements on your participation in the Plan, on the RSUs,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90" w:lineRule="exact"/>
        <w:rPr>
          <w:rFonts w:ascii="Times New Roman" w:cs="Times New Roman" w:eastAsia="Times New Roman" w:hAnsi="Times New Roman"/>
          <w:sz w:val="17"/>
          <w:szCs w:val="17"/>
          <w:color w:val="auto"/>
        </w:rPr>
      </w:pPr>
    </w:p>
    <w:p>
      <w:pPr>
        <w:ind w:left="680" w:hanging="253"/>
        <w:spacing w:after="0"/>
        <w:tabs>
          <w:tab w:leader="none" w:pos="6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Binding Effect</w:t>
      </w:r>
      <w:r>
        <w:rPr>
          <w:rFonts w:ascii="Times New Roman" w:cs="Times New Roman" w:eastAsia="Times New Roman" w:hAnsi="Times New Roman"/>
          <w:sz w:val="17"/>
          <w:szCs w:val="17"/>
          <w:color w:val="auto"/>
        </w:rPr>
        <w:t>. This Agreement shall be binding upon the heirs, executors, administrators, and successors of the parties hereto.</w:t>
      </w:r>
    </w:p>
    <w:p>
      <w:pPr>
        <w:spacing w:after="0" w:line="241" w:lineRule="exact"/>
        <w:rPr>
          <w:rFonts w:ascii="Times New Roman" w:cs="Times New Roman" w:eastAsia="Times New Roman" w:hAnsi="Times New Roman"/>
          <w:sz w:val="17"/>
          <w:szCs w:val="17"/>
          <w:color w:val="auto"/>
        </w:rPr>
      </w:pPr>
    </w:p>
    <w:p>
      <w:pPr>
        <w:jc w:val="both"/>
        <w:ind w:firstLine="427"/>
        <w:spacing w:after="0" w:line="269" w:lineRule="auto"/>
        <w:tabs>
          <w:tab w:leader="none" w:pos="681"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Electronic Delivery and Acceptance</w:t>
      </w:r>
      <w:r>
        <w:rPr>
          <w:rFonts w:ascii="Times New Roman" w:cs="Times New Roman" w:eastAsia="Times New Roman" w:hAnsi="Times New Roman"/>
          <w:sz w:val="17"/>
          <w:szCs w:val="17"/>
          <w:color w:val="auto"/>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90" w:lineRule="exact"/>
        <w:rPr>
          <w:rFonts w:ascii="Times New Roman" w:cs="Times New Roman" w:eastAsia="Times New Roman" w:hAnsi="Times New Roman"/>
          <w:sz w:val="17"/>
          <w:szCs w:val="17"/>
          <w:color w:val="auto"/>
        </w:rPr>
      </w:pPr>
    </w:p>
    <w:p>
      <w:pPr>
        <w:jc w:val="both"/>
        <w:ind w:firstLine="427"/>
        <w:spacing w:after="0" w:line="260" w:lineRule="auto"/>
        <w:tabs>
          <w:tab w:leader="none" w:pos="681"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Addendum to for Non-U.S. Participants</w:t>
      </w:r>
      <w:r>
        <w:rPr>
          <w:rFonts w:ascii="Times New Roman" w:cs="Times New Roman" w:eastAsia="Times New Roman" w:hAnsi="Times New Roman"/>
          <w:sz w:val="17"/>
          <w:szCs w:val="17"/>
          <w:color w:val="auto"/>
        </w:rPr>
        <w:t>. Notwithstanding any provisions in this RSU Agreement for Non-U.S. Participants, the RSUs shall be subject to any additional (or, if so indicated, different) terms and conditions for your country set forth in the Addendum attached hereto. Moreover, if you relocate to one or otherwise becomes subject to the local laws, rules and/or regulations of the countries included in the Addendum, the additional (or, if so indicated, different) terms and conditions for such country, if any, will apply to you, to the extent the Company determines that the application of such terms and conditions is necessary or advisable for legal or administrative reasons. The Addendum constitutes part of this Agreement.</w:t>
      </w:r>
    </w:p>
    <w:p>
      <w:pPr>
        <w:spacing w:after="0" w:line="200" w:lineRule="exact"/>
        <w:rPr>
          <w:rFonts w:ascii="Times New Roman" w:cs="Times New Roman" w:eastAsia="Times New Roman" w:hAnsi="Times New Roman"/>
          <w:sz w:val="17"/>
          <w:szCs w:val="17"/>
          <w:color w:val="auto"/>
        </w:rPr>
      </w:pPr>
    </w:p>
    <w:p>
      <w:pPr>
        <w:ind w:firstLine="427"/>
        <w:spacing w:after="0" w:line="285" w:lineRule="auto"/>
        <w:tabs>
          <w:tab w:leader="none" w:pos="681"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the Grant Notice, and the Plan constitute the entire agreement of the parties hereto in respect of the subject matter contained herein and supersede all prior agreements and understandings of the parties, oral and written, with respect to such subject matter.</w:t>
      </w:r>
    </w:p>
    <w:p>
      <w:pPr>
        <w:sectPr>
          <w:pgSz w:w="11900" w:h="16838" w:orient="portrait"/>
          <w:cols w:equalWidth="0" w:num="1">
            <w:col w:w="11240"/>
          </w:cols>
          <w:pgMar w:left="320" w:top="894" w:right="339" w:bottom="1440" w:gutter="0" w:footer="0" w:header="0"/>
        </w:sectPr>
      </w:pPr>
    </w:p>
    <w:bookmarkStart w:id="43" w:name="page44"/>
    <w:bookmarkEnd w:id="43"/>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814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American Tower Corporation</w:t>
            </w:r>
          </w:p>
        </w:tc>
        <w:tc>
          <w:tcPr>
            <w:tcW w:w="3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American Tower Corporation</w:t>
            </w:r>
          </w:p>
        </w:tc>
        <w:tc>
          <w:tcPr>
            <w:tcW w:w="0" w:type="dxa"/>
            <w:vAlign w:val="bottom"/>
          </w:tcPr>
          <w:p>
            <w:pPr>
              <w:spacing w:after="0"/>
              <w:rPr>
                <w:sz w:val="1"/>
                <w:szCs w:val="1"/>
                <w:color w:val="auto"/>
              </w:rPr>
            </w:pPr>
          </w:p>
        </w:tc>
      </w:tr>
      <w:tr>
        <w:trPr>
          <w:trHeight w:val="171"/>
        </w:trPr>
        <w:tc>
          <w:tcPr>
            <w:tcW w:w="8140" w:type="dxa"/>
            <w:vAlign w:val="bottom"/>
            <w:tcBorders>
              <w:left w:val="single" w:sz="8" w:color="auto"/>
              <w:right w:val="single" w:sz="8" w:color="auto"/>
            </w:tcBorders>
            <w:vMerge w:val="continue"/>
          </w:tcPr>
          <w:p>
            <w:pPr>
              <w:spacing w:after="0"/>
              <w:rPr>
                <w:sz w:val="14"/>
                <w:szCs w:val="14"/>
                <w:color w:val="auto"/>
              </w:rPr>
            </w:pPr>
          </w:p>
        </w:tc>
        <w:tc>
          <w:tcPr>
            <w:tcW w:w="3120" w:type="dxa"/>
            <w:vAlign w:val="bottom"/>
            <w:tcBorders>
              <w:right w:val="single" w:sz="8" w:color="auto"/>
            </w:tcBorders>
          </w:tcPr>
          <w:p>
            <w:pPr>
              <w:ind w:left="20"/>
              <w:spacing w:after="0" w:line="171" w:lineRule="exact"/>
              <w:rPr>
                <w:sz w:val="20"/>
                <w:szCs w:val="20"/>
                <w:color w:val="auto"/>
              </w:rPr>
            </w:pPr>
            <w:r>
              <w:rPr>
                <w:rFonts w:ascii="Times New Roman" w:cs="Times New Roman" w:eastAsia="Times New Roman" w:hAnsi="Times New Roman"/>
                <w:sz w:val="17"/>
                <w:szCs w:val="17"/>
                <w:color w:val="auto"/>
              </w:rPr>
              <w:t>ID: 65-0723837</w:t>
            </w:r>
          </w:p>
        </w:tc>
        <w:tc>
          <w:tcPr>
            <w:tcW w:w="0" w:type="dxa"/>
            <w:vAlign w:val="bottom"/>
          </w:tcPr>
          <w:p>
            <w:pPr>
              <w:spacing w:after="0"/>
              <w:rPr>
                <w:sz w:val="1"/>
                <w:szCs w:val="1"/>
                <w:color w:val="auto"/>
              </w:rPr>
            </w:pPr>
          </w:p>
        </w:tc>
      </w:tr>
      <w:tr>
        <w:trPr>
          <w:trHeight w:val="241"/>
        </w:trPr>
        <w:tc>
          <w:tcPr>
            <w:tcW w:w="81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Notice of Grant of Restricted Stock Units and RSU Agreement (Executive / Time)</w:t>
            </w:r>
          </w:p>
        </w:tc>
        <w:tc>
          <w:tcPr>
            <w:tcW w:w="3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222 Berkeley Street</w:t>
            </w:r>
          </w:p>
        </w:tc>
        <w:tc>
          <w:tcPr>
            <w:tcW w:w="0" w:type="dxa"/>
            <w:vAlign w:val="bottom"/>
          </w:tcPr>
          <w:p>
            <w:pPr>
              <w:spacing w:after="0"/>
              <w:rPr>
                <w:sz w:val="1"/>
                <w:szCs w:val="1"/>
                <w:color w:val="auto"/>
              </w:rPr>
            </w:pPr>
          </w:p>
        </w:tc>
      </w:tr>
      <w:tr>
        <w:trPr>
          <w:trHeight w:val="223"/>
        </w:trPr>
        <w:tc>
          <w:tcPr>
            <w:tcW w:w="8140" w:type="dxa"/>
            <w:vAlign w:val="bottom"/>
            <w:tcBorders>
              <w:left w:val="single" w:sz="8" w:color="auto"/>
              <w:right w:val="single" w:sz="8" w:color="auto"/>
            </w:tcBorders>
          </w:tcPr>
          <w:p>
            <w:pPr>
              <w:spacing w:after="0"/>
              <w:rPr>
                <w:sz w:val="19"/>
                <w:szCs w:val="19"/>
                <w:color w:val="auto"/>
              </w:rPr>
            </w:pPr>
          </w:p>
        </w:tc>
        <w:tc>
          <w:tcPr>
            <w:tcW w:w="3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Boston, MA 02116</w:t>
            </w:r>
          </w:p>
        </w:tc>
        <w:tc>
          <w:tcPr>
            <w:tcW w:w="0" w:type="dxa"/>
            <w:vAlign w:val="bottom"/>
          </w:tcPr>
          <w:p>
            <w:pPr>
              <w:spacing w:after="0"/>
              <w:rPr>
                <w:sz w:val="1"/>
                <w:szCs w:val="1"/>
                <w:color w:val="auto"/>
              </w:rPr>
            </w:pPr>
          </w:p>
        </w:tc>
      </w:tr>
      <w:tr>
        <w:trPr>
          <w:trHeight w:val="25"/>
        </w:trPr>
        <w:tc>
          <w:tcPr>
            <w:tcW w:w="81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1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Administrator</w:t>
            </w:r>
          </w:p>
        </w:tc>
        <w:tc>
          <w:tcPr>
            <w:tcW w:w="3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Participant Name:</w:t>
            </w:r>
          </w:p>
        </w:tc>
        <w:tc>
          <w:tcPr>
            <w:tcW w:w="0" w:type="dxa"/>
            <w:vAlign w:val="bottom"/>
          </w:tcPr>
          <w:p>
            <w:pPr>
              <w:spacing w:after="0"/>
              <w:rPr>
                <w:sz w:val="1"/>
                <w:szCs w:val="1"/>
                <w:color w:val="auto"/>
              </w:rPr>
            </w:pPr>
          </w:p>
        </w:tc>
      </w:tr>
      <w:tr>
        <w:trPr>
          <w:trHeight w:val="206"/>
        </w:trPr>
        <w:tc>
          <w:tcPr>
            <w:tcW w:w="81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222 Berkeley Street</w:t>
            </w:r>
          </w:p>
        </w:tc>
        <w:tc>
          <w:tcPr>
            <w:tcW w:w="3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RSU Number:</w:t>
            </w:r>
          </w:p>
        </w:tc>
        <w:tc>
          <w:tcPr>
            <w:tcW w:w="0" w:type="dxa"/>
            <w:vAlign w:val="bottom"/>
          </w:tcPr>
          <w:p>
            <w:pPr>
              <w:spacing w:after="0"/>
              <w:rPr>
                <w:sz w:val="1"/>
                <w:szCs w:val="1"/>
                <w:color w:val="auto"/>
              </w:rPr>
            </w:pPr>
          </w:p>
        </w:tc>
      </w:tr>
      <w:tr>
        <w:trPr>
          <w:trHeight w:val="210"/>
        </w:trPr>
        <w:tc>
          <w:tcPr>
            <w:tcW w:w="81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Boston MA United States 02116</w:t>
            </w:r>
          </w:p>
        </w:tc>
        <w:tc>
          <w:tcPr>
            <w:tcW w:w="3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Plan:</w:t>
            </w:r>
          </w:p>
        </w:tc>
        <w:tc>
          <w:tcPr>
            <w:tcW w:w="0" w:type="dxa"/>
            <w:vAlign w:val="bottom"/>
          </w:tcPr>
          <w:p>
            <w:pPr>
              <w:spacing w:after="0"/>
              <w:rPr>
                <w:sz w:val="1"/>
                <w:szCs w:val="1"/>
                <w:color w:val="auto"/>
              </w:rPr>
            </w:pPr>
          </w:p>
        </w:tc>
      </w:tr>
      <w:tr>
        <w:trPr>
          <w:trHeight w:val="223"/>
        </w:trPr>
        <w:tc>
          <w:tcPr>
            <w:tcW w:w="8140" w:type="dxa"/>
            <w:vAlign w:val="bottom"/>
            <w:tcBorders>
              <w:left w:val="single" w:sz="8" w:color="auto"/>
              <w:right w:val="single" w:sz="8" w:color="auto"/>
            </w:tcBorders>
          </w:tcPr>
          <w:p>
            <w:pPr>
              <w:spacing w:after="0"/>
              <w:rPr>
                <w:sz w:val="19"/>
                <w:szCs w:val="19"/>
                <w:color w:val="auto"/>
              </w:rPr>
            </w:pPr>
          </w:p>
        </w:tc>
        <w:tc>
          <w:tcPr>
            <w:tcW w:w="3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ID:</w:t>
            </w:r>
          </w:p>
        </w:tc>
        <w:tc>
          <w:tcPr>
            <w:tcW w:w="0" w:type="dxa"/>
            <w:vAlign w:val="bottom"/>
          </w:tcPr>
          <w:p>
            <w:pPr>
              <w:spacing w:after="0"/>
              <w:rPr>
                <w:sz w:val="1"/>
                <w:szCs w:val="1"/>
                <w:color w:val="auto"/>
              </w:rPr>
            </w:pPr>
          </w:p>
        </w:tc>
      </w:tr>
      <w:tr>
        <w:trPr>
          <w:trHeight w:val="25"/>
        </w:trPr>
        <w:tc>
          <w:tcPr>
            <w:tcW w:w="81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7"/>
          <w:szCs w:val="17"/>
          <w:color w:val="auto"/>
        </w:rPr>
        <w:t>American Tower Corporation, a Delaware corporation (the “Company”), pursuant to its 2026 Equity Incentive Plan, as it may be amended and restated from time to time (the “Plan”), hereby grants to the Participant named above (“you”) restricted stock units (the “RSUs”) representing the right to receive the number of shares of Common Stock, par value $0.01 per share of the Company set forth below (or, if so determined by the Committee, the value of such shares, payable in cash or such other property as the Committee determines) on the terms of this Notice of Grant of Restricted Stock Units (the “Grant Notice”) and the RSU Agreement (the “Agreement”), subject to your acceptance of, and compliance with, the terms and conditions of the Agreement and the Plan. Capitalized terms used and not otherwise defined in this Grant Notice have the meanings given to them in the Plan.</w:t>
      </w:r>
    </w:p>
    <w:p>
      <w:pPr>
        <w:spacing w:after="0" w:line="276" w:lineRule="exact"/>
        <w:rPr>
          <w:sz w:val="20"/>
          <w:szCs w:val="20"/>
          <w:color w:val="auto"/>
        </w:rPr>
      </w:pPr>
    </w:p>
    <w:p>
      <w:pPr>
        <w:ind w:left="640"/>
        <w:spacing w:after="0"/>
        <w:tabs>
          <w:tab w:leader="none" w:pos="7820" w:val="left"/>
        </w:tabs>
        <w:rPr>
          <w:sz w:val="20"/>
          <w:szCs w:val="20"/>
          <w:color w:val="auto"/>
        </w:rPr>
      </w:pPr>
      <w:r>
        <w:rPr>
          <w:rFonts w:ascii="Times New Roman" w:cs="Times New Roman" w:eastAsia="Times New Roman" w:hAnsi="Times New Roman"/>
          <w:sz w:val="17"/>
          <w:szCs w:val="17"/>
          <w:color w:val="auto"/>
        </w:rPr>
        <w:t>Date of Grant:</w:t>
      </w:r>
      <w:r>
        <w:rPr>
          <w:sz w:val="20"/>
          <w:szCs w:val="20"/>
          <w:color w:val="auto"/>
        </w:rPr>
        <w:tab/>
      </w:r>
      <w:r>
        <w:rPr>
          <w:rFonts w:ascii="Times New Roman" w:cs="Times New Roman" w:eastAsia="Times New Roman" w:hAnsi="Times New Roman"/>
          <w:sz w:val="17"/>
          <w:szCs w:val="17"/>
          <w:color w:val="auto"/>
        </w:rPr>
        <w:t>, 20____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33020</wp:posOffset>
            </wp:positionV>
            <wp:extent cx="6362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6270" cy="8255"/>
                    </a:xfrm>
                    <a:prstGeom prst="rect">
                      <a:avLst/>
                    </a:prstGeom>
                    <a:noFill/>
                  </pic:spPr>
                </pic:pic>
              </a:graphicData>
            </a:graphic>
          </wp:anchor>
        </w:drawing>
      </w:r>
    </w:p>
    <w:p>
      <w:pPr>
        <w:spacing w:after="0" w:line="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33020</wp:posOffset>
            </wp:positionV>
            <wp:extent cx="6362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627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RSUs will vest and the underlying shares will become issuable on the following schedule (each date, a “Scheduled Vesting Date”), subject to the terms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and the terms of the Plan:</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on or after _________, 20__, as to _________ shares,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on or after _________, 20__ , as to _________ additional shares, and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on or after _________, 20__ , as to _________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414020</wp:posOffset>
            </wp:positionV>
            <wp:extent cx="71386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9460" w:val="left"/>
        </w:tabs>
        <w:rPr>
          <w:sz w:val="20"/>
          <w:szCs w:val="20"/>
          <w:color w:val="auto"/>
        </w:rPr>
      </w:pPr>
      <w:r>
        <w:rPr>
          <w:rFonts w:ascii="Times New Roman" w:cs="Times New Roman" w:eastAsia="Times New Roman" w:hAnsi="Times New Roman"/>
          <w:sz w:val="17"/>
          <w:szCs w:val="17"/>
          <w:color w:val="auto"/>
        </w:rPr>
        <w:t>American Tower Corporation</w:t>
      </w:r>
      <w:r>
        <w:rPr>
          <w:sz w:val="20"/>
          <w:szCs w:val="20"/>
          <w:color w:val="auto"/>
        </w:rPr>
        <w:tab/>
      </w:r>
      <w:r>
        <w:rPr>
          <w:rFonts w:ascii="Times New Roman" w:cs="Times New Roman" w:eastAsia="Times New Roman" w:hAnsi="Times New Roman"/>
          <w:sz w:val="17"/>
          <w:szCs w:val="17"/>
          <w:color w:val="auto"/>
        </w:rPr>
        <w:t>Date</w:t>
      </w:r>
    </w:p>
    <w:p>
      <w:pPr>
        <w:spacing w:after="0" w:line="100"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7"/>
          <w:szCs w:val="17"/>
          <w:color w:val="auto"/>
        </w:rPr>
        <w:t>By your signature below, you acknowledge receipt of the Agreement and the Plan, and, as an express condition to the grant of RSUs hereunder, agree to be bound by the terms of the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319405</wp:posOffset>
            </wp:positionV>
            <wp:extent cx="71386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8040" w:val="left"/>
        </w:tabs>
        <w:rPr>
          <w:sz w:val="20"/>
          <w:szCs w:val="20"/>
          <w:color w:val="auto"/>
        </w:rPr>
      </w:pPr>
      <w:r>
        <w:rPr>
          <w:rFonts w:ascii="Times New Roman" w:cs="Times New Roman" w:eastAsia="Times New Roman" w:hAnsi="Times New Roman"/>
          <w:sz w:val="17"/>
          <w:szCs w:val="17"/>
          <w:color w:val="auto"/>
        </w:rPr>
        <w:t>Participant</w:t>
      </w:r>
      <w:r>
        <w:rPr>
          <w:sz w:val="20"/>
          <w:szCs w:val="20"/>
          <w:color w:val="auto"/>
        </w:rPr>
        <w:tab/>
      </w:r>
      <w:r>
        <w:rPr>
          <w:rFonts w:ascii="Times New Roman" w:cs="Times New Roman" w:eastAsia="Times New Roman" w:hAnsi="Times New Roman"/>
          <w:sz w:val="17"/>
          <w:szCs w:val="17"/>
          <w:color w:val="auto"/>
        </w:rPr>
        <w:t>Date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Alternative (for electronic award administration)</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Participant’s Online Acceptance is required through E*TRADE</w:t>
      </w:r>
    </w:p>
    <w:p>
      <w:pPr>
        <w:spacing w:after="0" w:line="24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7"/>
          <w:szCs w:val="17"/>
          <w:color w:val="auto"/>
        </w:rPr>
        <w:t>I understand that I must accept this grant online through my E*TRADE account. By doing so I acknowledge receipt of the Agreement and the Plan, and, as an express condition to the grant of RSUs hereunder, agree to be bound by the terms of the Agreement and the Plan, and I intend that by clicking the “Accept” button for this grant package to have the same force in all respects as my handwritten signature.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w:t>
      </w:r>
    </w:p>
    <w:p>
      <w:pPr>
        <w:sectPr>
          <w:pgSz w:w="11900" w:h="16838" w:orient="portrait"/>
          <w:cols w:equalWidth="0" w:num="1">
            <w:col w:w="11260"/>
          </w:cols>
          <w:pgMar w:left="320" w:top="119" w:right="3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Terms of Restricted Stock Units</w:t>
      </w:r>
    </w:p>
    <w:p>
      <w:pPr>
        <w:spacing w:after="0" w:line="222" w:lineRule="exact"/>
        <w:rPr>
          <w:sz w:val="20"/>
          <w:szCs w:val="20"/>
          <w:color w:val="auto"/>
        </w:rPr>
      </w:pPr>
    </w:p>
    <w:p>
      <w:pPr>
        <w:jc w:val="both"/>
        <w:ind w:firstLine="420"/>
        <w:spacing w:after="0" w:line="263" w:lineRule="auto"/>
        <w:rPr>
          <w:sz w:val="20"/>
          <w:szCs w:val="20"/>
          <w:color w:val="auto"/>
        </w:rPr>
      </w:pPr>
      <w:r>
        <w:rPr>
          <w:rFonts w:ascii="Times New Roman" w:cs="Times New Roman" w:eastAsia="Times New Roman" w:hAnsi="Times New Roman"/>
          <w:sz w:val="17"/>
          <w:szCs w:val="17"/>
          <w:color w:val="auto"/>
        </w:rPr>
        <w:t>Pursuant to the Notice of Grant of Restricted Stock Units delivered to you (the “Grant Notice”), and subject to the terms of this RSU Agreement (the “Agreement”) and the American Tower Corporation 2026 Equity Incentive Plan, as it may be amended and restated from time to time (the “Plan”), you and the Company agree as follows. Capitalized terms used and not otherwise defined in this Agreement have the meanings given to them in the Plan or the Grant Notice, as applicable.</w:t>
      </w:r>
    </w:p>
    <w:p>
      <w:pPr>
        <w:spacing w:after="0" w:line="197" w:lineRule="exact"/>
        <w:rPr>
          <w:sz w:val="20"/>
          <w:szCs w:val="20"/>
          <w:color w:val="auto"/>
        </w:rPr>
      </w:pPr>
    </w:p>
    <w:p>
      <w:pPr>
        <w:jc w:val="both"/>
        <w:ind w:firstLine="422"/>
        <w:spacing w:after="0" w:line="260" w:lineRule="auto"/>
        <w:tabs>
          <w:tab w:leader="none" w:pos="604"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Plan Incorporated by Reference</w:t>
      </w:r>
      <w:r>
        <w:rPr>
          <w:rFonts w:ascii="Times New Roman" w:cs="Times New Roman" w:eastAsia="Times New Roman" w:hAnsi="Times New Roman"/>
          <w:sz w:val="17"/>
          <w:szCs w:val="17"/>
          <w:color w:val="auto"/>
        </w:rPr>
        <w:t>. The provisions of the Plan are incorporated into and made a part of this Agreement by this reference. The Committee administers the Plan, and its determinations regarding the interpretation and operation of the Plan and this Agreement are final and binding. The Board may in its sole discretion at any time terminate or from time to time modify and amend the Plan as provided therein. You may obtain a copy of the Plan without charge upon request to the Company’s Human Resources Department. In the event of a conflict or inconsistency between the terms and/or provisions of the Plan and the terms and/or provisions of this Agreement (including the Grant Notice), this Agreement shall govern and control.</w:t>
      </w:r>
    </w:p>
    <w:p>
      <w:pPr>
        <w:spacing w:after="0" w:line="200" w:lineRule="exact"/>
        <w:rPr>
          <w:rFonts w:ascii="Times New Roman" w:cs="Times New Roman" w:eastAsia="Times New Roman" w:hAnsi="Times New Roman"/>
          <w:sz w:val="17"/>
          <w:szCs w:val="17"/>
          <w:color w:val="auto"/>
        </w:rPr>
      </w:pPr>
    </w:p>
    <w:p>
      <w:pPr>
        <w:jc w:val="both"/>
        <w:ind w:firstLine="427"/>
        <w:spacing w:after="0" w:line="257" w:lineRule="auto"/>
        <w:tabs>
          <w:tab w:leader="none" w:pos="59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of RSUs</w:t>
      </w:r>
      <w:r>
        <w:rPr>
          <w:rFonts w:ascii="Times New Roman" w:cs="Times New Roman" w:eastAsia="Times New Roman" w:hAnsi="Times New Roman"/>
          <w:sz w:val="17"/>
          <w:szCs w:val="17"/>
          <w:color w:val="auto"/>
        </w:rPr>
        <w:t>. The RSUs will vest, while you are employed by the Company Group, for the respective numbers of shares and on the Scheduled Vesting Dates stated in the vesting schedule on the first page of this Agreement, subject to the other terms of this Agreement. RSUs are an unfunded, unsecured obligation of the Company. You shall not earn any rights under the RSUs except in conformity with such schedule and until all other conditions that are required to be met in order to issue the underlying shares have been satisfied. Subject to Sections 4 and 5 of this Agreement, as soon as reasonably practicable (and, in any event, within sixty (60) days after the Scheduled Vesting Date for any RSUs), the Company will deliver to you or your legal representative, without charge, one share of Common Stock for each RSU which becomes vested hereunder (or such cash or other property as the Committee determines) and such RSU shall be canceled upon such delivery.</w:t>
      </w:r>
    </w:p>
    <w:p>
      <w:pPr>
        <w:spacing w:after="0" w:line="204" w:lineRule="exact"/>
        <w:rPr>
          <w:rFonts w:ascii="Times New Roman" w:cs="Times New Roman" w:eastAsia="Times New Roman" w:hAnsi="Times New Roman"/>
          <w:sz w:val="17"/>
          <w:szCs w:val="17"/>
          <w:color w:val="auto"/>
        </w:rPr>
      </w:pPr>
    </w:p>
    <w:p>
      <w:pPr>
        <w:jc w:val="both"/>
        <w:ind w:firstLine="427"/>
        <w:spacing w:after="0" w:line="259" w:lineRule="auto"/>
        <w:tabs>
          <w:tab w:leader="none" w:pos="621"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 Equivalents</w:t>
      </w:r>
      <w:r>
        <w:rPr>
          <w:rFonts w:ascii="Times New Roman" w:cs="Times New Roman" w:eastAsia="Times New Roman" w:hAnsi="Times New Roman"/>
          <w:sz w:val="17"/>
          <w:szCs w:val="17"/>
          <w:color w:val="auto"/>
        </w:rPr>
        <w:t>. While the RSUs are outstanding and unvested, the Company will accrue dividend equivalents on your behalf. The dividend equivalent with respect to each RSU will be equal to the sum of the cash dividend declared and paid by the Company with respect to each share of Common Stock while the RSU is outstanding. No interest will accrue on the dividend equivalents. No dividend equivalent amounts will be paid in respect of unvested or forfeited RSUs. At the time the Company delivers shares of Common Stock in respect of your vested RSUs under Sections 2 and 4 of this Agreement, the Company will also pay you a lump sum cash amount equal to the cash dividends you would have received had you held such number of shares of Common Stock from the Date of Grant through the date of your receipt of such shares of Common Stock in settlement of your vested RSUs.</w:t>
      </w:r>
    </w:p>
    <w:p>
      <w:pPr>
        <w:spacing w:after="0" w:line="198" w:lineRule="exact"/>
        <w:rPr>
          <w:rFonts w:ascii="Times New Roman" w:cs="Times New Roman" w:eastAsia="Times New Roman" w:hAnsi="Times New Roman"/>
          <w:sz w:val="17"/>
          <w:szCs w:val="17"/>
          <w:color w:val="auto"/>
        </w:rPr>
      </w:pPr>
    </w:p>
    <w:p>
      <w:pPr>
        <w:jc w:val="both"/>
        <w:ind w:firstLine="427"/>
        <w:spacing w:after="0" w:line="255" w:lineRule="auto"/>
        <w:tabs>
          <w:tab w:leader="none" w:pos="621"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Employment</w:t>
      </w:r>
      <w:r>
        <w:rPr>
          <w:rFonts w:ascii="Times New Roman" w:cs="Times New Roman" w:eastAsia="Times New Roman" w:hAnsi="Times New Roman"/>
          <w:sz w:val="17"/>
          <w:szCs w:val="17"/>
          <w:color w:val="auto"/>
        </w:rPr>
        <w:t xml:space="preserve">. Upon Termination of your employment with the Company Group for any reason other than Qualified Retirement, a Qualifying Termination, death or Disability (as defined below, where applicable), in each case, prior to a Scheduled Vesting Date, you will forfeit any of the RSUs that are unvested as of the Termination date, together with any accrued dividend equivalents, as of the date of Termination and all such unvested RSUs and accrued dividend equivalents will be canceled for no value. Upon Termination of your employment with the Company Group by reason of Qualified Retirement, a Qualifying Termination that occurs within fourteen (14) days prior to, or two (2) years following, a Change in Control, death or Disability, in each case, prior to a Scheduled Vesting Date, any of the RSUs that are unvested as of the Termination date shall immediately vest on such Termination date; provided, however, that in respect of a Qualifying Termination, the treatment described in this Section 4 is subject to, and conditioned upon, your compliance and satisfaction of the terms and conditions of the Severance Plan (as defined below) (including, without limitation, Section 3.1 </w:t>
      </w:r>
      <w:r>
        <w:rPr>
          <w:rFonts w:ascii="Times New Roman" w:cs="Times New Roman" w:eastAsia="Times New Roman" w:hAnsi="Times New Roman"/>
          <w:sz w:val="17"/>
          <w:szCs w:val="17"/>
          <w:i w:val="1"/>
          <w:iCs w:val="1"/>
          <w:color w:val="auto"/>
        </w:rPr>
        <w:t>Eligibility for Severance Benefits</w:t>
      </w:r>
      <w:r>
        <w:rPr>
          <w:rFonts w:ascii="Times New Roman" w:cs="Times New Roman" w:eastAsia="Times New Roman" w:hAnsi="Times New Roman"/>
          <w:sz w:val="17"/>
          <w:szCs w:val="17"/>
          <w:color w:val="auto"/>
        </w:rPr>
        <w:t xml:space="preserve"> of the Severance Plan), regardless of whether you are a participant in the Severance Plan at such time. Subject to Section 6 of this Agreement, within sixty (60) days after the vesting date for any RSUs pursuant to this Section 4, the Company will deliver to you or your legal representative the number of shares of Common Stock underlying the number of vested RSUs associated with such vesting date (or such cash or other property as the Committee determines); provided, however, if you are a “specified employee” as defined in Treasury Regulation Section 1.409A-1(i) or any successor provision, on the date of your Qualified Retirement, then, irrespective of any other provision contained in this Agreement, to the extent any RSUs or accrued dividend equivalents constitute</w:t>
      </w:r>
    </w:p>
    <w:p>
      <w:pPr>
        <w:sectPr>
          <w:pgSz w:w="11900" w:h="16838" w:orient="portrait"/>
          <w:cols w:equalWidth="0" w:num="1">
            <w:col w:w="11240"/>
          </w:cols>
          <w:pgMar w:left="320" w:top="1119" w:right="339" w:bottom="1440" w:gutter="0" w:footer="0" w:header="0"/>
        </w:sectPr>
      </w:pPr>
    </w:p>
    <w:bookmarkStart w:id="45" w:name="page46"/>
    <w:bookmarkEnd w:id="45"/>
    <w:p>
      <w:pPr>
        <w:jc w:val="both"/>
        <w:spacing w:after="0" w:line="263" w:lineRule="auto"/>
        <w:rPr>
          <w:sz w:val="20"/>
          <w:szCs w:val="20"/>
          <w:color w:val="auto"/>
        </w:rPr>
      </w:pPr>
      <w:r>
        <w:rPr>
          <w:rFonts w:ascii="Times New Roman" w:cs="Times New Roman" w:eastAsia="Times New Roman" w:hAnsi="Times New Roman"/>
          <w:sz w:val="17"/>
          <w:szCs w:val="17"/>
          <w:color w:val="auto"/>
        </w:rPr>
        <w:t>nonqualified deferred compensation subject to the requirements of Section 409A of the Internal Revenue Code of 1986, as amended (the “Code,” and such section, “Section 409A”), any shares of Common Stock or accrued dividend equivalents vesting pursuant to a Qualified Retirement shall be delivered on the first day of the seventh month following such Termination (or, if earlier, the date of your death). For purposes of Section 409A, each payment made under this Agreement shall be treated as a separate payment and the right to a series of installment payments under this Agreement shall be treated as a right to a series of separate payments.</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For purposes of this Agreement:</w:t>
      </w:r>
    </w:p>
    <w:p>
      <w:pPr>
        <w:spacing w:after="0" w:line="241" w:lineRule="exact"/>
        <w:rPr>
          <w:sz w:val="20"/>
          <w:szCs w:val="20"/>
          <w:color w:val="auto"/>
        </w:rPr>
      </w:pPr>
    </w:p>
    <w:p>
      <w:pPr>
        <w:jc w:val="both"/>
        <w:ind w:firstLine="465"/>
        <w:spacing w:after="0" w:line="263" w:lineRule="auto"/>
        <w:tabs>
          <w:tab w:leader="none" w:pos="672"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“Qualified Retirement” shall mean that (a) you have a combined age and years of service with the Company Group of at least 65 years, provided further that you must (I) be at least 55 years old and (II) have a minimum of five years of service with the Company Group, (b) you experience a “separation from service” within the meaning set forth in Section 409A, and (c) you execute and do not revoke a release (which may contain non-compete, non-solicitation and non-disparagement provisions, as determined by the Committee) in a form and with the content satisfactory to the Company; and</w:t>
      </w:r>
    </w:p>
    <w:p>
      <w:pPr>
        <w:spacing w:after="0" w:line="196" w:lineRule="exact"/>
        <w:rPr>
          <w:rFonts w:ascii="Times New Roman" w:cs="Times New Roman" w:eastAsia="Times New Roman" w:hAnsi="Times New Roman"/>
          <w:sz w:val="17"/>
          <w:szCs w:val="17"/>
          <w:color w:val="auto"/>
        </w:rPr>
      </w:pPr>
    </w:p>
    <w:p>
      <w:pPr>
        <w:ind w:firstLine="465"/>
        <w:spacing w:after="0" w:line="259" w:lineRule="auto"/>
        <w:tabs>
          <w:tab w:leader="none" w:pos="715"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“Qualifying Termination” shall have the meaning set forth in the American Tower Corporation Severance Plan Program for Executive Vice Presidents and Chief Executive Officers, dated as of January 1, 2024 (as may be amended from time to time), under the American Tower Corporation Severance Plan, dated as of March 2, 2009, as amended and restated as of January 1, 2024, and as may be further amended from time to time (the “Severance Plan”), regardless of whether you are a participant in the Severance Plan; provided, however, that for purposes of this Agreement, “Qualifying Termination” shall only include a Termination by you for Good Reason (as defined in the Severance Plan) if the Good Reason condition occurs within fourteen (14) days prior to, or two years following, a Change in Control.</w:t>
      </w:r>
    </w:p>
    <w:p>
      <w:pPr>
        <w:spacing w:after="0" w:line="198" w:lineRule="exact"/>
        <w:rPr>
          <w:rFonts w:ascii="Times New Roman" w:cs="Times New Roman" w:eastAsia="Times New Roman" w:hAnsi="Times New Roman"/>
          <w:sz w:val="17"/>
          <w:szCs w:val="17"/>
          <w:color w:val="auto"/>
        </w:rPr>
      </w:pPr>
    </w:p>
    <w:p>
      <w:pPr>
        <w:ind w:left="600" w:hanging="178"/>
        <w:spacing w:after="0"/>
        <w:tabs>
          <w:tab w:leader="none" w:pos="6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 Taxes</w:t>
      </w:r>
      <w:r>
        <w:rPr>
          <w:rFonts w:ascii="Times New Roman" w:cs="Times New Roman" w:eastAsia="Times New Roman" w:hAnsi="Times New Roman"/>
          <w:sz w:val="17"/>
          <w:szCs w:val="17"/>
          <w:color w:val="auto"/>
        </w:rPr>
        <w:t>. The provisions of Section 12(d) of the Plan are incorporated herein by reference and made a part hereof.</w:t>
      </w:r>
    </w:p>
    <w:p>
      <w:pPr>
        <w:spacing w:after="0" w:line="241" w:lineRule="exact"/>
        <w:rPr>
          <w:rFonts w:ascii="Times New Roman" w:cs="Times New Roman" w:eastAsia="Times New Roman" w:hAnsi="Times New Roman"/>
          <w:sz w:val="17"/>
          <w:szCs w:val="17"/>
          <w:color w:val="auto"/>
        </w:rPr>
      </w:pPr>
    </w:p>
    <w:p>
      <w:pPr>
        <w:jc w:val="both"/>
        <w:ind w:firstLine="427"/>
        <w:spacing w:after="0" w:line="254" w:lineRule="auto"/>
        <w:tabs>
          <w:tab w:leader="none" w:pos="595"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Clawback and Forfeiture Provisions</w:t>
      </w:r>
      <w:r>
        <w:rPr>
          <w:rFonts w:ascii="Times New Roman" w:cs="Times New Roman" w:eastAsia="Times New Roman" w:hAnsi="Times New Roman"/>
          <w:sz w:val="17"/>
          <w:szCs w:val="17"/>
          <w:color w:val="auto"/>
        </w:rPr>
        <w:t>. Notwithstanding any other provision of this Agreement, you shall be obligated to promptly (a) transfer to the Company any shares of Common Stock, cash or other property previously issued upon the vesting of RSUs and dividend equivalents and (b) pay to the Company all gains realized by any person from the disposition of any such shares or other property, in each of (a) and (b), (I) to the extent required by applicable law or permitted by any clawback or similar policy of the Company Group, including, for the avoidance of doubt, the American Tower Corporation Compensation Recovery Policy, as amended from time to time (the “Clawback Policy”), which Clawback Policy shall apply and be deemed incorporated herein to the extent applicable, if: (II) you experience a Termination for cause (as defined below) from the Company Group or if (III) following Termination of employment for any reason, either (A) the Company determines that you engaged in conduct while an employee that would have justified Termination for cause or (B) you violate any applicable confidentiality or non-competition agreement with the Company Group. Additionally, you shall be obligated to forfeit outstanding and unvested RSUs granted pursuant to this Agreement as permitted by any clawback or similar policy of the Company Group (including the Clawback Policy). For purposes of this Section 6, Termination for cause means criminal conduct involving a felony in the U.S. or the equivalent of a felony under the laws of other countries, material violations of civil law related to your job responsibilities, fraud, dishonesty, self-dealing, breach of your obligations regarding the Company’s intellectual property, or willful misconduct that the Committee determines to be injurious to the Company, in each case, as determined by the Committee. No recovery of compensation under any clawback policy (including the Clawback Policy) will be an event giving rise to a right to a voluntary Termination of employment upon a resignation for “good reason,” or for a “constructive termination” or any similar term under any plan of or agreement with the Company. In addition to the obligations contained herein and any obligations under applicable law or any clawback or similar policy of the Company Group, including, for the avoidance of doubt, the Clawback Policy, if you receive any amount in excess of what you should have received under the terms of this Agreement for any reason (including, without limitation, by reason of a financial restatement, mistake in calculations, or other administrative error), then you shall be required to repay any such excess amount to the Company. Without limiting the foregoing, all RSUs shall be subject to reduction, cancellation, forfeiture, or recoupment to the extent necessary to comply with applicable law.</w:t>
      </w:r>
    </w:p>
    <w:p>
      <w:pPr>
        <w:sectPr>
          <w:pgSz w:w="11900" w:h="16838" w:orient="portrait"/>
          <w:cols w:equalWidth="0" w:num="1">
            <w:col w:w="11240"/>
          </w:cols>
          <w:pgMar w:left="320" w:top="894" w:right="339" w:bottom="1440" w:gutter="0" w:footer="0" w:header="0"/>
        </w:sectPr>
      </w:pPr>
    </w:p>
    <w:bookmarkStart w:id="46" w:name="page47"/>
    <w:bookmarkEnd w:id="46"/>
    <w:p>
      <w:pPr>
        <w:jc w:val="both"/>
        <w:ind w:left="-422" w:firstLine="427"/>
        <w:spacing w:after="0" w:line="257" w:lineRule="auto"/>
        <w:tabs>
          <w:tab w:leader="none" w:pos="18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Law; Lock-Up Agreement</w:t>
      </w:r>
      <w:r>
        <w:rPr>
          <w:rFonts w:ascii="Times New Roman" w:cs="Times New Roman" w:eastAsia="Times New Roman" w:hAnsi="Times New Roman"/>
          <w:sz w:val="17"/>
          <w:szCs w:val="17"/>
          <w:color w:val="auto"/>
        </w:rPr>
        <w:t>. The Company shall not be obligated to issue any shares of Common Stock or other securities upon the vesting of the RSUs unless the Company is satisfied that all requirements of law or any applicable stock exchange in connection therewith (including, without limitation, the effective registration or exemption of the issuance of such shares or other securities under the Securities Act of 1933, as amended, and applicable state securities laws) have been or will be complied with, and the Committee may impose any restrictions on your rights as it shall deem necessary or advisable to comply with any such requirements; provided that the Company will issue such shares or other securities on the earliest date at which it reasonably anticipates that such issuance will not cause such violation. You further agree hereby that, as a condition to the issuance of shares upon the vesting of the RSUs, you will enter into and perform any underwriter’s lock-up agreement requested by the Company from time to time in connection with public offerings of the Company’s securities.</w:t>
      </w:r>
    </w:p>
    <w:p>
      <w:pPr>
        <w:spacing w:after="0" w:line="204" w:lineRule="exact"/>
        <w:rPr>
          <w:rFonts w:ascii="Times New Roman" w:cs="Times New Roman" w:eastAsia="Times New Roman" w:hAnsi="Times New Roman"/>
          <w:sz w:val="17"/>
          <w:szCs w:val="17"/>
          <w:color w:val="auto"/>
        </w:rPr>
      </w:pPr>
    </w:p>
    <w:p>
      <w:pPr>
        <w:jc w:val="both"/>
        <w:ind w:left="-422" w:firstLine="427"/>
        <w:spacing w:after="0" w:line="269" w:lineRule="auto"/>
        <w:tabs>
          <w:tab w:leader="none" w:pos="173"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as Stockholder</w:t>
      </w:r>
      <w:r>
        <w:rPr>
          <w:rFonts w:ascii="Times New Roman" w:cs="Times New Roman" w:eastAsia="Times New Roman" w:hAnsi="Times New Roman"/>
          <w:sz w:val="17"/>
          <w:szCs w:val="17"/>
          <w:color w:val="auto"/>
        </w:rPr>
        <w:t>. RSUs are unfunded, unsecured obligations of the Company. You shall not have any rights under the RSUs until all conditions that are required to be met in order to issue the underlying shares of Common Stock have been satisfied. You shall have no rights as a stockholder with respect to any shares of Common Stock or other securities covered by the RSUs until the issuance of such actual shares of Common Stock or other securities.</w:t>
      </w:r>
    </w:p>
    <w:p>
      <w:pPr>
        <w:spacing w:after="0" w:line="190" w:lineRule="exact"/>
        <w:rPr>
          <w:rFonts w:ascii="Times New Roman" w:cs="Times New Roman" w:eastAsia="Times New Roman" w:hAnsi="Times New Roman"/>
          <w:sz w:val="17"/>
          <w:szCs w:val="17"/>
          <w:color w:val="auto"/>
        </w:rPr>
      </w:pPr>
    </w:p>
    <w:p>
      <w:pPr>
        <w:jc w:val="both"/>
        <w:ind w:left="-422" w:firstLine="427"/>
        <w:spacing w:after="0" w:line="260" w:lineRule="auto"/>
        <w:tabs>
          <w:tab w:leader="none" w:pos="18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on Your Employment</w:t>
      </w:r>
      <w:r>
        <w:rPr>
          <w:rFonts w:ascii="Times New Roman" w:cs="Times New Roman" w:eastAsia="Times New Roman" w:hAnsi="Times New Roman"/>
          <w:sz w:val="17"/>
          <w:szCs w:val="17"/>
          <w:color w:val="auto"/>
        </w:rPr>
        <w:t>. Neither the adoption, maintenance or operation of the Plan nor the award of the RSUs and the dividend equivalents with respect to the RSUs confers upon you any right to continue your employment with the Company Group, nor shall they interfere with the rights of the Company Group to subject you to a Termination or otherwise change the terms of such employment or service at any time, including, without limitation, the right to promote, demote or reassign you from one position to another in the Company Group. Unless the Committee otherwise provides in any case, you shall be deemed to have experienced a Termination with an Affiliate for purposes of the Plan when such Affiliate ceases to be an Affiliate of the Company.</w:t>
      </w:r>
    </w:p>
    <w:p>
      <w:pPr>
        <w:spacing w:after="0" w:line="200" w:lineRule="exact"/>
        <w:rPr>
          <w:rFonts w:ascii="Times New Roman" w:cs="Times New Roman" w:eastAsia="Times New Roman" w:hAnsi="Times New Roman"/>
          <w:sz w:val="17"/>
          <w:szCs w:val="17"/>
          <w:color w:val="auto"/>
        </w:rPr>
      </w:pPr>
    </w:p>
    <w:p>
      <w:pPr>
        <w:jc w:val="both"/>
        <w:ind w:left="-422" w:firstLine="422"/>
        <w:spacing w:after="0" w:line="269" w:lineRule="auto"/>
        <w:tabs>
          <w:tab w:leader="none" w:pos="267"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Nontransferability</w:t>
      </w:r>
      <w:r>
        <w:rPr>
          <w:rFonts w:ascii="Times New Roman" w:cs="Times New Roman" w:eastAsia="Times New Roman" w:hAnsi="Times New Roman"/>
          <w:sz w:val="17"/>
          <w:szCs w:val="17"/>
          <w:color w:val="auto"/>
        </w:rPr>
        <w:t>. You may not assign or transfer the RSUs or any rights with respect thereto, including, without limitation, the dividend equivalents with respect to the RSUs, except by will or by the laws of descent and distribution or to the extent expressly permitted in writing by the Committee in accordance with Section 12(b) of the Plan.</w:t>
      </w:r>
    </w:p>
    <w:p>
      <w:pPr>
        <w:spacing w:after="0" w:line="190" w:lineRule="exact"/>
        <w:rPr>
          <w:rFonts w:ascii="Times New Roman" w:cs="Times New Roman" w:eastAsia="Times New Roman" w:hAnsi="Times New Roman"/>
          <w:sz w:val="17"/>
          <w:szCs w:val="17"/>
          <w:color w:val="auto"/>
        </w:rPr>
      </w:pPr>
    </w:p>
    <w:p>
      <w:pPr>
        <w:ind w:left="258" w:hanging="258"/>
        <w:spacing w:after="0"/>
        <w:tabs>
          <w:tab w:leader="none" w:pos="258"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Corporate Events</w:t>
      </w:r>
      <w:r>
        <w:rPr>
          <w:rFonts w:ascii="Times New Roman" w:cs="Times New Roman" w:eastAsia="Times New Roman" w:hAnsi="Times New Roman"/>
          <w:sz w:val="17"/>
          <w:szCs w:val="17"/>
          <w:color w:val="auto"/>
        </w:rPr>
        <w:t>. The terms of the RSUs and the dividend equivalents with respect to the RSUs may be changed as provided in Section 10(b) of the Plan.</w:t>
      </w:r>
    </w:p>
    <w:p>
      <w:pPr>
        <w:spacing w:after="0" w:line="241" w:lineRule="exact"/>
        <w:rPr>
          <w:rFonts w:ascii="Times New Roman" w:cs="Times New Roman" w:eastAsia="Times New Roman" w:hAnsi="Times New Roman"/>
          <w:sz w:val="17"/>
          <w:szCs w:val="17"/>
          <w:color w:val="auto"/>
        </w:rPr>
      </w:pPr>
    </w:p>
    <w:p>
      <w:pPr>
        <w:jc w:val="both"/>
        <w:ind w:left="-422" w:firstLine="427"/>
        <w:spacing w:after="0" w:line="254" w:lineRule="auto"/>
        <w:tabs>
          <w:tab w:leader="none" w:pos="271"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Data Privacy</w:t>
      </w:r>
      <w:r>
        <w:rPr>
          <w:rFonts w:ascii="Times New Roman" w:cs="Times New Roman" w:eastAsia="Times New Roman" w:hAnsi="Times New Roman"/>
          <w:sz w:val="17"/>
          <w:szCs w:val="17"/>
          <w:color w:val="auto"/>
        </w:rPr>
        <w:t>. You hereby explicitly consent to the collection, use and transfer, in electronic or other form, of your personal data as described in this Notice and Agreement by and among, as applicable, the Company Group for the exclusive purpose of implementing, administering and managing your participation in the Plan. You understand that the Company Group holds certain personal information about you, including, but not limited to, your name, home address and telephone number, date of birth, social insurance number or other identification number, salary, nationality, job title, any shares of stock or directorships held in the Company Group, details of all RSUs or any other entitlement to shares of stock awarded, canceled, vested, unvested or outstanding in your favor, for the purpose of implementing, administering and managing the Plan (“Data”). You understand that Data may be transferred to any third parties assisting in the implementation, administration and management of the Plan, that these recipients may be located in your country of residence or elsewhere, and that the recipient’s country may have different data privacy laws and protections than your country. You understand that you may request a list with the names and addresses of any potential recipients of the Data by contacting your local Human Resources representative. You authorize the recipients to receive, possess, use, retain and transfer the Data, in electronic or other form, for the purposes of implementing, administering and managing your participation in the Plan, including any requisite transfer of such Data as may be required to a broker or other third party.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You understand, however, that refusing or withdrawing your consent may affect your ability to participate in the Plan. For more information on the</w:t>
      </w:r>
    </w:p>
    <w:p>
      <w:pPr>
        <w:sectPr>
          <w:pgSz w:w="11900" w:h="16838" w:orient="portrait"/>
          <w:cols w:equalWidth="0" w:num="1">
            <w:col w:w="10818"/>
          </w:cols>
          <w:pgMar w:left="742" w:top="89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color w:val="auto"/>
        </w:rPr>
        <w:t>consequences of refusal to consent or withdrawal of consent, you understand that you may contact your local Human Resources representative.</w:t>
      </w:r>
    </w:p>
    <w:p>
      <w:pPr>
        <w:spacing w:after="0" w:line="241" w:lineRule="exact"/>
        <w:rPr>
          <w:sz w:val="20"/>
          <w:szCs w:val="20"/>
          <w:color w:val="auto"/>
        </w:rPr>
      </w:pPr>
    </w:p>
    <w:p>
      <w:pPr>
        <w:jc w:val="both"/>
        <w:ind w:firstLine="427"/>
        <w:spacing w:after="0" w:line="269" w:lineRule="auto"/>
        <w:tabs>
          <w:tab w:leader="none" w:pos="70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governed by and construed and enforced in accordance with the applicable laws of the United States of America and the law (other than the law governing conflict of law questions) of the State of Delaware except to the extent the laws of any other jurisdiction are mandatorily applicable.</w:t>
      </w:r>
    </w:p>
    <w:p>
      <w:pPr>
        <w:spacing w:after="0" w:line="190" w:lineRule="exact"/>
        <w:rPr>
          <w:rFonts w:ascii="Times New Roman" w:cs="Times New Roman" w:eastAsia="Times New Roman" w:hAnsi="Times New Roman"/>
          <w:sz w:val="17"/>
          <w:szCs w:val="17"/>
          <w:color w:val="auto"/>
        </w:rPr>
      </w:pPr>
    </w:p>
    <w:p>
      <w:pPr>
        <w:jc w:val="both"/>
        <w:ind w:firstLine="427"/>
        <w:spacing w:after="0" w:line="259" w:lineRule="auto"/>
        <w:tabs>
          <w:tab w:leader="none" w:pos="70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and Termination of the RSUs; Waiver</w:t>
      </w:r>
      <w:r>
        <w:rPr>
          <w:rFonts w:ascii="Times New Roman" w:cs="Times New Roman" w:eastAsia="Times New Roman" w:hAnsi="Times New Roman"/>
          <w:sz w:val="17"/>
          <w:szCs w:val="17"/>
          <w:color w:val="auto"/>
        </w:rPr>
        <w:t>. The RSUs and the dividend equivalents with respect to the RSUs awarded hereunder may be amended or terminated by the Company with or without your consent, as permitted by Section 11 of the Plan. Except as otherwise set forth in Section 11 of the Plan, any waiver, alteration, amendment, or modification of any of the terms of this Agreement shall be valid only if made in writing and signed by the parties hereto; provided, however,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98" w:lineRule="exact"/>
        <w:rPr>
          <w:rFonts w:ascii="Times New Roman" w:cs="Times New Roman" w:eastAsia="Times New Roman" w:hAnsi="Times New Roman"/>
          <w:sz w:val="17"/>
          <w:szCs w:val="17"/>
          <w:color w:val="auto"/>
        </w:rPr>
      </w:pPr>
    </w:p>
    <w:p>
      <w:pPr>
        <w:jc w:val="both"/>
        <w:ind w:firstLine="427"/>
        <w:spacing w:after="0" w:line="269" w:lineRule="auto"/>
        <w:tabs>
          <w:tab w:leader="none" w:pos="681"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Imposition of Other Requirements</w:t>
      </w:r>
      <w:r>
        <w:rPr>
          <w:rFonts w:ascii="Times New Roman" w:cs="Times New Roman" w:eastAsia="Times New Roman" w:hAnsi="Times New Roman"/>
          <w:sz w:val="17"/>
          <w:szCs w:val="17"/>
          <w:color w:val="auto"/>
        </w:rPr>
        <w:t>. The Company reserves the right to impose other requirements on your participation in the Plan, on the RSUs,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90" w:lineRule="exact"/>
        <w:rPr>
          <w:rFonts w:ascii="Times New Roman" w:cs="Times New Roman" w:eastAsia="Times New Roman" w:hAnsi="Times New Roman"/>
          <w:sz w:val="17"/>
          <w:szCs w:val="17"/>
          <w:color w:val="auto"/>
        </w:rPr>
      </w:pPr>
    </w:p>
    <w:p>
      <w:pPr>
        <w:ind w:left="680" w:hanging="253"/>
        <w:spacing w:after="0"/>
        <w:tabs>
          <w:tab w:leader="none" w:pos="6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Binding Effect</w:t>
      </w:r>
      <w:r>
        <w:rPr>
          <w:rFonts w:ascii="Times New Roman" w:cs="Times New Roman" w:eastAsia="Times New Roman" w:hAnsi="Times New Roman"/>
          <w:sz w:val="17"/>
          <w:szCs w:val="17"/>
          <w:color w:val="auto"/>
        </w:rPr>
        <w:t>. This Agreement shall be binding upon the heirs, executors, administrators, and successors of the parties hereto.</w:t>
      </w:r>
    </w:p>
    <w:p>
      <w:pPr>
        <w:spacing w:after="0" w:line="241" w:lineRule="exact"/>
        <w:rPr>
          <w:rFonts w:ascii="Times New Roman" w:cs="Times New Roman" w:eastAsia="Times New Roman" w:hAnsi="Times New Roman"/>
          <w:sz w:val="17"/>
          <w:szCs w:val="17"/>
          <w:color w:val="auto"/>
        </w:rPr>
      </w:pPr>
    </w:p>
    <w:p>
      <w:pPr>
        <w:jc w:val="both"/>
        <w:ind w:firstLine="427"/>
        <w:spacing w:after="0" w:line="269" w:lineRule="auto"/>
        <w:tabs>
          <w:tab w:leader="none" w:pos="681"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Electronic Delivery and Acceptance</w:t>
      </w:r>
      <w:r>
        <w:rPr>
          <w:rFonts w:ascii="Times New Roman" w:cs="Times New Roman" w:eastAsia="Times New Roman" w:hAnsi="Times New Roman"/>
          <w:sz w:val="17"/>
          <w:szCs w:val="17"/>
          <w:color w:val="auto"/>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90" w:lineRule="exact"/>
        <w:rPr>
          <w:rFonts w:ascii="Times New Roman" w:cs="Times New Roman" w:eastAsia="Times New Roman" w:hAnsi="Times New Roman"/>
          <w:sz w:val="17"/>
          <w:szCs w:val="17"/>
          <w:color w:val="auto"/>
        </w:rPr>
      </w:pPr>
    </w:p>
    <w:p>
      <w:pPr>
        <w:ind w:firstLine="427"/>
        <w:spacing w:after="0" w:line="285" w:lineRule="auto"/>
        <w:tabs>
          <w:tab w:leader="none" w:pos="681"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the Grant Notice, and the Plan constitute the entire agreement of the parties hereto in respect of the subject matter contained herein and supersede all prior agreements and understandings of the parties, oral and written, with respect to such subject matter.</w:t>
      </w:r>
    </w:p>
    <w:p>
      <w:pPr>
        <w:sectPr>
          <w:pgSz w:w="11900" w:h="16838" w:orient="portrait"/>
          <w:cols w:equalWidth="0" w:num="1">
            <w:col w:w="11240"/>
          </w:cols>
          <w:pgMar w:left="320" w:top="894" w:right="339" w:bottom="1440" w:gutter="0" w:footer="0" w:header="0"/>
        </w:sectPr>
      </w:pPr>
    </w:p>
    <w:bookmarkStart w:id="48" w:name="page49"/>
    <w:bookmarkEnd w:id="48"/>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842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American Tower Corporation</w:t>
            </w:r>
          </w:p>
        </w:tc>
        <w:tc>
          <w:tcPr>
            <w:tcW w:w="28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American Tower Corporation</w:t>
            </w:r>
          </w:p>
        </w:tc>
        <w:tc>
          <w:tcPr>
            <w:tcW w:w="0" w:type="dxa"/>
            <w:vAlign w:val="bottom"/>
          </w:tcPr>
          <w:p>
            <w:pPr>
              <w:spacing w:after="0"/>
              <w:rPr>
                <w:sz w:val="1"/>
                <w:szCs w:val="1"/>
                <w:color w:val="auto"/>
              </w:rPr>
            </w:pPr>
          </w:p>
        </w:tc>
      </w:tr>
      <w:tr>
        <w:trPr>
          <w:trHeight w:val="171"/>
        </w:trPr>
        <w:tc>
          <w:tcPr>
            <w:tcW w:w="8420" w:type="dxa"/>
            <w:vAlign w:val="bottom"/>
            <w:tcBorders>
              <w:left w:val="single" w:sz="8" w:color="auto"/>
              <w:right w:val="single" w:sz="8" w:color="auto"/>
            </w:tcBorders>
            <w:vMerge w:val="continue"/>
          </w:tcPr>
          <w:p>
            <w:pPr>
              <w:spacing w:after="0"/>
              <w:rPr>
                <w:sz w:val="14"/>
                <w:szCs w:val="14"/>
                <w:color w:val="auto"/>
              </w:rPr>
            </w:pPr>
          </w:p>
        </w:tc>
        <w:tc>
          <w:tcPr>
            <w:tcW w:w="2840" w:type="dxa"/>
            <w:vAlign w:val="bottom"/>
            <w:tcBorders>
              <w:right w:val="single" w:sz="8" w:color="auto"/>
            </w:tcBorders>
          </w:tcPr>
          <w:p>
            <w:pPr>
              <w:spacing w:after="0" w:line="171" w:lineRule="exact"/>
              <w:rPr>
                <w:sz w:val="20"/>
                <w:szCs w:val="20"/>
                <w:color w:val="auto"/>
              </w:rPr>
            </w:pPr>
            <w:r>
              <w:rPr>
                <w:rFonts w:ascii="Times New Roman" w:cs="Times New Roman" w:eastAsia="Times New Roman" w:hAnsi="Times New Roman"/>
                <w:sz w:val="17"/>
                <w:szCs w:val="17"/>
                <w:color w:val="auto"/>
              </w:rPr>
              <w:t>ID: 65-0723837</w:t>
            </w:r>
          </w:p>
        </w:tc>
        <w:tc>
          <w:tcPr>
            <w:tcW w:w="0" w:type="dxa"/>
            <w:vAlign w:val="bottom"/>
          </w:tcPr>
          <w:p>
            <w:pPr>
              <w:spacing w:after="0"/>
              <w:rPr>
                <w:sz w:val="1"/>
                <w:szCs w:val="1"/>
                <w:color w:val="auto"/>
              </w:rPr>
            </w:pPr>
          </w:p>
        </w:tc>
      </w:tr>
      <w:tr>
        <w:trPr>
          <w:trHeight w:val="241"/>
        </w:trPr>
        <w:tc>
          <w:tcPr>
            <w:tcW w:w="8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Notice of Grant of Restricted Stock Units and RSU Agreement (Non-Employee Director / Time)</w:t>
            </w:r>
          </w:p>
        </w:tc>
        <w:tc>
          <w:tcPr>
            <w:tcW w:w="2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222 Berkeley Street</w:t>
            </w:r>
          </w:p>
        </w:tc>
        <w:tc>
          <w:tcPr>
            <w:tcW w:w="0" w:type="dxa"/>
            <w:vAlign w:val="bottom"/>
          </w:tcPr>
          <w:p>
            <w:pPr>
              <w:spacing w:after="0"/>
              <w:rPr>
                <w:sz w:val="1"/>
                <w:szCs w:val="1"/>
                <w:color w:val="auto"/>
              </w:rPr>
            </w:pPr>
          </w:p>
        </w:tc>
      </w:tr>
      <w:tr>
        <w:trPr>
          <w:trHeight w:val="223"/>
        </w:trPr>
        <w:tc>
          <w:tcPr>
            <w:tcW w:w="8420" w:type="dxa"/>
            <w:vAlign w:val="bottom"/>
            <w:tcBorders>
              <w:left w:val="single" w:sz="8" w:color="auto"/>
              <w:right w:val="single" w:sz="8" w:color="auto"/>
            </w:tcBorders>
          </w:tcPr>
          <w:p>
            <w:pPr>
              <w:spacing w:after="0"/>
              <w:rPr>
                <w:sz w:val="19"/>
                <w:szCs w:val="19"/>
                <w:color w:val="auto"/>
              </w:rPr>
            </w:pPr>
          </w:p>
        </w:tc>
        <w:tc>
          <w:tcPr>
            <w:tcW w:w="2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Boston, MA 02116</w:t>
            </w:r>
          </w:p>
        </w:tc>
        <w:tc>
          <w:tcPr>
            <w:tcW w:w="0" w:type="dxa"/>
            <w:vAlign w:val="bottom"/>
          </w:tcPr>
          <w:p>
            <w:pPr>
              <w:spacing w:after="0"/>
              <w:rPr>
                <w:sz w:val="1"/>
                <w:szCs w:val="1"/>
                <w:color w:val="auto"/>
              </w:rPr>
            </w:pPr>
          </w:p>
        </w:tc>
      </w:tr>
      <w:tr>
        <w:trPr>
          <w:trHeight w:val="25"/>
        </w:trPr>
        <w:tc>
          <w:tcPr>
            <w:tcW w:w="842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Administrator</w:t>
            </w:r>
          </w:p>
        </w:tc>
        <w:tc>
          <w:tcPr>
            <w:tcW w:w="2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Participant Name:</w:t>
            </w:r>
          </w:p>
        </w:tc>
        <w:tc>
          <w:tcPr>
            <w:tcW w:w="0" w:type="dxa"/>
            <w:vAlign w:val="bottom"/>
          </w:tcPr>
          <w:p>
            <w:pPr>
              <w:spacing w:after="0"/>
              <w:rPr>
                <w:sz w:val="1"/>
                <w:szCs w:val="1"/>
                <w:color w:val="auto"/>
              </w:rPr>
            </w:pPr>
          </w:p>
        </w:tc>
      </w:tr>
      <w:tr>
        <w:trPr>
          <w:trHeight w:val="206"/>
        </w:trPr>
        <w:tc>
          <w:tcPr>
            <w:tcW w:w="8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222 Berkeley Street</w:t>
            </w:r>
          </w:p>
        </w:tc>
        <w:tc>
          <w:tcPr>
            <w:tcW w:w="2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RSU Number:</w:t>
            </w:r>
          </w:p>
        </w:tc>
        <w:tc>
          <w:tcPr>
            <w:tcW w:w="0" w:type="dxa"/>
            <w:vAlign w:val="bottom"/>
          </w:tcPr>
          <w:p>
            <w:pPr>
              <w:spacing w:after="0"/>
              <w:rPr>
                <w:sz w:val="1"/>
                <w:szCs w:val="1"/>
                <w:color w:val="auto"/>
              </w:rPr>
            </w:pPr>
          </w:p>
        </w:tc>
      </w:tr>
      <w:tr>
        <w:trPr>
          <w:trHeight w:val="210"/>
        </w:trPr>
        <w:tc>
          <w:tcPr>
            <w:tcW w:w="8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Boston MA United States 02116</w:t>
            </w:r>
          </w:p>
        </w:tc>
        <w:tc>
          <w:tcPr>
            <w:tcW w:w="2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Plan:</w:t>
            </w:r>
          </w:p>
        </w:tc>
        <w:tc>
          <w:tcPr>
            <w:tcW w:w="0" w:type="dxa"/>
            <w:vAlign w:val="bottom"/>
          </w:tcPr>
          <w:p>
            <w:pPr>
              <w:spacing w:after="0"/>
              <w:rPr>
                <w:sz w:val="1"/>
                <w:szCs w:val="1"/>
                <w:color w:val="auto"/>
              </w:rPr>
            </w:pPr>
          </w:p>
        </w:tc>
      </w:tr>
      <w:tr>
        <w:trPr>
          <w:trHeight w:val="223"/>
        </w:trPr>
        <w:tc>
          <w:tcPr>
            <w:tcW w:w="8420" w:type="dxa"/>
            <w:vAlign w:val="bottom"/>
            <w:tcBorders>
              <w:left w:val="single" w:sz="8" w:color="auto"/>
              <w:right w:val="single" w:sz="8" w:color="auto"/>
            </w:tcBorders>
          </w:tcPr>
          <w:p>
            <w:pPr>
              <w:spacing w:after="0"/>
              <w:rPr>
                <w:sz w:val="19"/>
                <w:szCs w:val="19"/>
                <w:color w:val="auto"/>
              </w:rPr>
            </w:pPr>
          </w:p>
        </w:tc>
        <w:tc>
          <w:tcPr>
            <w:tcW w:w="2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ID:</w:t>
            </w:r>
          </w:p>
        </w:tc>
        <w:tc>
          <w:tcPr>
            <w:tcW w:w="0" w:type="dxa"/>
            <w:vAlign w:val="bottom"/>
          </w:tcPr>
          <w:p>
            <w:pPr>
              <w:spacing w:after="0"/>
              <w:rPr>
                <w:sz w:val="1"/>
                <w:szCs w:val="1"/>
                <w:color w:val="auto"/>
              </w:rPr>
            </w:pPr>
          </w:p>
        </w:tc>
      </w:tr>
      <w:tr>
        <w:trPr>
          <w:trHeight w:val="25"/>
        </w:trPr>
        <w:tc>
          <w:tcPr>
            <w:tcW w:w="842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7"/>
          <w:szCs w:val="17"/>
          <w:color w:val="auto"/>
        </w:rPr>
        <w:t>American Tower Corporation, a Delaware corporation (the “Company”), pursuant to its 2026 Equity Incentive Plan, as it may be amended and restated from time to time (the “Plan”), hereby grants to the Participant named above (“you”) restricted stock units (the “RSUs”) representing the right to receive the number of shares of Common Stock, par value $0.01 per share of the Company set forth below (or, if so determined by the Committee, the value of such shares, payable in cash or such other property as the Committee determines) on the terms of this Notice of Grant of Restricted Stock Units (the “Grant Notice”) and the RSU Agreement (the “Agreement”), subject to your acceptance of, and compliance with, the terms and conditions of the Agreement and the Plan. Capitalized terms used and not otherwise defined in this Grant Notice have the meanings given to them in the Plan.</w:t>
      </w:r>
    </w:p>
    <w:p>
      <w:pPr>
        <w:spacing w:after="0" w:line="276" w:lineRule="exact"/>
        <w:rPr>
          <w:sz w:val="20"/>
          <w:szCs w:val="20"/>
          <w:color w:val="auto"/>
        </w:rPr>
      </w:pPr>
    </w:p>
    <w:p>
      <w:pPr>
        <w:ind w:left="640"/>
        <w:spacing w:after="0"/>
        <w:tabs>
          <w:tab w:leader="none" w:pos="7820" w:val="left"/>
        </w:tabs>
        <w:rPr>
          <w:sz w:val="20"/>
          <w:szCs w:val="20"/>
          <w:color w:val="auto"/>
        </w:rPr>
      </w:pPr>
      <w:r>
        <w:rPr>
          <w:rFonts w:ascii="Times New Roman" w:cs="Times New Roman" w:eastAsia="Times New Roman" w:hAnsi="Times New Roman"/>
          <w:sz w:val="17"/>
          <w:szCs w:val="17"/>
          <w:color w:val="auto"/>
        </w:rPr>
        <w:t>Date of Grant:</w:t>
      </w:r>
      <w:r>
        <w:rPr>
          <w:sz w:val="20"/>
          <w:szCs w:val="20"/>
          <w:color w:val="auto"/>
        </w:rPr>
        <w:tab/>
      </w:r>
      <w:r>
        <w:rPr>
          <w:rFonts w:ascii="Times New Roman" w:cs="Times New Roman" w:eastAsia="Times New Roman" w:hAnsi="Times New Roman"/>
          <w:sz w:val="17"/>
          <w:szCs w:val="17"/>
          <w:color w:val="auto"/>
        </w:rPr>
        <w:t>, 20____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33020</wp:posOffset>
            </wp:positionV>
            <wp:extent cx="6362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6270" cy="8255"/>
                    </a:xfrm>
                    <a:prstGeom prst="rect">
                      <a:avLst/>
                    </a:prstGeom>
                    <a:noFill/>
                  </pic:spPr>
                </pic:pic>
              </a:graphicData>
            </a:graphic>
          </wp:anchor>
        </w:drawing>
      </w:r>
    </w:p>
    <w:p>
      <w:pPr>
        <w:spacing w:after="0" w:line="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33020</wp:posOffset>
            </wp:positionV>
            <wp:extent cx="6362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6270" cy="8255"/>
                    </a:xfrm>
                    <a:prstGeom prst="rect">
                      <a:avLst/>
                    </a:prstGeom>
                    <a:noFill/>
                  </pic:spPr>
                </pic:pic>
              </a:graphicData>
            </a:graphic>
          </wp:anchor>
        </w:drawing>
      </w:r>
    </w:p>
    <w:p>
      <w:pPr>
        <w:spacing w:after="0" w:line="106"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7"/>
          <w:szCs w:val="17"/>
          <w:color w:val="auto"/>
        </w:rPr>
        <w:t>The RSUs will vest and the underlying shares will become issuable on the following schedule (the date of vesting, the “Scheduled Vesting Date”), subject to the terms of the Agreement and the terms of the Plan:</w:t>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on or after_____________, 20____ as to ______shares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416560</wp:posOffset>
            </wp:positionV>
            <wp:extent cx="71386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60"/>
          </w:cols>
          <w:pgMar w:left="320" w:top="11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American Tower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100" w:lineRule="exact"/>
        <w:rPr>
          <w:sz w:val="20"/>
          <w:szCs w:val="20"/>
          <w:color w:val="auto"/>
        </w:rPr>
      </w:pPr>
    </w:p>
    <w:p>
      <w:pPr>
        <w:sectPr>
          <w:pgSz w:w="11900" w:h="16838" w:orient="portrait"/>
          <w:cols w:equalWidth="0" w:num="2">
            <w:col w:w="8760" w:space="720"/>
            <w:col w:w="1780"/>
          </w:cols>
          <w:pgMar w:left="320" w:top="119" w:right="319" w:bottom="1440" w:gutter="0" w:footer="0" w:header="0"/>
          <w:type w:val="continuous"/>
        </w:sectPr>
      </w:pPr>
    </w:p>
    <w:p>
      <w:pPr>
        <w:jc w:val="both"/>
        <w:ind w:right="20"/>
        <w:spacing w:after="0" w:line="285" w:lineRule="auto"/>
        <w:rPr>
          <w:sz w:val="20"/>
          <w:szCs w:val="20"/>
          <w:color w:val="auto"/>
        </w:rPr>
      </w:pPr>
      <w:r>
        <w:rPr>
          <w:rFonts w:ascii="Times New Roman" w:cs="Times New Roman" w:eastAsia="Times New Roman" w:hAnsi="Times New Roman"/>
          <w:sz w:val="17"/>
          <w:szCs w:val="17"/>
          <w:color w:val="auto"/>
        </w:rPr>
        <w:t>By your signature below, you acknowledge receipt of the Agreement and the Plan, and, as an express condition to the grant of RSUs hereunder, agree to be bound by the terms of the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319405</wp:posOffset>
            </wp:positionV>
            <wp:extent cx="71386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8040" w:val="left"/>
        </w:tabs>
        <w:rPr>
          <w:sz w:val="20"/>
          <w:szCs w:val="20"/>
          <w:color w:val="auto"/>
        </w:rPr>
      </w:pPr>
      <w:r>
        <w:rPr>
          <w:rFonts w:ascii="Times New Roman" w:cs="Times New Roman" w:eastAsia="Times New Roman" w:hAnsi="Times New Roman"/>
          <w:sz w:val="17"/>
          <w:szCs w:val="17"/>
          <w:color w:val="auto"/>
        </w:rPr>
        <w:t>Participant</w:t>
      </w:r>
      <w:r>
        <w:rPr>
          <w:sz w:val="20"/>
          <w:szCs w:val="20"/>
          <w:color w:val="auto"/>
        </w:rPr>
        <w:tab/>
      </w:r>
      <w:r>
        <w:rPr>
          <w:rFonts w:ascii="Times New Roman" w:cs="Times New Roman" w:eastAsia="Times New Roman" w:hAnsi="Times New Roman"/>
          <w:sz w:val="17"/>
          <w:szCs w:val="17"/>
          <w:color w:val="auto"/>
        </w:rPr>
        <w:t>Date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Alternative (for electronic award administration)</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Participant’s Online Acceptance is required through E*TRADE</w:t>
      </w:r>
    </w:p>
    <w:p>
      <w:pPr>
        <w:spacing w:after="0" w:line="24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7"/>
          <w:szCs w:val="17"/>
          <w:color w:val="auto"/>
        </w:rPr>
        <w:t>I understand that I must accept this grant online through my E*TRADE account. By doing so I acknowledge receipt of the Agreement and the Plan, and, as an express condition to the grant of RSUs hereunder, agree to be bound by the terms of the Agreement and the Plan, and I intend that by clicking the “Accept” button for this grant package to have the same force in all respects as my handwritten signature.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w:t>
      </w:r>
    </w:p>
    <w:p>
      <w:pPr>
        <w:sectPr>
          <w:pgSz w:w="11900" w:h="16838" w:orient="portrait"/>
          <w:cols w:equalWidth="0" w:num="1">
            <w:col w:w="11260"/>
          </w:cols>
          <w:pgMar w:left="320" w:top="119" w:right="319" w:bottom="1440" w:gutter="0" w:footer="0" w:header="0"/>
          <w:type w:val="continuous"/>
        </w:sectPr>
      </w:pPr>
    </w:p>
    <w:bookmarkStart w:id="49" w:name="page50"/>
    <w:bookmarkEnd w:id="49"/>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Terms of Restricted Stock Units</w:t>
      </w:r>
    </w:p>
    <w:p>
      <w:pPr>
        <w:spacing w:after="0" w:line="247" w:lineRule="exact"/>
        <w:rPr>
          <w:sz w:val="20"/>
          <w:szCs w:val="20"/>
          <w:color w:val="auto"/>
        </w:rPr>
      </w:pPr>
    </w:p>
    <w:p>
      <w:pPr>
        <w:jc w:val="both"/>
        <w:ind w:firstLine="420"/>
        <w:spacing w:after="0" w:line="263" w:lineRule="auto"/>
        <w:rPr>
          <w:sz w:val="20"/>
          <w:szCs w:val="20"/>
          <w:color w:val="auto"/>
        </w:rPr>
      </w:pPr>
      <w:r>
        <w:rPr>
          <w:rFonts w:ascii="Times New Roman" w:cs="Times New Roman" w:eastAsia="Times New Roman" w:hAnsi="Times New Roman"/>
          <w:sz w:val="17"/>
          <w:szCs w:val="17"/>
          <w:color w:val="auto"/>
        </w:rPr>
        <w:t>Pursuant to the Notice of Grant of Restricted Stock Units delivered to you (the “Grant Notice”), and subject to the terms of this RSU Agreement (the “Agreement”) and the American Tower Corporation 2026 Equity Incentive Plan, as it may be amended and restated from time to time (the “Plan”), you and the Company agree as follows. Capitalized terms used and not otherwise defined in this Agreement have the meanings given to them in the Plan or the Grant Notice, as applicable.</w:t>
      </w:r>
    </w:p>
    <w:p>
      <w:pPr>
        <w:spacing w:after="0" w:line="197" w:lineRule="exact"/>
        <w:rPr>
          <w:sz w:val="20"/>
          <w:szCs w:val="20"/>
          <w:color w:val="auto"/>
        </w:rPr>
      </w:pPr>
    </w:p>
    <w:p>
      <w:pPr>
        <w:jc w:val="both"/>
        <w:ind w:firstLine="422"/>
        <w:spacing w:after="0" w:line="260" w:lineRule="auto"/>
        <w:tabs>
          <w:tab w:leader="none" w:pos="604"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Plan Incorporated by Reference</w:t>
      </w:r>
      <w:r>
        <w:rPr>
          <w:rFonts w:ascii="Times New Roman" w:cs="Times New Roman" w:eastAsia="Times New Roman" w:hAnsi="Times New Roman"/>
          <w:sz w:val="17"/>
          <w:szCs w:val="17"/>
          <w:color w:val="auto"/>
        </w:rPr>
        <w:t>. The provisions of the Plan are incorporated into and made a part of this Agreement by this reference. The Committee administers the Plan, and its determinations regarding the interpretation and operation of the Plan and this Agreement are final and binding. The Board may in its sole discretion at any time terminate or from time to time modify and amend the Plan as provided therein. You may obtain a copy of the Plan without charge upon request to the Company’s Human Resources Department. In the event of a conflict or inconsistency between the terms and/or provisions of the Plan and the terms and/or provisions of this Agreement (including the Grant Notice), this Agreement shall govern and control.</w:t>
      </w:r>
    </w:p>
    <w:p>
      <w:pPr>
        <w:spacing w:after="0" w:line="200" w:lineRule="exact"/>
        <w:rPr>
          <w:rFonts w:ascii="Times New Roman" w:cs="Times New Roman" w:eastAsia="Times New Roman" w:hAnsi="Times New Roman"/>
          <w:sz w:val="17"/>
          <w:szCs w:val="17"/>
          <w:color w:val="auto"/>
        </w:rPr>
      </w:pPr>
    </w:p>
    <w:p>
      <w:pPr>
        <w:jc w:val="both"/>
        <w:ind w:firstLine="422"/>
        <w:spacing w:after="0" w:line="257" w:lineRule="auto"/>
        <w:tabs>
          <w:tab w:leader="none" w:pos="591"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of RSUs</w:t>
      </w:r>
      <w:r>
        <w:rPr>
          <w:rFonts w:ascii="Times New Roman" w:cs="Times New Roman" w:eastAsia="Times New Roman" w:hAnsi="Times New Roman"/>
          <w:sz w:val="17"/>
          <w:szCs w:val="17"/>
          <w:color w:val="auto"/>
        </w:rPr>
        <w:t>. The RSUs will vest, while you are serving on the Board of Directors of the Company, for the respective numbers of shares and on the Scheduled Vesting Date stated in the vesting schedule on the first page of this Agreement, subject to the other terms of this Agreement. RSUs are an unfunded, unsecured obligation of the Company. You shall not earn any rights under the RSUs except in conformity with such schedule and until all other conditions that are required to be met in order to issue the underlying shares have been satisfied. Subject to Sections 4 and 5 of this Agreement, as soon as reasonably practicable (and, in any event, within sixty (60) days after the Scheduled Vesting Date for any RSUs), the Company will deliver to you or your legal representative, without charge, one share of Common Stock for each RSU which becomes vested hereunder (or such cash or other property as the Committee determines) and such RSU shall be canceled upon such delivery.</w:t>
      </w:r>
    </w:p>
    <w:p>
      <w:pPr>
        <w:spacing w:after="0" w:line="204" w:lineRule="exact"/>
        <w:rPr>
          <w:rFonts w:ascii="Times New Roman" w:cs="Times New Roman" w:eastAsia="Times New Roman" w:hAnsi="Times New Roman"/>
          <w:sz w:val="17"/>
          <w:szCs w:val="17"/>
          <w:color w:val="auto"/>
        </w:rPr>
      </w:pPr>
    </w:p>
    <w:p>
      <w:pPr>
        <w:jc w:val="both"/>
        <w:ind w:firstLine="422"/>
        <w:spacing w:after="0" w:line="259" w:lineRule="auto"/>
        <w:tabs>
          <w:tab w:leader="none" w:pos="617"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 Equivalents</w:t>
      </w:r>
      <w:r>
        <w:rPr>
          <w:rFonts w:ascii="Times New Roman" w:cs="Times New Roman" w:eastAsia="Times New Roman" w:hAnsi="Times New Roman"/>
          <w:sz w:val="17"/>
          <w:szCs w:val="17"/>
          <w:color w:val="auto"/>
        </w:rPr>
        <w:t>. While the RSUs are outstanding and unvested, the Company will accrue dividend equivalents on your behalf. The dividend equivalent with respect to each RSU will be equal to the sum of the cash dividend declared and paid by the Company with respect to each share of Common Stock while the RSU is outstanding. No interest will accrue on the dividend equivalents. No dividend equivalent amounts will be paid in respect of unvested or forfeited RSUs. At the time the Company delivers shares of Common Stock in respect of your vested RSUs under Section 2 of this Agreement, the Company will also pay you a lump sum cash amount equal to the cash dividends you would have received had you held such number of shares of Common Stock from the Date of Grant through the date of your receipt of such shares of Common Stock in settlement of your vested RSUs.</w:t>
      </w:r>
    </w:p>
    <w:p>
      <w:pPr>
        <w:spacing w:after="0" w:line="198" w:lineRule="exact"/>
        <w:rPr>
          <w:rFonts w:ascii="Times New Roman" w:cs="Times New Roman" w:eastAsia="Times New Roman" w:hAnsi="Times New Roman"/>
          <w:sz w:val="17"/>
          <w:szCs w:val="17"/>
          <w:color w:val="auto"/>
        </w:rPr>
      </w:pPr>
    </w:p>
    <w:p>
      <w:pPr>
        <w:jc w:val="both"/>
        <w:ind w:firstLine="422"/>
        <w:spacing w:after="0" w:line="269" w:lineRule="auto"/>
        <w:tabs>
          <w:tab w:leader="none" w:pos="591"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Service</w:t>
      </w:r>
      <w:r>
        <w:rPr>
          <w:rFonts w:ascii="Times New Roman" w:cs="Times New Roman" w:eastAsia="Times New Roman" w:hAnsi="Times New Roman"/>
          <w:sz w:val="17"/>
          <w:szCs w:val="17"/>
          <w:color w:val="auto"/>
        </w:rPr>
        <w:t>. Upon Termination of your service on the Company’s Board of Directors for any reason prior to the Scheduled Vesting Date, you will forfeit any of the RSUs that are unvested as of the Termination date, together with any accrued dividend equivalents, as of the date of Termination and all such unvested RSUs and accrued dividend equivalents will be canceled for no value.</w:t>
      </w:r>
    </w:p>
    <w:p>
      <w:pPr>
        <w:spacing w:after="0" w:line="190" w:lineRule="exact"/>
        <w:rPr>
          <w:rFonts w:ascii="Times New Roman" w:cs="Times New Roman" w:eastAsia="Times New Roman" w:hAnsi="Times New Roman"/>
          <w:sz w:val="17"/>
          <w:szCs w:val="17"/>
          <w:color w:val="auto"/>
        </w:rPr>
      </w:pPr>
    </w:p>
    <w:p>
      <w:pPr>
        <w:jc w:val="both"/>
        <w:ind w:firstLine="422"/>
        <w:spacing w:after="0" w:line="259" w:lineRule="auto"/>
        <w:tabs>
          <w:tab w:leader="none" w:pos="617"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 Taxes</w:t>
      </w:r>
      <w:r>
        <w:rPr>
          <w:rFonts w:ascii="Times New Roman" w:cs="Times New Roman" w:eastAsia="Times New Roman" w:hAnsi="Times New Roman"/>
          <w:sz w:val="17"/>
          <w:szCs w:val="17"/>
          <w:color w:val="auto"/>
        </w:rPr>
        <w:t>. The provisions of Section 12(d) of the Plan are incorporated herein by reference and made a part hereof. Notwithstanding the foregoing, you acknowledge and agree that (i) to the extent consistent with applicable law and your status as an independent consultant for U.S. federal income tax purposes, the Company does not intend to withhold any amounts as federal income tax withholdings under any other state or federal laws and (ii) you are ultimately liable and responsible for all taxes owed in connection with the RSUs, regardless of any action the Company Group takes with respect to any tax withholding obligations that arise in connection with the RSUs. You hereby agree to make adequate provision for any sums required to satisfy all applicable federal, state, local, and foreign tax withholding obligations of the Company which may arise in connection with the grant and/or vesting of RSUs.</w:t>
      </w:r>
    </w:p>
    <w:p>
      <w:pPr>
        <w:spacing w:after="0" w:line="198" w:lineRule="exact"/>
        <w:rPr>
          <w:rFonts w:ascii="Times New Roman" w:cs="Times New Roman" w:eastAsia="Times New Roman" w:hAnsi="Times New Roman"/>
          <w:sz w:val="17"/>
          <w:szCs w:val="17"/>
          <w:color w:val="auto"/>
        </w:rPr>
      </w:pPr>
    </w:p>
    <w:p>
      <w:pPr>
        <w:jc w:val="both"/>
        <w:ind w:firstLine="422"/>
        <w:spacing w:after="0" w:line="263" w:lineRule="auto"/>
        <w:tabs>
          <w:tab w:leader="none" w:pos="591"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Forfeiture</w:t>
      </w:r>
      <w:r>
        <w:rPr>
          <w:rFonts w:ascii="Times New Roman" w:cs="Times New Roman" w:eastAsia="Times New Roman" w:hAnsi="Times New Roman"/>
          <w:sz w:val="17"/>
          <w:szCs w:val="17"/>
          <w:color w:val="auto"/>
        </w:rPr>
        <w:t>. Notwithstanding any other provision of this Agreement, you shall be obligated to promptly (a) transfer to the Company any shares of Common Stock, cash or other property previously issued upon the vesting of RSUs and dividend equivalents and (b) pay to the Company all gains realized by any person from the disposition of any such shares or other property, in each of (a) and (b), (I) to the extent required by applicable law or permitted by any clawback or similar policy of the Company Group, including, for the avoidance of doubt, the</w:t>
      </w:r>
    </w:p>
    <w:p>
      <w:pPr>
        <w:sectPr>
          <w:pgSz w:w="11900" w:h="16838" w:orient="portrait"/>
          <w:cols w:equalWidth="0" w:num="1">
            <w:col w:w="11240"/>
          </w:cols>
          <w:pgMar w:left="320" w:top="888" w:right="339" w:bottom="1440" w:gutter="0" w:footer="0" w:header="0"/>
        </w:sectPr>
      </w:pPr>
    </w:p>
    <w:bookmarkStart w:id="50" w:name="page51"/>
    <w:bookmarkEnd w:id="50"/>
    <w:p>
      <w:pPr>
        <w:jc w:val="both"/>
        <w:spacing w:after="0" w:line="255" w:lineRule="auto"/>
        <w:rPr>
          <w:sz w:val="20"/>
          <w:szCs w:val="20"/>
          <w:color w:val="auto"/>
        </w:rPr>
      </w:pPr>
      <w:r>
        <w:rPr>
          <w:rFonts w:ascii="Times New Roman" w:cs="Times New Roman" w:eastAsia="Times New Roman" w:hAnsi="Times New Roman"/>
          <w:sz w:val="17"/>
          <w:szCs w:val="17"/>
          <w:color w:val="auto"/>
        </w:rPr>
        <w:t>American Tower Corporation Compensation Recovery Policy, as amended from time to time (the “Clawback Policy”), which Clawback Policy shall apply and be deemed incorporated herein to the extent applicable, if: (II) you experience a Termination for cause (as defined below) of your service as a member of the Board of Directors of the Company or if (III) following Termination of such service for any reason, either (A) the Company determines that you engaged in conduct while a member of the Board that would have justified Termination for cause or (B) you violate any applicable confidentiality or non-competition agreement with the Company Group. Additionally, you shall be obligated to forfeit outstanding and unvested RSUs granted pursuant to this Agreement as permitted by any clawback or similar policy of the Company Group (including the Clawback Policy). For purposes of this Section 6, Termination for cause means criminal conduct involving a felony in the U.S. or the equivalent of a felony under the laws of other countries, material violations of civil law related to your responsibilities as a member of the Board of Directors, fraud, dishonesty, self-dealing, breach of your obligations regarding the Company’s intellectual property, or willful misconduct that the Committee determines to be injurious to the Company, in each case, as determined by the Committee. In addition to the obligations contained herein and any obligations under applicable law or any clawback or similar policy of the Company Group, including, for the avoidance of doubt, the Clawback Policy, if you receive any amount in excess of what you should have received under the terms of this Agreement for any reason (including, without limitation, by reason of a financial restatement, mistake in calculations, or other administrative error), then you shall be required to repay any such excess amount to the Company. Without limiting the foregoing, all RSUs shall be subject to reduction, cancellation, forfeiture, or recoupment to the extent necessary to comply with applicable law.</w:t>
      </w:r>
    </w:p>
    <w:p>
      <w:pPr>
        <w:spacing w:after="0" w:line="204" w:lineRule="exact"/>
        <w:rPr>
          <w:sz w:val="20"/>
          <w:szCs w:val="20"/>
          <w:color w:val="auto"/>
        </w:rPr>
      </w:pPr>
    </w:p>
    <w:p>
      <w:pPr>
        <w:jc w:val="both"/>
        <w:ind w:firstLine="427"/>
        <w:spacing w:after="0" w:line="257" w:lineRule="auto"/>
        <w:tabs>
          <w:tab w:leader="none" w:pos="608"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Law; Lock-Up Agreement</w:t>
      </w:r>
      <w:r>
        <w:rPr>
          <w:rFonts w:ascii="Times New Roman" w:cs="Times New Roman" w:eastAsia="Times New Roman" w:hAnsi="Times New Roman"/>
          <w:sz w:val="17"/>
          <w:szCs w:val="17"/>
          <w:color w:val="auto"/>
        </w:rPr>
        <w:t>. The Company shall not be obligated to issue any shares of Common Stock or other securities upon the vesting of the RSUs unless the Company is satisfied that all requirements of law or any applicable stock exchange in connection therewith (including, without limitation, the effective registration or exemption of the issuance of such shares or other securities under the Securities Act of 1933, as amended, and applicable state securities laws) have been or will be complied with, and the Committee may impose any restrictions on your rights as it shall deem necessary or advisable to comply with any such requirements; provided that the Company will issue such shares or other securities on the earliest date at which it reasonably anticipates that such issuance will not cause such violation. You further agree hereby that, as a condition to the issuance of shares upon the vesting of the RSUs, you will enter into and perform any underwriter’s lock-up agreement requested by the Company from time to time in connection with public offerings of the Company’s securities.</w:t>
      </w:r>
    </w:p>
    <w:p>
      <w:pPr>
        <w:spacing w:after="0" w:line="204" w:lineRule="exact"/>
        <w:rPr>
          <w:rFonts w:ascii="Times New Roman" w:cs="Times New Roman" w:eastAsia="Times New Roman" w:hAnsi="Times New Roman"/>
          <w:sz w:val="17"/>
          <w:szCs w:val="17"/>
          <w:color w:val="auto"/>
        </w:rPr>
      </w:pPr>
    </w:p>
    <w:p>
      <w:pPr>
        <w:jc w:val="both"/>
        <w:ind w:firstLine="422"/>
        <w:spacing w:after="0" w:line="269" w:lineRule="auto"/>
        <w:tabs>
          <w:tab w:leader="none" w:pos="591"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as Stockholder</w:t>
      </w:r>
      <w:r>
        <w:rPr>
          <w:rFonts w:ascii="Times New Roman" w:cs="Times New Roman" w:eastAsia="Times New Roman" w:hAnsi="Times New Roman"/>
          <w:sz w:val="17"/>
          <w:szCs w:val="17"/>
          <w:color w:val="auto"/>
        </w:rPr>
        <w:t>. RSUs are unfunded, unsecured obligations of the Company. You shall not have any rights under the RSUs until all conditions that are required to be met in order to issue the underlying shares of Common Stock have been satisfied. You shall have no rights as a stockholder with respect to any shares of Common Stock or other securities covered by the RSUs until the issuance of such actual shares of Common Stock or other securities.</w:t>
      </w:r>
    </w:p>
    <w:p>
      <w:pPr>
        <w:spacing w:after="0" w:line="190" w:lineRule="exact"/>
        <w:rPr>
          <w:rFonts w:ascii="Times New Roman" w:cs="Times New Roman" w:eastAsia="Times New Roman" w:hAnsi="Times New Roman"/>
          <w:sz w:val="17"/>
          <w:szCs w:val="17"/>
          <w:color w:val="auto"/>
        </w:rPr>
      </w:pPr>
    </w:p>
    <w:p>
      <w:pPr>
        <w:jc w:val="both"/>
        <w:ind w:firstLine="422"/>
        <w:spacing w:after="0" w:line="269" w:lineRule="auto"/>
        <w:tabs>
          <w:tab w:leader="none" w:pos="591"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Nontransferability</w:t>
      </w:r>
      <w:r>
        <w:rPr>
          <w:rFonts w:ascii="Times New Roman" w:cs="Times New Roman" w:eastAsia="Times New Roman" w:hAnsi="Times New Roman"/>
          <w:sz w:val="17"/>
          <w:szCs w:val="17"/>
          <w:color w:val="auto"/>
        </w:rPr>
        <w:t>. You may not assign or transfer the RSUs or any rights with respect thereto, including, without limitation, the dividend equivalents with respect to the RSUs, except by will or by the laws of descent and distribution or to the extent expressly permitted in writing by the Committee in accordance with Section 12(b) of the Plan.</w:t>
      </w:r>
    </w:p>
    <w:p>
      <w:pPr>
        <w:spacing w:after="0" w:line="190" w:lineRule="exact"/>
        <w:rPr>
          <w:rFonts w:ascii="Times New Roman" w:cs="Times New Roman" w:eastAsia="Times New Roman" w:hAnsi="Times New Roman"/>
          <w:sz w:val="17"/>
          <w:szCs w:val="17"/>
          <w:color w:val="auto"/>
        </w:rPr>
      </w:pPr>
    </w:p>
    <w:p>
      <w:pPr>
        <w:ind w:left="700" w:hanging="278"/>
        <w:spacing w:after="0"/>
        <w:tabs>
          <w:tab w:leader="none" w:pos="7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Corporate Events</w:t>
      </w:r>
      <w:r>
        <w:rPr>
          <w:rFonts w:ascii="Times New Roman" w:cs="Times New Roman" w:eastAsia="Times New Roman" w:hAnsi="Times New Roman"/>
          <w:sz w:val="17"/>
          <w:szCs w:val="17"/>
          <w:color w:val="auto"/>
        </w:rPr>
        <w:t>. The terms of the RSUs and the dividend equivalents with respect to the RSUs may be changed as provided in Section 10(b) of the</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Plan.</w:t>
      </w:r>
    </w:p>
    <w:p>
      <w:pPr>
        <w:spacing w:after="0" w:line="224" w:lineRule="exact"/>
        <w:rPr>
          <w:rFonts w:ascii="Times New Roman" w:cs="Times New Roman" w:eastAsia="Times New Roman" w:hAnsi="Times New Roman"/>
          <w:sz w:val="17"/>
          <w:szCs w:val="17"/>
          <w:color w:val="auto"/>
        </w:rPr>
      </w:pPr>
    </w:p>
    <w:p>
      <w:pPr>
        <w:jc w:val="both"/>
        <w:ind w:firstLine="427"/>
        <w:spacing w:after="0" w:line="257" w:lineRule="auto"/>
        <w:tabs>
          <w:tab w:leader="none" w:pos="687"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Data Privacy</w:t>
      </w:r>
      <w:r>
        <w:rPr>
          <w:rFonts w:ascii="Times New Roman" w:cs="Times New Roman" w:eastAsia="Times New Roman" w:hAnsi="Times New Roman"/>
          <w:sz w:val="17"/>
          <w:szCs w:val="17"/>
          <w:color w:val="auto"/>
        </w:rPr>
        <w:t>. You hereby explicitly consent to the collection, use and transfer, in electronic or other form, of your personal data as described in this Notice and Agreement by and among, as applicable, the Company Group for the exclusive purpose of implementing, administering and managing your participation in the Plan. You understand that the Company Group holds certain personal information about you, including, but not limited to, your name, home address and telephone number, date of birth, social insurance number or other identification number, salary, nationality, job title, any shares of stock or directorships held in the Company Group, details of all RSUs or any other entitlement to shares of stock awarded, canceled, vested, unvested or outstanding in your favor, for the purpose of implementing, administering and managing the Plan (“Data”). You understand that Data may be transferred to any third parties assisting in the implementation, administration and management of the Plan, that</w:t>
      </w:r>
    </w:p>
    <w:p>
      <w:pPr>
        <w:sectPr>
          <w:pgSz w:w="11900" w:h="16838" w:orient="portrait"/>
          <w:cols w:equalWidth="0" w:num="1">
            <w:col w:w="11240"/>
          </w:cols>
          <w:pgMar w:left="320" w:top="894" w:right="339" w:bottom="1440" w:gutter="0" w:footer="0" w:header="0"/>
        </w:sectPr>
      </w:pPr>
    </w:p>
    <w:bookmarkStart w:id="51" w:name="page52"/>
    <w:bookmarkEnd w:id="51"/>
    <w:p>
      <w:pPr>
        <w:jc w:val="both"/>
        <w:spacing w:after="0" w:line="256" w:lineRule="auto"/>
        <w:rPr>
          <w:sz w:val="20"/>
          <w:szCs w:val="20"/>
          <w:color w:val="auto"/>
        </w:rPr>
      </w:pPr>
      <w:r>
        <w:rPr>
          <w:rFonts w:ascii="Times New Roman" w:cs="Times New Roman" w:eastAsia="Times New Roman" w:hAnsi="Times New Roman"/>
          <w:sz w:val="17"/>
          <w:szCs w:val="17"/>
          <w:color w:val="auto"/>
        </w:rPr>
        <w:t>these recipients may be located in your country of residence or elsewhere, and that the recipient’s country may have different data privacy laws and protections than your country. You understand that you may request a list with the names and addresses of any potential recipients of the Data by contacting your local Human Resources representative. You authorize the recipients to receive, possess, use, retain and transfer the Data, in electronic or other form, for the purposes of implementing, administering and managing your participation in the Plan, including any requisite transfer of such Data as may be required to a broker or other third party.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You understand, however, that refusing or withdrawing your consent may affect your ability to participate in the Plan. For more information on the consequences of refusal to consent or withdrawal of consent, you understand that you may contact your local Human Resources representative.</w:t>
      </w:r>
    </w:p>
    <w:p>
      <w:pPr>
        <w:spacing w:after="0" w:line="205" w:lineRule="exact"/>
        <w:rPr>
          <w:sz w:val="20"/>
          <w:szCs w:val="20"/>
          <w:color w:val="auto"/>
        </w:rPr>
      </w:pPr>
    </w:p>
    <w:p>
      <w:pPr>
        <w:jc w:val="both"/>
        <w:ind w:firstLine="422"/>
        <w:spacing w:after="0" w:line="269" w:lineRule="auto"/>
        <w:tabs>
          <w:tab w:leader="none" w:pos="702"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governed by and construed and enforced in accordance with the applicable laws of the United States of America and the law (other than the law governing conflict of law questions) of the State of Delaware except to the extent the laws of any other jurisdiction are mandatorily applicable.</w:t>
      </w:r>
    </w:p>
    <w:p>
      <w:pPr>
        <w:spacing w:after="0" w:line="190" w:lineRule="exact"/>
        <w:rPr>
          <w:rFonts w:ascii="Times New Roman" w:cs="Times New Roman" w:eastAsia="Times New Roman" w:hAnsi="Times New Roman"/>
          <w:sz w:val="17"/>
          <w:szCs w:val="17"/>
          <w:color w:val="auto"/>
        </w:rPr>
      </w:pPr>
    </w:p>
    <w:p>
      <w:pPr>
        <w:jc w:val="both"/>
        <w:ind w:firstLine="422"/>
        <w:spacing w:after="0" w:line="259" w:lineRule="auto"/>
        <w:tabs>
          <w:tab w:leader="none" w:pos="702"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and Termination of the RSUs; Waiver</w:t>
      </w:r>
      <w:r>
        <w:rPr>
          <w:rFonts w:ascii="Times New Roman" w:cs="Times New Roman" w:eastAsia="Times New Roman" w:hAnsi="Times New Roman"/>
          <w:sz w:val="17"/>
          <w:szCs w:val="17"/>
          <w:color w:val="auto"/>
        </w:rPr>
        <w:t>. The RSUs and the dividend equivalents with respect to the RSUs awarded hereunder may be amended or terminated by the Company with or without your consent, as permitted by Section 11 of the Plan. Except as otherwise set forth in Section 11 of the Plan, any waiver, alteration, amendment, or modification of any of the terms of this Agreement shall be valid only if made in writing and signed by the parties hereto; provided, however,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98" w:lineRule="exact"/>
        <w:rPr>
          <w:rFonts w:ascii="Times New Roman" w:cs="Times New Roman" w:eastAsia="Times New Roman" w:hAnsi="Times New Roman"/>
          <w:sz w:val="17"/>
          <w:szCs w:val="17"/>
          <w:color w:val="auto"/>
        </w:rPr>
      </w:pPr>
    </w:p>
    <w:p>
      <w:pPr>
        <w:jc w:val="both"/>
        <w:ind w:firstLine="422"/>
        <w:spacing w:after="0" w:line="269" w:lineRule="auto"/>
        <w:tabs>
          <w:tab w:leader="none" w:pos="676"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Imposition of Other Requirements</w:t>
      </w:r>
      <w:r>
        <w:rPr>
          <w:rFonts w:ascii="Times New Roman" w:cs="Times New Roman" w:eastAsia="Times New Roman" w:hAnsi="Times New Roman"/>
          <w:sz w:val="17"/>
          <w:szCs w:val="17"/>
          <w:color w:val="auto"/>
        </w:rPr>
        <w:t>. The Company reserves the right to impose other requirements on your participation in the Plan, on the RSUs,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90" w:lineRule="exact"/>
        <w:rPr>
          <w:rFonts w:ascii="Times New Roman" w:cs="Times New Roman" w:eastAsia="Times New Roman" w:hAnsi="Times New Roman"/>
          <w:sz w:val="17"/>
          <w:szCs w:val="17"/>
          <w:color w:val="auto"/>
        </w:rPr>
      </w:pPr>
    </w:p>
    <w:p>
      <w:pPr>
        <w:ind w:left="680" w:hanging="258"/>
        <w:spacing w:after="0"/>
        <w:tabs>
          <w:tab w:leader="none" w:pos="6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Binding Effect</w:t>
      </w:r>
      <w:r>
        <w:rPr>
          <w:rFonts w:ascii="Times New Roman" w:cs="Times New Roman" w:eastAsia="Times New Roman" w:hAnsi="Times New Roman"/>
          <w:sz w:val="17"/>
          <w:szCs w:val="17"/>
          <w:color w:val="auto"/>
        </w:rPr>
        <w:t>. This Agreement shall be binding upon the heirs, executors, administrators, and successors of the parties hereto.</w:t>
      </w:r>
    </w:p>
    <w:p>
      <w:pPr>
        <w:spacing w:after="0" w:line="241" w:lineRule="exact"/>
        <w:rPr>
          <w:rFonts w:ascii="Times New Roman" w:cs="Times New Roman" w:eastAsia="Times New Roman" w:hAnsi="Times New Roman"/>
          <w:sz w:val="17"/>
          <w:szCs w:val="17"/>
          <w:color w:val="auto"/>
        </w:rPr>
      </w:pPr>
    </w:p>
    <w:p>
      <w:pPr>
        <w:jc w:val="both"/>
        <w:ind w:firstLine="422"/>
        <w:spacing w:after="0" w:line="269" w:lineRule="auto"/>
        <w:tabs>
          <w:tab w:leader="none" w:pos="676"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Electronic Delivery and Acceptance</w:t>
      </w:r>
      <w:r>
        <w:rPr>
          <w:rFonts w:ascii="Times New Roman" w:cs="Times New Roman" w:eastAsia="Times New Roman" w:hAnsi="Times New Roman"/>
          <w:sz w:val="17"/>
          <w:szCs w:val="17"/>
          <w:color w:val="auto"/>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90" w:lineRule="exact"/>
        <w:rPr>
          <w:rFonts w:ascii="Times New Roman" w:cs="Times New Roman" w:eastAsia="Times New Roman" w:hAnsi="Times New Roman"/>
          <w:sz w:val="17"/>
          <w:szCs w:val="17"/>
          <w:color w:val="auto"/>
        </w:rPr>
      </w:pPr>
    </w:p>
    <w:p>
      <w:pPr>
        <w:ind w:firstLine="422"/>
        <w:spacing w:after="0" w:line="285" w:lineRule="auto"/>
        <w:tabs>
          <w:tab w:leader="none" w:pos="676"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the Grant Notice, and the Plan constitute the entire agreement of the parties hereto in respect of the subject matter contained herein and supersede all prior agreements and understandings of the parties, oral and written, with respect to such subject matter.</w:t>
      </w:r>
    </w:p>
    <w:p>
      <w:pPr>
        <w:sectPr>
          <w:pgSz w:w="11900" w:h="16838" w:orient="portrait"/>
          <w:cols w:equalWidth="0" w:num="1">
            <w:col w:w="11240"/>
          </w:cols>
          <w:pgMar w:left="320" w:top="894" w:right="339" w:bottom="1440" w:gutter="0" w:footer="0" w:header="0"/>
        </w:sectPr>
      </w:pPr>
    </w:p>
    <w:bookmarkStart w:id="52" w:name="page53"/>
    <w:bookmarkEnd w:id="52"/>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856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American Tower Corporation</w:t>
            </w:r>
          </w:p>
        </w:tc>
        <w:tc>
          <w:tcPr>
            <w:tcW w:w="2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American Tower Corporation</w:t>
            </w:r>
          </w:p>
        </w:tc>
        <w:tc>
          <w:tcPr>
            <w:tcW w:w="0" w:type="dxa"/>
            <w:vAlign w:val="bottom"/>
          </w:tcPr>
          <w:p>
            <w:pPr>
              <w:spacing w:after="0"/>
              <w:rPr>
                <w:sz w:val="1"/>
                <w:szCs w:val="1"/>
                <w:color w:val="auto"/>
              </w:rPr>
            </w:pPr>
          </w:p>
        </w:tc>
      </w:tr>
      <w:tr>
        <w:trPr>
          <w:trHeight w:val="171"/>
        </w:trPr>
        <w:tc>
          <w:tcPr>
            <w:tcW w:w="8560" w:type="dxa"/>
            <w:vAlign w:val="bottom"/>
            <w:tcBorders>
              <w:left w:val="single" w:sz="8" w:color="auto"/>
              <w:right w:val="single" w:sz="8" w:color="auto"/>
            </w:tcBorders>
            <w:vMerge w:val="continue"/>
          </w:tcPr>
          <w:p>
            <w:pPr>
              <w:spacing w:after="0"/>
              <w:rPr>
                <w:sz w:val="14"/>
                <w:szCs w:val="14"/>
                <w:color w:val="auto"/>
              </w:rPr>
            </w:pPr>
          </w:p>
        </w:tc>
        <w:tc>
          <w:tcPr>
            <w:tcW w:w="2700" w:type="dxa"/>
            <w:vAlign w:val="bottom"/>
            <w:tcBorders>
              <w:right w:val="single" w:sz="8" w:color="auto"/>
            </w:tcBorders>
          </w:tcPr>
          <w:p>
            <w:pPr>
              <w:ind w:left="20"/>
              <w:spacing w:after="0" w:line="171" w:lineRule="exact"/>
              <w:rPr>
                <w:sz w:val="20"/>
                <w:szCs w:val="20"/>
                <w:color w:val="auto"/>
              </w:rPr>
            </w:pPr>
            <w:r>
              <w:rPr>
                <w:rFonts w:ascii="Times New Roman" w:cs="Times New Roman" w:eastAsia="Times New Roman" w:hAnsi="Times New Roman"/>
                <w:sz w:val="17"/>
                <w:szCs w:val="17"/>
                <w:color w:val="auto"/>
              </w:rPr>
              <w:t>ID: 65-0723837</w:t>
            </w:r>
          </w:p>
        </w:tc>
        <w:tc>
          <w:tcPr>
            <w:tcW w:w="0" w:type="dxa"/>
            <w:vAlign w:val="bottom"/>
          </w:tcPr>
          <w:p>
            <w:pPr>
              <w:spacing w:after="0"/>
              <w:rPr>
                <w:sz w:val="1"/>
                <w:szCs w:val="1"/>
                <w:color w:val="auto"/>
              </w:rPr>
            </w:pPr>
          </w:p>
        </w:tc>
      </w:tr>
      <w:tr>
        <w:trPr>
          <w:trHeight w:val="241"/>
        </w:trPr>
        <w:tc>
          <w:tcPr>
            <w:tcW w:w="8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Notice of Grant of Performance-Based Restricted Stock Units and PSU Agreement (Executive / Performance)</w:t>
            </w:r>
          </w:p>
        </w:tc>
        <w:tc>
          <w:tcPr>
            <w:tcW w:w="2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222 Berkeley Street</w:t>
            </w:r>
          </w:p>
        </w:tc>
        <w:tc>
          <w:tcPr>
            <w:tcW w:w="0" w:type="dxa"/>
            <w:vAlign w:val="bottom"/>
          </w:tcPr>
          <w:p>
            <w:pPr>
              <w:spacing w:after="0"/>
              <w:rPr>
                <w:sz w:val="1"/>
                <w:szCs w:val="1"/>
                <w:color w:val="auto"/>
              </w:rPr>
            </w:pPr>
          </w:p>
        </w:tc>
      </w:tr>
      <w:tr>
        <w:trPr>
          <w:trHeight w:val="223"/>
        </w:trPr>
        <w:tc>
          <w:tcPr>
            <w:tcW w:w="8560" w:type="dxa"/>
            <w:vAlign w:val="bottom"/>
            <w:tcBorders>
              <w:left w:val="single" w:sz="8" w:color="auto"/>
              <w:right w:val="single" w:sz="8" w:color="auto"/>
            </w:tcBorders>
          </w:tcPr>
          <w:p>
            <w:pPr>
              <w:spacing w:after="0"/>
              <w:rPr>
                <w:sz w:val="19"/>
                <w:szCs w:val="19"/>
                <w:color w:val="auto"/>
              </w:rPr>
            </w:pPr>
          </w:p>
        </w:tc>
        <w:tc>
          <w:tcPr>
            <w:tcW w:w="2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Boston, MA 02116</w:t>
            </w:r>
          </w:p>
        </w:tc>
        <w:tc>
          <w:tcPr>
            <w:tcW w:w="0" w:type="dxa"/>
            <w:vAlign w:val="bottom"/>
          </w:tcPr>
          <w:p>
            <w:pPr>
              <w:spacing w:after="0"/>
              <w:rPr>
                <w:sz w:val="1"/>
                <w:szCs w:val="1"/>
                <w:color w:val="auto"/>
              </w:rPr>
            </w:pPr>
          </w:p>
        </w:tc>
      </w:tr>
      <w:tr>
        <w:trPr>
          <w:trHeight w:val="25"/>
        </w:trPr>
        <w:tc>
          <w:tcPr>
            <w:tcW w:w="856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Administrator</w:t>
            </w:r>
          </w:p>
        </w:tc>
        <w:tc>
          <w:tcPr>
            <w:tcW w:w="2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Participant Name:</w:t>
            </w:r>
          </w:p>
        </w:tc>
        <w:tc>
          <w:tcPr>
            <w:tcW w:w="0" w:type="dxa"/>
            <w:vAlign w:val="bottom"/>
          </w:tcPr>
          <w:p>
            <w:pPr>
              <w:spacing w:after="0"/>
              <w:rPr>
                <w:sz w:val="1"/>
                <w:szCs w:val="1"/>
                <w:color w:val="auto"/>
              </w:rPr>
            </w:pPr>
          </w:p>
        </w:tc>
      </w:tr>
      <w:tr>
        <w:trPr>
          <w:trHeight w:val="206"/>
        </w:trPr>
        <w:tc>
          <w:tcPr>
            <w:tcW w:w="8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222 Berkeley Street</w:t>
            </w:r>
          </w:p>
        </w:tc>
        <w:tc>
          <w:tcPr>
            <w:tcW w:w="2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PSU Number:</w:t>
            </w:r>
          </w:p>
        </w:tc>
        <w:tc>
          <w:tcPr>
            <w:tcW w:w="0" w:type="dxa"/>
            <w:vAlign w:val="bottom"/>
          </w:tcPr>
          <w:p>
            <w:pPr>
              <w:spacing w:after="0"/>
              <w:rPr>
                <w:sz w:val="1"/>
                <w:szCs w:val="1"/>
                <w:color w:val="auto"/>
              </w:rPr>
            </w:pPr>
          </w:p>
        </w:tc>
      </w:tr>
      <w:tr>
        <w:trPr>
          <w:trHeight w:val="210"/>
        </w:trPr>
        <w:tc>
          <w:tcPr>
            <w:tcW w:w="8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Boston MA United States 02116</w:t>
            </w:r>
          </w:p>
        </w:tc>
        <w:tc>
          <w:tcPr>
            <w:tcW w:w="2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Plan:</w:t>
            </w:r>
          </w:p>
        </w:tc>
        <w:tc>
          <w:tcPr>
            <w:tcW w:w="0" w:type="dxa"/>
            <w:vAlign w:val="bottom"/>
          </w:tcPr>
          <w:p>
            <w:pPr>
              <w:spacing w:after="0"/>
              <w:rPr>
                <w:sz w:val="1"/>
                <w:szCs w:val="1"/>
                <w:color w:val="auto"/>
              </w:rPr>
            </w:pPr>
          </w:p>
        </w:tc>
      </w:tr>
      <w:tr>
        <w:trPr>
          <w:trHeight w:val="223"/>
        </w:trPr>
        <w:tc>
          <w:tcPr>
            <w:tcW w:w="8560" w:type="dxa"/>
            <w:vAlign w:val="bottom"/>
            <w:tcBorders>
              <w:left w:val="single" w:sz="8" w:color="auto"/>
              <w:right w:val="single" w:sz="8" w:color="auto"/>
            </w:tcBorders>
          </w:tcPr>
          <w:p>
            <w:pPr>
              <w:spacing w:after="0"/>
              <w:rPr>
                <w:sz w:val="19"/>
                <w:szCs w:val="19"/>
                <w:color w:val="auto"/>
              </w:rPr>
            </w:pPr>
          </w:p>
        </w:tc>
        <w:tc>
          <w:tcPr>
            <w:tcW w:w="2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ID:</w:t>
            </w:r>
          </w:p>
        </w:tc>
        <w:tc>
          <w:tcPr>
            <w:tcW w:w="0" w:type="dxa"/>
            <w:vAlign w:val="bottom"/>
          </w:tcPr>
          <w:p>
            <w:pPr>
              <w:spacing w:after="0"/>
              <w:rPr>
                <w:sz w:val="1"/>
                <w:szCs w:val="1"/>
                <w:color w:val="auto"/>
              </w:rPr>
            </w:pPr>
          </w:p>
        </w:tc>
      </w:tr>
      <w:tr>
        <w:trPr>
          <w:trHeight w:val="25"/>
        </w:trPr>
        <w:tc>
          <w:tcPr>
            <w:tcW w:w="856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7"/>
          <w:szCs w:val="17"/>
          <w:color w:val="auto"/>
        </w:rPr>
        <w:t>American Tower Corporation, a Delaware corporation (the “Company”), pursuant to its 2026 Equity Incentive Plan, as it may be amended and restated from time to time (the “Plan”), hereby grants to the Participant named above (“you”) an award of performance-based restricted stock units (the “PSUs”) representing the right to receive a number of shares of Common Stock, par value $0.01 per share of the Company equal to, higher than or lower than (including zero) the number of PSUs subject to your Target Award (as set forth below) on the terms of this Notice of Grant of Performance-Based Restricted Stock Units (the “Grant Notice”) and the PSU Agreement (the “Agreement”), subject to your acceptance of, and compliance with, the terms and conditions of the Agreement and the Plan. Capitalized terms used and not otherwise defined in this Grant Notice have the meanings given to them in the Plan.</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Date of Grant:</w:t>
            </w:r>
          </w:p>
        </w:tc>
        <w:tc>
          <w:tcPr>
            <w:tcW w:w="328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________________________</w:t>
            </w:r>
          </w:p>
        </w:tc>
        <w:tc>
          <w:tcPr>
            <w:tcW w:w="4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20____</w:t>
            </w:r>
          </w:p>
        </w:tc>
      </w:tr>
      <w:tr>
        <w:trPr>
          <w:trHeight w:val="257"/>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Performance Period:</w:t>
            </w:r>
          </w:p>
        </w:tc>
        <w:tc>
          <w:tcPr>
            <w:tcW w:w="328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January 1, 20 __</w:t>
            </w:r>
          </w:p>
        </w:tc>
        <w:tc>
          <w:tcPr>
            <w:tcW w:w="4300" w:type="dxa"/>
            <w:vAlign w:val="bottom"/>
          </w:tcPr>
          <w:p>
            <w:pPr>
              <w:jc w:val="right"/>
              <w:ind w:right="2194"/>
              <w:spacing w:after="0"/>
              <w:rPr>
                <w:sz w:val="20"/>
                <w:szCs w:val="20"/>
                <w:color w:val="auto"/>
              </w:rPr>
            </w:pPr>
            <w:r>
              <w:rPr>
                <w:rFonts w:ascii="Times New Roman" w:cs="Times New Roman" w:eastAsia="Times New Roman" w:hAnsi="Times New Roman"/>
                <w:sz w:val="17"/>
                <w:szCs w:val="17"/>
                <w:color w:val="auto"/>
              </w:rPr>
              <w:t>to December 31, 20__</w:t>
            </w:r>
          </w:p>
        </w:tc>
      </w:tr>
      <w:tr>
        <w:trPr>
          <w:trHeight w:val="231"/>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Target Award:</w:t>
            </w:r>
          </w:p>
        </w:tc>
        <w:tc>
          <w:tcPr>
            <w:tcW w:w="328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231"/>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Scheduled Vesting Date:</w:t>
            </w:r>
          </w:p>
        </w:tc>
        <w:tc>
          <w:tcPr>
            <w:tcW w:w="3280" w:type="dxa"/>
            <w:vAlign w:val="bottom"/>
          </w:tcPr>
          <w:p>
            <w:pPr>
              <w:spacing w:after="0"/>
              <w:rPr>
                <w:sz w:val="20"/>
                <w:szCs w:val="20"/>
                <w:color w:val="auto"/>
              </w:rPr>
            </w:pPr>
          </w:p>
        </w:tc>
        <w:tc>
          <w:tcPr>
            <w:tcW w:w="4300" w:type="dxa"/>
            <w:vAlign w:val="bottom"/>
          </w:tcPr>
          <w:p>
            <w:pPr>
              <w:spacing w:after="0"/>
              <w:rPr>
                <w:sz w:val="20"/>
                <w:szCs w:val="20"/>
                <w:color w:val="auto"/>
              </w:rPr>
            </w:pPr>
          </w:p>
        </w:tc>
      </w:tr>
    </w:tbl>
    <w:p>
      <w:pPr>
        <w:spacing w:after="0" w:line="6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7"/>
          <w:szCs w:val="17"/>
          <w:color w:val="auto"/>
        </w:rPr>
        <w:t xml:space="preserve">A number of PSUs (which number could be zero) will vest and any underlying shares will become issuable on the third anniversary of the Date of Grant (the “Scheduled Vesting Date”), subject to the terms of the Agreement, including but not limited to Section 6 (Termination of Employment; Change in Control) and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and the terms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327025</wp:posOffset>
            </wp:positionV>
            <wp:extent cx="71386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9460" w:val="left"/>
        </w:tabs>
        <w:rPr>
          <w:sz w:val="20"/>
          <w:szCs w:val="20"/>
          <w:color w:val="auto"/>
        </w:rPr>
      </w:pPr>
      <w:r>
        <w:rPr>
          <w:rFonts w:ascii="Times New Roman" w:cs="Times New Roman" w:eastAsia="Times New Roman" w:hAnsi="Times New Roman"/>
          <w:sz w:val="17"/>
          <w:szCs w:val="17"/>
          <w:color w:val="auto"/>
        </w:rPr>
        <w:t>American Tower Corporation</w:t>
      </w:r>
      <w:r>
        <w:rPr>
          <w:sz w:val="20"/>
          <w:szCs w:val="20"/>
          <w:color w:val="auto"/>
        </w:rPr>
        <w:tab/>
      </w:r>
      <w:r>
        <w:rPr>
          <w:rFonts w:ascii="Times New Roman" w:cs="Times New Roman" w:eastAsia="Times New Roman" w:hAnsi="Times New Roman"/>
          <w:sz w:val="17"/>
          <w:szCs w:val="17"/>
          <w:color w:val="auto"/>
        </w:rPr>
        <w:t>Date</w:t>
      </w:r>
    </w:p>
    <w:p>
      <w:pPr>
        <w:spacing w:after="0" w:line="100"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7"/>
          <w:szCs w:val="17"/>
          <w:color w:val="auto"/>
        </w:rPr>
        <w:t>By your signature below, you acknowledge receipt of the Agreement and the Plan, and, as an express condition to the grant of PSUs hereunder, agree to be bound by the terms of the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319405</wp:posOffset>
            </wp:positionV>
            <wp:extent cx="71386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8040" w:val="left"/>
        </w:tabs>
        <w:rPr>
          <w:sz w:val="20"/>
          <w:szCs w:val="20"/>
          <w:color w:val="auto"/>
        </w:rPr>
      </w:pPr>
      <w:r>
        <w:rPr>
          <w:rFonts w:ascii="Times New Roman" w:cs="Times New Roman" w:eastAsia="Times New Roman" w:hAnsi="Times New Roman"/>
          <w:sz w:val="17"/>
          <w:szCs w:val="17"/>
          <w:color w:val="auto"/>
        </w:rPr>
        <w:t>Participant</w:t>
      </w:r>
      <w:r>
        <w:rPr>
          <w:sz w:val="20"/>
          <w:szCs w:val="20"/>
          <w:color w:val="auto"/>
        </w:rPr>
        <w:tab/>
      </w:r>
      <w:r>
        <w:rPr>
          <w:rFonts w:ascii="Times New Roman" w:cs="Times New Roman" w:eastAsia="Times New Roman" w:hAnsi="Times New Roman"/>
          <w:sz w:val="17"/>
          <w:szCs w:val="17"/>
          <w:color w:val="auto"/>
        </w:rPr>
        <w:t>Date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Alternative (for electronic award administration)</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Participant’s Online Acceptance is required through E*TRADE</w:t>
      </w:r>
    </w:p>
    <w:p>
      <w:pPr>
        <w:spacing w:after="0" w:line="24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7"/>
          <w:szCs w:val="17"/>
          <w:color w:val="auto"/>
        </w:rPr>
        <w:t>I understand that I must accept this grant online through my E*TRADE account. By doing so I acknowledge receipt of the Agreement and the Plan, and, as an express condition to the grant of PSUs hereunder, agree to be bound by the terms of the Agreement and the Plan, and I intend that by clicking the “Accept” button for this grant package to have the same force in all respects as my handwritten signature.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w:t>
      </w:r>
    </w:p>
    <w:p>
      <w:pPr>
        <w:sectPr>
          <w:pgSz w:w="11900" w:h="16838" w:orient="portrait"/>
          <w:cols w:equalWidth="0" w:num="1">
            <w:col w:w="11260"/>
          </w:cols>
          <w:pgMar w:left="320" w:top="119" w:right="31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Terms of Performance-Based Restricted Stock Units</w:t>
      </w:r>
    </w:p>
    <w:p>
      <w:pPr>
        <w:spacing w:after="0" w:line="247" w:lineRule="exact"/>
        <w:rPr>
          <w:sz w:val="20"/>
          <w:szCs w:val="20"/>
          <w:color w:val="auto"/>
        </w:rPr>
      </w:pPr>
    </w:p>
    <w:p>
      <w:pPr>
        <w:jc w:val="both"/>
        <w:ind w:firstLine="420"/>
        <w:spacing w:after="0" w:line="263" w:lineRule="auto"/>
        <w:rPr>
          <w:sz w:val="20"/>
          <w:szCs w:val="20"/>
          <w:color w:val="auto"/>
        </w:rPr>
      </w:pPr>
      <w:r>
        <w:rPr>
          <w:rFonts w:ascii="Times New Roman" w:cs="Times New Roman" w:eastAsia="Times New Roman" w:hAnsi="Times New Roman"/>
          <w:sz w:val="17"/>
          <w:szCs w:val="17"/>
          <w:color w:val="auto"/>
        </w:rPr>
        <w:t>Pursuant to the Notice of Grant of Performance-Based Restricted Stock Units delivered to you (the “Grant Notice”), and subject to the terms of this PSU Agreement (the “Agreement”) and the American Tower Corporation 2026 Equity Incentive Plan, as it may be amended and restated from time to time (the “Plan”), you and the Company agree as follows. Capitalized terms used and not otherwise defined in this Agreement have the meanings given to them in the Plan or the Grant Notice, as applicable.</w:t>
      </w:r>
    </w:p>
    <w:p>
      <w:pPr>
        <w:spacing w:after="0" w:line="197" w:lineRule="exact"/>
        <w:rPr>
          <w:sz w:val="20"/>
          <w:szCs w:val="20"/>
          <w:color w:val="auto"/>
        </w:rPr>
      </w:pPr>
    </w:p>
    <w:p>
      <w:pPr>
        <w:jc w:val="both"/>
        <w:ind w:firstLine="422"/>
        <w:spacing w:after="0" w:line="260" w:lineRule="auto"/>
        <w:tabs>
          <w:tab w:leader="none" w:pos="604"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Plan Incorporated by Reference</w:t>
      </w:r>
      <w:r>
        <w:rPr>
          <w:rFonts w:ascii="Times New Roman" w:cs="Times New Roman" w:eastAsia="Times New Roman" w:hAnsi="Times New Roman"/>
          <w:sz w:val="17"/>
          <w:szCs w:val="17"/>
          <w:color w:val="auto"/>
        </w:rPr>
        <w:t>. The provisions of the Plan are incorporated into and made a part of this Agreement by this reference. The Committee administers the Plan, and its determinations regarding the interpretation and operation of the Plan and this Agreement are final and binding. The Board may in its sole discretion at any time terminate or from time to time modify and amend the Plan as provided therein. You may obtain a copy of the Plan without charge upon request to the Company’s Human Resources Department. In the event of a conflict or inconsistency between the terms and/or provisions of the Plan and the terms and/or provisions of this Agreement (including the Grant Notice), this Agreement shall govern and control.</w:t>
      </w:r>
    </w:p>
    <w:p>
      <w:pPr>
        <w:spacing w:after="0" w:line="200" w:lineRule="exact"/>
        <w:rPr>
          <w:rFonts w:ascii="Times New Roman" w:cs="Times New Roman" w:eastAsia="Times New Roman" w:hAnsi="Times New Roman"/>
          <w:sz w:val="17"/>
          <w:szCs w:val="17"/>
          <w:color w:val="auto"/>
        </w:rPr>
      </w:pPr>
    </w:p>
    <w:p>
      <w:pPr>
        <w:jc w:val="both"/>
        <w:ind w:firstLine="422"/>
        <w:spacing w:after="0" w:line="269" w:lineRule="auto"/>
        <w:tabs>
          <w:tab w:leader="none" w:pos="591"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Award</w:t>
      </w:r>
      <w:r>
        <w:rPr>
          <w:rFonts w:ascii="Times New Roman" w:cs="Times New Roman" w:eastAsia="Times New Roman" w:hAnsi="Times New Roman"/>
          <w:sz w:val="17"/>
          <w:szCs w:val="17"/>
          <w:color w:val="auto"/>
        </w:rPr>
        <w:t xml:space="preserve">. The Company has granted to you a Target Award of PSUs, subject to the terms of this Agreement, including but not limited to </w:t>
      </w:r>
      <w:r>
        <w:rPr>
          <w:rFonts w:ascii="Times New Roman" w:cs="Times New Roman" w:eastAsia="Times New Roman" w:hAnsi="Times New Roman"/>
          <w:sz w:val="17"/>
          <w:szCs w:val="17"/>
          <w:u w:val="single" w:color="auto"/>
          <w:color w:val="auto"/>
        </w:rPr>
        <w:t>Appendix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and the terms of the Plan. Each PSU represents an unfunded, unsecured right to receive one share of Common Stock upon vesting and settlement in accordance with the terms of this Agreement.</w:t>
      </w:r>
    </w:p>
    <w:p>
      <w:pPr>
        <w:spacing w:after="0" w:line="190" w:lineRule="exact"/>
        <w:rPr>
          <w:rFonts w:ascii="Times New Roman" w:cs="Times New Roman" w:eastAsia="Times New Roman" w:hAnsi="Times New Roman"/>
          <w:sz w:val="17"/>
          <w:szCs w:val="17"/>
          <w:color w:val="auto"/>
        </w:rPr>
      </w:pPr>
    </w:p>
    <w:p>
      <w:pPr>
        <w:ind w:left="600" w:hanging="178"/>
        <w:spacing w:after="0"/>
        <w:tabs>
          <w:tab w:leader="none" w:pos="6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of PSUs</w:t>
      </w:r>
      <w:r>
        <w:rPr>
          <w:rFonts w:ascii="Times New Roman" w:cs="Times New Roman" w:eastAsia="Times New Roman" w:hAnsi="Times New Roman"/>
          <w:sz w:val="17"/>
          <w:szCs w:val="17"/>
          <w:color w:val="auto"/>
        </w:rPr>
        <w:t>.</w:t>
      </w:r>
    </w:p>
    <w:p>
      <w:pPr>
        <w:spacing w:after="0" w:line="241" w:lineRule="exact"/>
        <w:rPr>
          <w:rFonts w:ascii="Times New Roman" w:cs="Times New Roman" w:eastAsia="Times New Roman" w:hAnsi="Times New Roman"/>
          <w:sz w:val="17"/>
          <w:szCs w:val="17"/>
          <w:color w:val="auto"/>
        </w:rPr>
      </w:pPr>
    </w:p>
    <w:p>
      <w:pPr>
        <w:jc w:val="both"/>
        <w:ind w:firstLine="1005"/>
        <w:spacing w:after="0" w:line="254" w:lineRule="auto"/>
        <w:tabs>
          <w:tab w:leader="none" w:pos="1223"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Section 6 of this Agreement and the other terms hereof, and provided you are employed by the Company Group on the Scheduled Vesting Date, the number of PSUs which will vest on the Scheduled Vesting Date will be determined based on the Company’s achievement of Threshold, Target or Maximum levels (“Performance Goals”) of Adjusted Funds From Operations per share (“AFFO per Share”), Return on Invested Capital (“ROIC”) and Relative Total Shareholder Return (“Relative TSR”), each as selected and defined by the Committee on the Date of Grant (collectively, the “Metrics”), in respect of the Performance Period and the weighting given to each Metric as set forth in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hereto. The Committee will determine the level of the Company’s achievement against the Performance Goals at a reasonably practicable time following the end of the Performance Period, but in no case later than the Scheduled Vesting Date. For each Metric, should the Company fail to achieve at least Threshold, zero percent (0%) of the applicable portion of the Target Award shall vest. For each Metric, should the Company achieve: (x) Threshold, fifty percent (50%) of the applicable portion of the Target Award shall vest, (y) Target, one hundred percent (100%) of the applicable portion of the Target Award shall vest, and (z) Maximum (or greater), two hundred percent (200%) of the applicable portion of the Target Award shall vest, provided that all other vesting conditions have been met. For each Metric, should the Company achieve a performance level that falls between the Performance Goals, the applicable portion of the Target Award that shall vest will be determined using straight-line interpolation. In respect of the portion of the Target Award relating to the Relative TSR Metric, vesting will be capped at the Target Award if the Company’s Total Shareholder Return (as defined by the Committee on the Date of Grant ) is negative during the Performance Period. Any PSUs that are determined not to vest on the Scheduled Vesting Date will be forfeited and canceled for no value.</w:t>
      </w:r>
    </w:p>
    <w:p>
      <w:pPr>
        <w:spacing w:after="0" w:line="212" w:lineRule="exact"/>
        <w:rPr>
          <w:rFonts w:ascii="Times New Roman" w:cs="Times New Roman" w:eastAsia="Times New Roman" w:hAnsi="Times New Roman"/>
          <w:sz w:val="17"/>
          <w:szCs w:val="17"/>
          <w:color w:val="auto"/>
        </w:rPr>
      </w:pPr>
    </w:p>
    <w:p>
      <w:pPr>
        <w:ind w:firstLine="1005"/>
        <w:spacing w:after="0" w:line="285" w:lineRule="auto"/>
        <w:tabs>
          <w:tab w:leader="none" w:pos="1258"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Section 3(i), in the event of a Change in Control during the Performance Period, the number of PSUs that will be eligible to vest on the Scheduled Vesting Date pursuant to the terms of this Agreement will be equal to the Target Award.</w:t>
      </w:r>
    </w:p>
    <w:p>
      <w:pPr>
        <w:spacing w:after="0" w:line="178" w:lineRule="exact"/>
        <w:rPr>
          <w:rFonts w:ascii="Times New Roman" w:cs="Times New Roman" w:eastAsia="Times New Roman" w:hAnsi="Times New Roman"/>
          <w:sz w:val="17"/>
          <w:szCs w:val="17"/>
          <w:color w:val="auto"/>
        </w:rPr>
      </w:pPr>
    </w:p>
    <w:p>
      <w:pPr>
        <w:jc w:val="both"/>
        <w:ind w:firstLine="422"/>
        <w:spacing w:after="0" w:line="269" w:lineRule="auto"/>
        <w:tabs>
          <w:tab w:leader="none" w:pos="591"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 of Vested PSUs</w:t>
      </w:r>
      <w:r>
        <w:rPr>
          <w:rFonts w:ascii="Times New Roman" w:cs="Times New Roman" w:eastAsia="Times New Roman" w:hAnsi="Times New Roman"/>
          <w:sz w:val="17"/>
          <w:szCs w:val="17"/>
          <w:color w:val="auto"/>
        </w:rPr>
        <w:t>. Subject to Sections 6 and 7 of this Agreement, the Company will deliver to you or your legal representative, without charge, as soon as reasonably practicable (and, in any event, within sixty (60) days after the Scheduled Vesting Date), one share of Common Stock for each PSU which becomes vested hereunder and such PSU shall be canceled upon such delivery.</w:t>
      </w:r>
    </w:p>
    <w:p>
      <w:pPr>
        <w:spacing w:after="0" w:line="190" w:lineRule="exact"/>
        <w:rPr>
          <w:rFonts w:ascii="Times New Roman" w:cs="Times New Roman" w:eastAsia="Times New Roman" w:hAnsi="Times New Roman"/>
          <w:sz w:val="17"/>
          <w:szCs w:val="17"/>
          <w:color w:val="auto"/>
        </w:rPr>
      </w:pPr>
    </w:p>
    <w:p>
      <w:pPr>
        <w:jc w:val="both"/>
        <w:ind w:firstLine="422"/>
        <w:spacing w:after="0" w:line="269" w:lineRule="auto"/>
        <w:tabs>
          <w:tab w:leader="none" w:pos="604"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 Equivalents</w:t>
      </w:r>
      <w:r>
        <w:rPr>
          <w:rFonts w:ascii="Times New Roman" w:cs="Times New Roman" w:eastAsia="Times New Roman" w:hAnsi="Times New Roman"/>
          <w:sz w:val="17"/>
          <w:szCs w:val="17"/>
          <w:color w:val="auto"/>
        </w:rPr>
        <w:t>. At the time the Company delivers shares of Common Stock in respect of your vested PSUs under Section 4 or Section 6 of this Agreement, as applicable, the Company will also pay you a lump sum cash amount equal to the cash dividends you would have received had you held such number of shares of Common</w:t>
      </w:r>
    </w:p>
    <w:p>
      <w:pPr>
        <w:sectPr>
          <w:pgSz w:w="11900" w:h="16838" w:orient="portrait"/>
          <w:cols w:equalWidth="0" w:num="1">
            <w:col w:w="11240"/>
          </w:cols>
          <w:pgMar w:left="320" w:top="888" w:right="339" w:bottom="1440" w:gutter="0" w:footer="0" w:header="0"/>
        </w:sectPr>
      </w:pPr>
    </w:p>
    <w:bookmarkStart w:id="54" w:name="page55"/>
    <w:bookmarkEnd w:id="54"/>
    <w:p>
      <w:pPr>
        <w:spacing w:after="0" w:line="285" w:lineRule="auto"/>
        <w:rPr>
          <w:sz w:val="20"/>
          <w:szCs w:val="20"/>
          <w:color w:val="auto"/>
        </w:rPr>
      </w:pPr>
      <w:r>
        <w:rPr>
          <w:rFonts w:ascii="Times New Roman" w:cs="Times New Roman" w:eastAsia="Times New Roman" w:hAnsi="Times New Roman"/>
          <w:sz w:val="17"/>
          <w:szCs w:val="17"/>
          <w:color w:val="auto"/>
        </w:rPr>
        <w:t>Stock from the Date of Grant through the date of your receipt of such shares of Common Stock in settlement of your vested PSUs. No interest will accrue on such dividend equivalents. No dividend equivalent amounts will be paid in respect of unvested or forfeited PSUs.</w:t>
      </w:r>
    </w:p>
    <w:p>
      <w:pPr>
        <w:spacing w:after="0" w:line="178" w:lineRule="exact"/>
        <w:rPr>
          <w:sz w:val="20"/>
          <w:szCs w:val="20"/>
          <w:color w:val="auto"/>
        </w:rPr>
      </w:pPr>
    </w:p>
    <w:p>
      <w:pPr>
        <w:jc w:val="both"/>
        <w:ind w:firstLine="422"/>
        <w:spacing w:after="0" w:line="276" w:lineRule="auto"/>
        <w:tabs>
          <w:tab w:leader="none" w:pos="604"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Employment</w:t>
      </w:r>
      <w:r>
        <w:rPr>
          <w:rFonts w:ascii="Times New Roman" w:cs="Times New Roman" w:eastAsia="Times New Roman" w:hAnsi="Times New Roman"/>
          <w:sz w:val="17"/>
          <w:szCs w:val="17"/>
          <w:color w:val="auto"/>
        </w:rPr>
        <w:t>. By accepting the terms of this Agreement, you agree, notwithstanding anything to the contrary in any plan or agreement, including the American Tower Corporation Severance Plan Program for Executive Vice Presidents and Chief Executive Officers, dated as of January 1, 2024 (as</w:t>
      </w:r>
    </w:p>
    <w:p>
      <w:pPr>
        <w:jc w:val="both"/>
        <w:spacing w:after="0" w:line="269" w:lineRule="auto"/>
        <w:rPr>
          <w:sz w:val="20"/>
          <w:szCs w:val="20"/>
          <w:color w:val="auto"/>
        </w:rPr>
      </w:pPr>
      <w:r>
        <w:rPr>
          <w:rFonts w:ascii="Times New Roman" w:cs="Times New Roman" w:eastAsia="Times New Roman" w:hAnsi="Times New Roman"/>
          <w:sz w:val="17"/>
          <w:szCs w:val="17"/>
          <w:color w:val="auto"/>
        </w:rPr>
        <w:t>may be amended from time to time), under the American Tower Corporation Severance Plan, dated as of March 2, 2009, as amended and restated as of January 1, 2024, and as may be further amended from time to time (the “Severance Plan”), that the PSUs awarded under this Agreement will be treated as described in this Section 6.</w:t>
      </w:r>
    </w:p>
    <w:p>
      <w:pPr>
        <w:spacing w:after="0" w:line="191" w:lineRule="exact"/>
        <w:rPr>
          <w:sz w:val="20"/>
          <w:szCs w:val="20"/>
          <w:color w:val="auto"/>
        </w:rPr>
      </w:pPr>
    </w:p>
    <w:p>
      <w:pPr>
        <w:jc w:val="both"/>
        <w:ind w:firstLine="420"/>
        <w:spacing w:after="0" w:line="269" w:lineRule="auto"/>
        <w:rPr>
          <w:sz w:val="20"/>
          <w:szCs w:val="20"/>
          <w:color w:val="auto"/>
        </w:rPr>
      </w:pPr>
      <w:r>
        <w:rPr>
          <w:rFonts w:ascii="Times New Roman" w:cs="Times New Roman" w:eastAsia="Times New Roman" w:hAnsi="Times New Roman"/>
          <w:sz w:val="17"/>
          <w:szCs w:val="17"/>
          <w:color w:val="auto"/>
        </w:rPr>
        <w:t>6.1. Subject to Sections 6.2 and 6.3 below, upon Termination of your employment with the Company Group for any reason prior to the Scheduled Vesting Date, you will forfeit all of your PSUs awarded under this Agreement, together with any accrued dividend equivalents, as of the date of Termination and all such PSUs and accrued dividend equivalents will be canceled for no value.</w:t>
      </w:r>
    </w:p>
    <w:p>
      <w:pPr>
        <w:spacing w:after="0" w:line="191" w:lineRule="exact"/>
        <w:rPr>
          <w:sz w:val="20"/>
          <w:szCs w:val="20"/>
          <w:color w:val="auto"/>
        </w:rPr>
      </w:pPr>
    </w:p>
    <w:p>
      <w:pPr>
        <w:jc w:val="both"/>
        <w:ind w:firstLine="420"/>
        <w:spacing w:after="0" w:line="285" w:lineRule="auto"/>
        <w:rPr>
          <w:sz w:val="20"/>
          <w:szCs w:val="20"/>
          <w:color w:val="auto"/>
        </w:rPr>
      </w:pPr>
      <w:r>
        <w:rPr>
          <w:rFonts w:ascii="Times New Roman" w:cs="Times New Roman" w:eastAsia="Times New Roman" w:hAnsi="Times New Roman"/>
          <w:sz w:val="17"/>
          <w:szCs w:val="17"/>
          <w:color w:val="auto"/>
        </w:rPr>
        <w:t>6.2. (a) Subject to Sections 7 and 8 of this Agreement, in the event of Termination of your employment with the Company Group due to (x) Disability (as defined below) or (y) death (each, a “Separation Event”), if the date of Termination is:</w:t>
      </w:r>
    </w:p>
    <w:p>
      <w:pPr>
        <w:spacing w:after="0" w:line="178" w:lineRule="exact"/>
        <w:rPr>
          <w:sz w:val="20"/>
          <w:szCs w:val="20"/>
          <w:color w:val="auto"/>
        </w:rPr>
      </w:pPr>
    </w:p>
    <w:p>
      <w:pPr>
        <w:jc w:val="both"/>
        <w:ind w:firstLine="1366"/>
        <w:spacing w:after="0" w:line="263" w:lineRule="auto"/>
        <w:tabs>
          <w:tab w:leader="none" w:pos="1573"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within six (6) months from the Date of Grant, the number of PSUs that will vest on the Scheduled Vesting Date shall be prorated and determined by multiplying (xx) the full number of PSUs that would have vested on the Scheduled Vesting Date, as determined pursuant to Section 3(i) or 3(ii) of this Agreement, as applicable, of this Agreement, by (yy) a fraction, the numerator of which is the number of complete months during the Performance Period prior to the Separation Event and the denominator of which is thirty-six (36);</w:t>
      </w:r>
    </w:p>
    <w:p>
      <w:pPr>
        <w:spacing w:after="0" w:line="196" w:lineRule="exact"/>
        <w:rPr>
          <w:rFonts w:ascii="Times New Roman" w:cs="Times New Roman" w:eastAsia="Times New Roman" w:hAnsi="Times New Roman"/>
          <w:sz w:val="17"/>
          <w:szCs w:val="17"/>
          <w:color w:val="auto"/>
        </w:rPr>
      </w:pPr>
    </w:p>
    <w:p>
      <w:pPr>
        <w:ind w:firstLine="1366"/>
        <w:spacing w:after="0" w:line="285" w:lineRule="auto"/>
        <w:tabs>
          <w:tab w:leader="none" w:pos="1628"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date that is six (6) months from the Date of Grant, the full number of PSUs that would otherwise have vested on the Scheduled Vesting Date, as determined pursuant to Section 3(i) or 3(ii) of this Agreement, as applicable, of this Agreement, will vest on the Scheduled Vesting Date.</w:t>
      </w:r>
    </w:p>
    <w:p>
      <w:pPr>
        <w:spacing w:after="0" w:line="178" w:lineRule="exact"/>
        <w:rPr>
          <w:rFonts w:ascii="Times New Roman" w:cs="Times New Roman" w:eastAsia="Times New Roman" w:hAnsi="Times New Roman"/>
          <w:sz w:val="17"/>
          <w:szCs w:val="17"/>
          <w:color w:val="auto"/>
        </w:rPr>
      </w:pPr>
    </w:p>
    <w:p>
      <w:pPr>
        <w:jc w:val="both"/>
        <w:ind w:firstLine="774"/>
        <w:spacing w:after="0" w:line="269" w:lineRule="auto"/>
        <w:tabs>
          <w:tab w:leader="none" w:pos="1039"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Sections 7 and 8 of this Agreement, in the event of Termination of your employment with the Company Group due to a Qualified Retirement (as defined below) and you deliver the written notice of your intent to retire to the chief executive officer of the Company (“CEO”) (or in the case of the CEO, notice to the Board) on a date that is:</w:t>
      </w:r>
    </w:p>
    <w:p>
      <w:pPr>
        <w:spacing w:after="0" w:line="190" w:lineRule="exact"/>
        <w:rPr>
          <w:rFonts w:ascii="Times New Roman" w:cs="Times New Roman" w:eastAsia="Times New Roman" w:hAnsi="Times New Roman"/>
          <w:sz w:val="17"/>
          <w:szCs w:val="17"/>
          <w:color w:val="auto"/>
        </w:rPr>
      </w:pPr>
    </w:p>
    <w:p>
      <w:pPr>
        <w:ind w:firstLine="1366"/>
        <w:spacing w:after="0" w:line="285" w:lineRule="auto"/>
        <w:tabs>
          <w:tab w:leader="none" w:pos="1585"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within six (6) months from the Date of Grant, you will forfeit all of your PSUs awarded under this Agreement, together with any accrued dividend equivalents, as of the date of Termination and all such PSUs and accrued dividend equivalents will be canceled for no value;</w:t>
      </w:r>
    </w:p>
    <w:p>
      <w:pPr>
        <w:spacing w:after="0" w:line="178" w:lineRule="exact"/>
        <w:rPr>
          <w:rFonts w:ascii="Times New Roman" w:cs="Times New Roman" w:eastAsia="Times New Roman" w:hAnsi="Times New Roman"/>
          <w:sz w:val="17"/>
          <w:szCs w:val="17"/>
          <w:color w:val="auto"/>
        </w:rPr>
      </w:pPr>
    </w:p>
    <w:p>
      <w:pPr>
        <w:jc w:val="both"/>
        <w:ind w:firstLine="1366"/>
        <w:spacing w:after="0" w:line="260" w:lineRule="auto"/>
        <w:tabs>
          <w:tab w:leader="none" w:pos="1637"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date that is six (6) months from the Date of Grant and you enter into a transition plan with the Company upon terms agreed between you and the CEO and approved by the Committee (or in the case of the CEO, between you and the Committee and approved by the Board) (“Transition Plan”) and the CEO and the Committee (or in the case of the CEO, the Board) determine that you have successfully completed such Transition Plan, the full number of PSUs that otherwise would have vested on the Scheduled Vesting Date, as determined pursuant to Section 3(i) or 3(ii) of this Agreement, as applicable, of this Agreement, will vest on the Scheduled Vesting Date;</w:t>
      </w:r>
    </w:p>
    <w:p>
      <w:pPr>
        <w:spacing w:after="0" w:line="200" w:lineRule="exact"/>
        <w:rPr>
          <w:rFonts w:ascii="Times New Roman" w:cs="Times New Roman" w:eastAsia="Times New Roman" w:hAnsi="Times New Roman"/>
          <w:sz w:val="17"/>
          <w:szCs w:val="17"/>
          <w:color w:val="auto"/>
        </w:rPr>
      </w:pPr>
    </w:p>
    <w:p>
      <w:pPr>
        <w:jc w:val="both"/>
        <w:ind w:firstLine="1366"/>
        <w:spacing w:after="0" w:line="260" w:lineRule="auto"/>
        <w:tabs>
          <w:tab w:leader="none" w:pos="1668"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date that is six (6) months from the Date of Grant and (x) you enter into a Transition Plan and the CEO and the Committee (or in the case of the CEO, the Board) determine that you have not successfully completed such Transition Plan or (y) you do not enter into a Transition Plan, the number of PSUs that will vest on the Scheduled Vesting Date shall be prorated and determined by multiplying (xx) the full number of PSUs that would otherwise have vested on the Scheduled Vesting Date, as determined pursuant to Section 3(i) or 3(ii) of this Agreement, as applicable, of this Agreement, by (yy) a fraction, the numerator of which is the number of</w:t>
      </w:r>
    </w:p>
    <w:p>
      <w:pPr>
        <w:sectPr>
          <w:pgSz w:w="11900" w:h="16838" w:orient="portrait"/>
          <w:cols w:equalWidth="0" w:num="1">
            <w:col w:w="11240"/>
          </w:cols>
          <w:pgMar w:left="320" w:top="89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color w:val="auto"/>
        </w:rPr>
        <w:t>complete months during the Performance Period prior to the date of Termination and the denominator of which is thirty-six (36).</w:t>
      </w:r>
    </w:p>
    <w:p>
      <w:pPr>
        <w:spacing w:after="0" w:line="241" w:lineRule="exact"/>
        <w:rPr>
          <w:sz w:val="20"/>
          <w:szCs w:val="20"/>
          <w:color w:val="auto"/>
        </w:rPr>
      </w:pPr>
    </w:p>
    <w:p>
      <w:pPr>
        <w:ind w:firstLine="697"/>
        <w:spacing w:after="0" w:line="285" w:lineRule="auto"/>
        <w:tabs>
          <w:tab w:leader="none" w:pos="929"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deliver to you or your legal representative the number of shares of Common Stock underlying the PSUs vesting under this Section 6.2 within sixty (60) days following the Scheduled Vesting Date.</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Subject to Sections 7 and 8 of this Agreement, in the event of Qualifying Termination (as defined below) occurring within fourteen</w:t>
      </w:r>
    </w:p>
    <w:p>
      <w:pPr>
        <w:spacing w:after="0" w:line="27" w:lineRule="exact"/>
        <w:rPr>
          <w:sz w:val="20"/>
          <w:szCs w:val="20"/>
          <w:color w:val="auto"/>
        </w:rPr>
      </w:pPr>
    </w:p>
    <w:p>
      <w:pPr>
        <w:jc w:val="both"/>
        <w:ind w:firstLine="3"/>
        <w:spacing w:after="0" w:line="254" w:lineRule="auto"/>
        <w:tabs>
          <w:tab w:leader="none" w:pos="332"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days prior to a Change in Control or two (2) years following a Change in Control, a number of PSUs determined by multiplying (a) the Target Award by (b) a fraction, the numerator of which is the number of complete months during the Performance Period prior to the Qualifying Termination and the denominator of which is thirty-six (36), will vest on the date of the Qualifying Termination; provided, however, the treatment described in this Section 6.3 is subject to, and conditioned upon, your compliance and satisfaction of the terms and conditions of the Severance Plan (including, without limitation, Section 3.1 </w:t>
      </w:r>
      <w:r>
        <w:rPr>
          <w:rFonts w:ascii="Times New Roman" w:cs="Times New Roman" w:eastAsia="Times New Roman" w:hAnsi="Times New Roman"/>
          <w:sz w:val="17"/>
          <w:szCs w:val="17"/>
          <w:i w:val="1"/>
          <w:iCs w:val="1"/>
          <w:color w:val="auto"/>
        </w:rPr>
        <w:t>Eligibility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Severance Benefits </w:t>
      </w:r>
      <w:r>
        <w:rPr>
          <w:rFonts w:ascii="Times New Roman" w:cs="Times New Roman" w:eastAsia="Times New Roman" w:hAnsi="Times New Roman"/>
          <w:sz w:val="17"/>
          <w:szCs w:val="17"/>
          <w:color w:val="auto"/>
        </w:rPr>
        <w:t>of the Severance Plan), regardless of whether you are a participant in the Severance Plan at such time. The Company will deliver to you or your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legal representative the number of shares of Common Stock underlying such vested PSUs within sixty (60) days following the Scheduled Vesting Date.</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6.4. For purposes of this Agreement:</w:t>
      </w:r>
    </w:p>
    <w:p>
      <w:pPr>
        <w:spacing w:after="0" w:line="241" w:lineRule="exact"/>
        <w:rPr>
          <w:sz w:val="20"/>
          <w:szCs w:val="20"/>
          <w:color w:val="auto"/>
        </w:rPr>
      </w:pPr>
    </w:p>
    <w:p>
      <w:pPr>
        <w:jc w:val="both"/>
        <w:ind w:firstLine="465"/>
        <w:spacing w:after="0" w:line="263" w:lineRule="auto"/>
        <w:tabs>
          <w:tab w:leader="none" w:pos="672"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“Qualified Retirement” shall mean that (a) you have a combined age and years of service with the Company Group of at least 65 years, provided further that you must (I) be at least 55 years old and (II) have a minimum of five years of service with the Company Group, (b) you experience a “separation from service” within the meaning set forth in Section 409A, and (c) you execute and do not revoke a release (which may contain non-compete, non-solicitation and non-disparagement provisions, as determined by the Committee) ; and</w:t>
      </w:r>
    </w:p>
    <w:p>
      <w:pPr>
        <w:spacing w:after="0" w:line="196" w:lineRule="exact"/>
        <w:rPr>
          <w:rFonts w:ascii="Times New Roman" w:cs="Times New Roman" w:eastAsia="Times New Roman" w:hAnsi="Times New Roman"/>
          <w:sz w:val="17"/>
          <w:szCs w:val="17"/>
          <w:color w:val="auto"/>
        </w:rPr>
      </w:pPr>
    </w:p>
    <w:p>
      <w:pPr>
        <w:jc w:val="both"/>
        <w:ind w:firstLine="465"/>
        <w:spacing w:after="0" w:line="269" w:lineRule="auto"/>
        <w:tabs>
          <w:tab w:leader="none" w:pos="727"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“Qualifying Termination” shall have the meaning set forth in the Severance Plan, regardless of whether you are a participant in the Severance Plan; provided, however, that for purposes of this Agreement, “Qualifying Termination” shall only include a Termination by you for Good Reason (as defined in the Severance Plan) if the Good Reason condition occurs within fourteen (14) days prior to, or two years following, a Change in Control.</w:t>
      </w:r>
    </w:p>
    <w:p>
      <w:pPr>
        <w:spacing w:after="0" w:line="190" w:lineRule="exact"/>
        <w:rPr>
          <w:rFonts w:ascii="Times New Roman" w:cs="Times New Roman" w:eastAsia="Times New Roman" w:hAnsi="Times New Roman"/>
          <w:sz w:val="17"/>
          <w:szCs w:val="17"/>
          <w:color w:val="auto"/>
        </w:rPr>
      </w:pPr>
    </w:p>
    <w:p>
      <w:pPr>
        <w:ind w:left="560" w:hanging="172"/>
        <w:spacing w:after="0"/>
        <w:tabs>
          <w:tab w:leader="none" w:pos="56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 Taxes</w:t>
      </w:r>
      <w:r>
        <w:rPr>
          <w:rFonts w:ascii="Times New Roman" w:cs="Times New Roman" w:eastAsia="Times New Roman" w:hAnsi="Times New Roman"/>
          <w:sz w:val="17"/>
          <w:szCs w:val="17"/>
          <w:color w:val="auto"/>
        </w:rPr>
        <w:t>. The provisions of Section 12(d) of the Plan are incorporated herein by reference and made a part hereof.</w:t>
      </w:r>
    </w:p>
    <w:p>
      <w:pPr>
        <w:spacing w:after="0" w:line="241" w:lineRule="exact"/>
        <w:rPr>
          <w:rFonts w:ascii="Times New Roman" w:cs="Times New Roman" w:eastAsia="Times New Roman" w:hAnsi="Times New Roman"/>
          <w:sz w:val="17"/>
          <w:szCs w:val="17"/>
          <w:color w:val="auto"/>
        </w:rPr>
      </w:pPr>
    </w:p>
    <w:p>
      <w:pPr>
        <w:jc w:val="both"/>
        <w:ind w:firstLine="388"/>
        <w:spacing w:after="0" w:line="254" w:lineRule="auto"/>
        <w:tabs>
          <w:tab w:leader="none" w:pos="557"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Clawback and Forfeiture Provisions</w:t>
      </w:r>
      <w:r>
        <w:rPr>
          <w:rFonts w:ascii="Times New Roman" w:cs="Times New Roman" w:eastAsia="Times New Roman" w:hAnsi="Times New Roman"/>
          <w:sz w:val="17"/>
          <w:szCs w:val="17"/>
          <w:color w:val="auto"/>
        </w:rPr>
        <w:t>. Notwithstanding any other provision of this Agreement, you shall be obligated to promptly (a) transfer to the Company any shares of Common Stock previously issued upon the vesting of PSUs and dividend equivalents and (b) pay to the Company all gains realized by any person from the disposition of any such shares, in each of (a) and (b), (I) to the extent required by applicable law or permitted by any clawback or similar policy of the Company Group, including, for the avoidance of doubt, the American Tower Corporation Compensation Recovery Policy, as amended from time to time (the “Clawback Policy”), which Clawback Policy shall apply and be deemed incorporated herein to the extent applicable, if: (II) you experience a Termination for cause (as defined below) from the Company Group or if (III) following Termination of employment for any reason, either (A) the Company determines that you engaged in conduct while an employee that would have justified Termination for cause or (B) you violate any applicable confidentiality or non-competition agreement with the Company Group. Additionally, you shall be obligated to forfeit outstanding and unvested PSUs granted pursuant to this Agreement as permitted by any clawback or similar policy of the Company Group (including the Clawback Policy). For purposes of this Section 8, Termination for cause means criminal conduct involving a felony in the U.S. or the equivalent of a felony under the laws of other countries, material violations of civil law related to your job responsibilities, fraud, dishonesty, self-dealing, breach of your obligations regarding the Company’s intellectual property, or willful misconduct that the Committee determines to be injurious to the Company, in each case, as determined by the Committee. No recovery of compensation under any clawback policy (including the Clawback Policy) will be an event giving rise to a right to a voluntary Termination of employment upon a resignation for “good reason,” or for a “constructive termination” or any similar term under any plan of or agreement with the Company. In addition to the obligations contained herein and any obligations under applicable law or any clawback or similar policy of the Company Group, including, for the avoidance of doubt, the Clawback Policy, if you receive any amount in excess of what you should have received under the terms of this Agreement for</w:t>
      </w:r>
    </w:p>
    <w:p>
      <w:pPr>
        <w:sectPr>
          <w:pgSz w:w="11900" w:h="16838" w:orient="portrait"/>
          <w:cols w:equalWidth="0" w:num="1">
            <w:col w:w="11240"/>
          </w:cols>
          <w:pgMar w:left="320" w:top="894" w:right="339" w:bottom="1440" w:gutter="0" w:footer="0" w:header="0"/>
        </w:sectPr>
      </w:pPr>
    </w:p>
    <w:bookmarkStart w:id="56" w:name="page57"/>
    <w:bookmarkEnd w:id="56"/>
    <w:p>
      <w:pPr>
        <w:jc w:val="both"/>
        <w:spacing w:after="0" w:line="269" w:lineRule="auto"/>
        <w:rPr>
          <w:sz w:val="20"/>
          <w:szCs w:val="20"/>
          <w:color w:val="auto"/>
        </w:rPr>
      </w:pPr>
      <w:r>
        <w:rPr>
          <w:rFonts w:ascii="Times New Roman" w:cs="Times New Roman" w:eastAsia="Times New Roman" w:hAnsi="Times New Roman"/>
          <w:sz w:val="17"/>
          <w:szCs w:val="17"/>
          <w:color w:val="auto"/>
        </w:rPr>
        <w:t>any reason (including, without limitation, by reason of a financial restatement, mistake in calculations, or other administrative error), then you shall be required to repay any such excess amount to the Company. Without limiting the foregoing, all PSUs shall be subject to reduction, cancellation, forfeiture, or recoupment to the extent necessary to comply with applicable law.</w:t>
      </w:r>
    </w:p>
    <w:p>
      <w:pPr>
        <w:spacing w:after="0" w:line="191" w:lineRule="exact"/>
        <w:rPr>
          <w:sz w:val="20"/>
          <w:szCs w:val="20"/>
          <w:color w:val="auto"/>
        </w:rPr>
      </w:pPr>
    </w:p>
    <w:p>
      <w:pPr>
        <w:jc w:val="both"/>
        <w:ind w:firstLine="388"/>
        <w:spacing w:after="0" w:line="257" w:lineRule="auto"/>
        <w:tabs>
          <w:tab w:leader="none" w:pos="57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Law; Lock-Up Agreement</w:t>
      </w:r>
      <w:r>
        <w:rPr>
          <w:rFonts w:ascii="Times New Roman" w:cs="Times New Roman" w:eastAsia="Times New Roman" w:hAnsi="Times New Roman"/>
          <w:sz w:val="17"/>
          <w:szCs w:val="17"/>
          <w:color w:val="auto"/>
        </w:rPr>
        <w:t>. The Company shall not be obligated to issue any shares of Common Stock upon the vesting of your PSUs unless the Company is satisfied that all requirements of law or any applicable stock exchange in connection therewith (including, without limitation, the effective registration or exemption of the issuance of such shares under the Securities Act of 1933, as amended, and applicable state securities laws) have been or will be complied with, and the Committee may impose any restrictions on your rights as it shall deem necessary or advisable to comply with any such requirements; provided that the Company will issue such shares on the earliest date at which it reasonably anticipates that such issuance will not cause such violation. You further agree hereby that, as a condition to the issuance of shares upon the vesting of your PSUs, you will enter into and perform any underwriter’s lock-up agreement requested by the Company from time to time in connection with public offerings of the Company’s securities.</w:t>
      </w:r>
    </w:p>
    <w:p>
      <w:pPr>
        <w:spacing w:after="0" w:line="204" w:lineRule="exact"/>
        <w:rPr>
          <w:rFonts w:ascii="Times New Roman" w:cs="Times New Roman" w:eastAsia="Times New Roman" w:hAnsi="Times New Roman"/>
          <w:sz w:val="17"/>
          <w:szCs w:val="17"/>
          <w:color w:val="auto"/>
        </w:rPr>
      </w:pPr>
    </w:p>
    <w:p>
      <w:pPr>
        <w:jc w:val="both"/>
        <w:ind w:firstLine="388"/>
        <w:spacing w:after="0" w:line="269" w:lineRule="auto"/>
        <w:tabs>
          <w:tab w:leader="none" w:pos="642"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as PSU Holder or Stockholder</w:t>
      </w:r>
      <w:r>
        <w:rPr>
          <w:rFonts w:ascii="Times New Roman" w:cs="Times New Roman" w:eastAsia="Times New Roman" w:hAnsi="Times New Roman"/>
          <w:sz w:val="17"/>
          <w:szCs w:val="17"/>
          <w:color w:val="auto"/>
        </w:rPr>
        <w:t>. PSUs are unfunded, unsecured obligations of the Company. You shall not have any rights under the PSUs until all conditions that are required to be met in order to issue the underlying shares of Common Stock have been satisfied. You shall have no rights as a stockholder with respect to any shares of Common Stock covered by the PSUs until the issuance of such actual shares of Common Stock.</w:t>
      </w:r>
    </w:p>
    <w:p>
      <w:pPr>
        <w:spacing w:after="0" w:line="190" w:lineRule="exact"/>
        <w:rPr>
          <w:rFonts w:ascii="Times New Roman" w:cs="Times New Roman" w:eastAsia="Times New Roman" w:hAnsi="Times New Roman"/>
          <w:sz w:val="17"/>
          <w:szCs w:val="17"/>
          <w:color w:val="auto"/>
        </w:rPr>
      </w:pPr>
    </w:p>
    <w:p>
      <w:pPr>
        <w:jc w:val="both"/>
        <w:ind w:firstLine="422"/>
        <w:spacing w:after="0" w:line="260" w:lineRule="auto"/>
        <w:tabs>
          <w:tab w:leader="none" w:pos="683"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on Your Employment</w:t>
      </w:r>
      <w:r>
        <w:rPr>
          <w:rFonts w:ascii="Times New Roman" w:cs="Times New Roman" w:eastAsia="Times New Roman" w:hAnsi="Times New Roman"/>
          <w:sz w:val="17"/>
          <w:szCs w:val="17"/>
          <w:color w:val="auto"/>
        </w:rPr>
        <w:t>. Neither the adoption, maintenance or operation of the Plan nor the award of the PSUs and the dividend equivalents with respect to your PSUs confers upon you any right to continue your employment with the Company Group, nor shall they interfere with the rights of the Company Group to subject you to a Termination or otherwise change the terms of such employment or service at any time, including, without limitation, the right to promote, demote or reassign you from one position to another in the Company Group. Unless the Committee otherwise provides in any case, you shall be deemed to have experienced a Termination with an Affiliate for purposes of the Plan when such Affiliate ceases to be an Affiliate of the Company.</w:t>
      </w:r>
    </w:p>
    <w:p>
      <w:pPr>
        <w:spacing w:after="0" w:line="200" w:lineRule="exact"/>
        <w:rPr>
          <w:rFonts w:ascii="Times New Roman" w:cs="Times New Roman" w:eastAsia="Times New Roman" w:hAnsi="Times New Roman"/>
          <w:sz w:val="17"/>
          <w:szCs w:val="17"/>
          <w:color w:val="auto"/>
        </w:rPr>
      </w:pPr>
    </w:p>
    <w:p>
      <w:pPr>
        <w:jc w:val="both"/>
        <w:ind w:firstLine="620"/>
        <w:spacing w:after="0" w:line="254" w:lineRule="auto"/>
        <w:tabs>
          <w:tab w:leader="none" w:pos="873" w:val="left"/>
        </w:tabs>
        <w:numPr>
          <w:ilvl w:val="2"/>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Data Privacy</w:t>
      </w:r>
      <w:r>
        <w:rPr>
          <w:rFonts w:ascii="Times New Roman" w:cs="Times New Roman" w:eastAsia="Times New Roman" w:hAnsi="Times New Roman"/>
          <w:sz w:val="17"/>
          <w:szCs w:val="17"/>
          <w:color w:val="auto"/>
        </w:rPr>
        <w:t>. You hereby explicitly consent to the collection, use and transfer, in electronic or other form, of your personal data as described in this Notice and Agreement by and among, as applicable, the Company Group for the exclusive purpose of implementing, administering and managing your participation in the Plan. You understand that the Company Group holds certain personal information about you, including, but not limited to, your name, home address and telephone number, date of birth, social insurance number or other identification number, salary, nationality, job title, any shares of stock or directorships held in the Company Group, details of all PSUs or any other entitlement to shares of stock awarded, canceled, vested, unvested or outstanding in your favor, for the purpose of implementing, administering and managing the Plan (“Data”). You understand that Data may be transferred to any third parties assisting in the implementation, administration and management of the Plan, that these recipients may be located in your country of residence or elsewhere, and that the recipient’s country may have different data privacy laws and protections than your country. You understand that you may request a list with the names and addresses of any potential recipients of the Data by contacting your local Human Resources representative. You authorize the recipients to receive, possess, use, retain and transfer the Data, in electronic or other form, for the purposes of implementing, administering and managing your participation in the Plan, including any requisite transfer of such Data as may be required to a broker or other third party.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You understand, however, that refusing or withdrawing your consent may affect your ability to participate in the Plan. For more information on the consequences of refusal to consent or withdrawal of consent, you understand that you may contact your local Human Resources representative.</w:t>
      </w:r>
    </w:p>
    <w:p>
      <w:pPr>
        <w:spacing w:after="0" w:line="200" w:lineRule="exact"/>
        <w:rPr>
          <w:sz w:val="20"/>
          <w:szCs w:val="20"/>
          <w:color w:val="auto"/>
        </w:rPr>
      </w:pPr>
    </w:p>
    <w:p>
      <w:pPr>
        <w:spacing w:after="0" w:line="217" w:lineRule="exact"/>
        <w:rPr>
          <w:sz w:val="20"/>
          <w:szCs w:val="20"/>
          <w:color w:val="auto"/>
        </w:rPr>
      </w:pPr>
    </w:p>
    <w:p>
      <w:pPr>
        <w:jc w:val="both"/>
        <w:ind w:firstLine="422"/>
        <w:spacing w:after="0" w:line="269" w:lineRule="auto"/>
        <w:tabs>
          <w:tab w:leader="none" w:pos="689"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Nontransferability</w:t>
      </w:r>
      <w:r>
        <w:rPr>
          <w:rFonts w:ascii="Times New Roman" w:cs="Times New Roman" w:eastAsia="Times New Roman" w:hAnsi="Times New Roman"/>
          <w:sz w:val="17"/>
          <w:szCs w:val="17"/>
          <w:color w:val="auto"/>
        </w:rPr>
        <w:t>. You may not assign or transfer the PSUs or any rights with respect thereto, including, without limitation, the dividend equivalents with respect to the PSUs, except by will or by the laws of descent and distribution or to the extent expressly permitted in writing by the Committee in accordance with Section 12(b) of the Plan.</w:t>
      </w:r>
    </w:p>
    <w:p>
      <w:pPr>
        <w:sectPr>
          <w:pgSz w:w="11900" w:h="16838" w:orient="portrait"/>
          <w:cols w:equalWidth="0" w:num="1">
            <w:col w:w="11240"/>
          </w:cols>
          <w:pgMar w:left="320" w:top="894" w:right="339" w:bottom="1440" w:gutter="0" w:footer="0" w:header="0"/>
        </w:sectPr>
      </w:pPr>
    </w:p>
    <w:bookmarkStart w:id="57" w:name="page58"/>
    <w:bookmarkEnd w:id="57"/>
    <w:p>
      <w:pPr>
        <w:ind w:left="258" w:hanging="258"/>
        <w:spacing w:after="0"/>
        <w:tabs>
          <w:tab w:leader="none" w:pos="258"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Corporate Events</w:t>
      </w:r>
      <w:r>
        <w:rPr>
          <w:rFonts w:ascii="Times New Roman" w:cs="Times New Roman" w:eastAsia="Times New Roman" w:hAnsi="Times New Roman"/>
          <w:sz w:val="17"/>
          <w:szCs w:val="17"/>
          <w:color w:val="auto"/>
        </w:rPr>
        <w:t>. The terms of the PSUs and the dividend equivalents with respect to the PSUs may be changed as provided in Section 10(b) of the Plan.</w:t>
      </w:r>
    </w:p>
    <w:p>
      <w:pPr>
        <w:spacing w:after="0" w:line="241" w:lineRule="exact"/>
        <w:rPr>
          <w:rFonts w:ascii="Times New Roman" w:cs="Times New Roman" w:eastAsia="Times New Roman" w:hAnsi="Times New Roman"/>
          <w:sz w:val="17"/>
          <w:szCs w:val="17"/>
          <w:color w:val="auto"/>
        </w:rPr>
      </w:pPr>
    </w:p>
    <w:p>
      <w:pPr>
        <w:jc w:val="both"/>
        <w:ind w:left="-422" w:firstLine="422"/>
        <w:spacing w:after="0" w:line="269" w:lineRule="auto"/>
        <w:tabs>
          <w:tab w:leader="none" w:pos="28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governed by and construed and enforced in accordance with the applicable laws of the United States of America and the law (other than the law governing conflict of law questions) of the State of Delaware except to the extent the laws of any other jurisdiction are mandatorily applicable.</w:t>
      </w:r>
    </w:p>
    <w:p>
      <w:pPr>
        <w:spacing w:after="0" w:line="190" w:lineRule="exact"/>
        <w:rPr>
          <w:rFonts w:ascii="Times New Roman" w:cs="Times New Roman" w:eastAsia="Times New Roman" w:hAnsi="Times New Roman"/>
          <w:sz w:val="17"/>
          <w:szCs w:val="17"/>
          <w:color w:val="auto"/>
        </w:rPr>
      </w:pPr>
    </w:p>
    <w:p>
      <w:pPr>
        <w:jc w:val="both"/>
        <w:ind w:left="-422" w:firstLine="422"/>
        <w:spacing w:after="0" w:line="259" w:lineRule="auto"/>
        <w:tabs>
          <w:tab w:leader="none" w:pos="254"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and Termination of the PSUs; Waiver</w:t>
      </w:r>
      <w:r>
        <w:rPr>
          <w:rFonts w:ascii="Times New Roman" w:cs="Times New Roman" w:eastAsia="Times New Roman" w:hAnsi="Times New Roman"/>
          <w:sz w:val="17"/>
          <w:szCs w:val="17"/>
          <w:color w:val="auto"/>
        </w:rPr>
        <w:t>. The PSUs and the dividend equivalents with respect to the PSUs awarded hereunder may be amended or terminated by the Company with or without your consent, as permitted by Section 11 of the Plan. Except as otherwise set forth in Section 11 of the Plan, any waiver, alteration, amendment, or modification of any of the terms of this Agreement shall be valid only if made in writing and signed by the parties hereto; provided, however,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98" w:lineRule="exact"/>
        <w:rPr>
          <w:rFonts w:ascii="Times New Roman" w:cs="Times New Roman" w:eastAsia="Times New Roman" w:hAnsi="Times New Roman"/>
          <w:sz w:val="17"/>
          <w:szCs w:val="17"/>
          <w:color w:val="auto"/>
        </w:rPr>
      </w:pPr>
    </w:p>
    <w:p>
      <w:pPr>
        <w:jc w:val="both"/>
        <w:ind w:left="-422" w:firstLine="422"/>
        <w:spacing w:after="0" w:line="269" w:lineRule="auto"/>
        <w:tabs>
          <w:tab w:leader="none" w:pos="254"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Imposition of Other Requirements</w:t>
      </w:r>
      <w:r>
        <w:rPr>
          <w:rFonts w:ascii="Times New Roman" w:cs="Times New Roman" w:eastAsia="Times New Roman" w:hAnsi="Times New Roman"/>
          <w:sz w:val="17"/>
          <w:szCs w:val="17"/>
          <w:color w:val="auto"/>
        </w:rPr>
        <w:t>. The Company reserves the right to impose other requirements on your participation in the Plan, on the PSUs,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90" w:lineRule="exact"/>
        <w:rPr>
          <w:rFonts w:ascii="Times New Roman" w:cs="Times New Roman" w:eastAsia="Times New Roman" w:hAnsi="Times New Roman"/>
          <w:sz w:val="17"/>
          <w:szCs w:val="17"/>
          <w:color w:val="auto"/>
        </w:rPr>
      </w:pPr>
    </w:p>
    <w:p>
      <w:pPr>
        <w:ind w:left="258" w:hanging="258"/>
        <w:spacing w:after="0"/>
        <w:tabs>
          <w:tab w:leader="none" w:pos="258"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Binding Effect</w:t>
      </w:r>
      <w:r>
        <w:rPr>
          <w:rFonts w:ascii="Times New Roman" w:cs="Times New Roman" w:eastAsia="Times New Roman" w:hAnsi="Times New Roman"/>
          <w:sz w:val="17"/>
          <w:szCs w:val="17"/>
          <w:color w:val="auto"/>
        </w:rPr>
        <w:t>. This Agreement shall be binding upon the heirs, executors, administrators, and successors of the parties hereto.</w:t>
      </w:r>
    </w:p>
    <w:p>
      <w:pPr>
        <w:spacing w:after="0" w:line="241" w:lineRule="exact"/>
        <w:rPr>
          <w:rFonts w:ascii="Times New Roman" w:cs="Times New Roman" w:eastAsia="Times New Roman" w:hAnsi="Times New Roman"/>
          <w:sz w:val="17"/>
          <w:szCs w:val="17"/>
          <w:color w:val="auto"/>
        </w:rPr>
      </w:pPr>
    </w:p>
    <w:p>
      <w:pPr>
        <w:jc w:val="both"/>
        <w:ind w:left="-422" w:firstLine="422"/>
        <w:spacing w:after="0" w:line="269" w:lineRule="auto"/>
        <w:tabs>
          <w:tab w:leader="none" w:pos="254"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Electronic Delivery and Acceptance</w:t>
      </w:r>
      <w:r>
        <w:rPr>
          <w:rFonts w:ascii="Times New Roman" w:cs="Times New Roman" w:eastAsia="Times New Roman" w:hAnsi="Times New Roman"/>
          <w:sz w:val="17"/>
          <w:szCs w:val="17"/>
          <w:color w:val="auto"/>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90" w:lineRule="exact"/>
        <w:rPr>
          <w:rFonts w:ascii="Times New Roman" w:cs="Times New Roman" w:eastAsia="Times New Roman" w:hAnsi="Times New Roman"/>
          <w:sz w:val="17"/>
          <w:szCs w:val="17"/>
          <w:color w:val="auto"/>
        </w:rPr>
      </w:pPr>
    </w:p>
    <w:p>
      <w:pPr>
        <w:ind w:left="-422" w:firstLine="422"/>
        <w:spacing w:after="0" w:line="285" w:lineRule="auto"/>
        <w:tabs>
          <w:tab w:leader="none" w:pos="254"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the Grant Notice, and the Plan constitute the entire agreement of the parties hereto in respect of the subject matter contained herein and supersede all prior agreements and understandings of the parties, oral and written, with respect to such subject matter.</w:t>
      </w:r>
    </w:p>
    <w:p>
      <w:pPr>
        <w:sectPr>
          <w:pgSz w:w="11900" w:h="16838" w:orient="portrait"/>
          <w:cols w:equalWidth="0" w:num="1">
            <w:col w:w="10818"/>
          </w:cols>
          <w:pgMar w:left="742" w:top="894" w:right="339" w:bottom="1440" w:gutter="0" w:footer="0" w:header="0"/>
        </w:sectPr>
      </w:pPr>
    </w:p>
    <w:bookmarkStart w:id="58" w:name="page59"/>
    <w:bookmarkEnd w:id="58"/>
    <w:p>
      <w:pPr>
        <w:ind w:left="10400"/>
        <w:spacing w:after="0"/>
        <w:rPr>
          <w:sz w:val="20"/>
          <w:szCs w:val="20"/>
          <w:color w:val="auto"/>
        </w:rPr>
      </w:pPr>
      <w:r>
        <w:rPr>
          <w:rFonts w:ascii="Times New Roman" w:cs="Times New Roman" w:eastAsia="Times New Roman" w:hAnsi="Times New Roman"/>
          <w:sz w:val="17"/>
          <w:szCs w:val="17"/>
          <w:u w:val="single" w:color="auto"/>
          <w:color w:val="auto"/>
        </w:rPr>
        <w:t>Appendix A</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17"/>
                <w:szCs w:val="17"/>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Performance Goals</w:t>
            </w:r>
          </w:p>
        </w:tc>
      </w:tr>
      <w:tr>
        <w:trPr>
          <w:trHeight w:val="764"/>
        </w:trPr>
        <w:tc>
          <w:tcPr>
            <w:tcW w:w="4920" w:type="dxa"/>
            <w:vAlign w:val="bottom"/>
          </w:tcPr>
          <w:p>
            <w:pPr>
              <w:ind w:left="640"/>
              <w:spacing w:after="0"/>
              <w:rPr>
                <w:sz w:val="20"/>
                <w:szCs w:val="20"/>
                <w:color w:val="auto"/>
              </w:rPr>
            </w:pPr>
            <w:r>
              <w:rPr>
                <w:rFonts w:ascii="Times New Roman" w:cs="Times New Roman" w:eastAsia="Times New Roman" w:hAnsi="Times New Roman"/>
                <w:sz w:val="17"/>
                <w:szCs w:val="17"/>
                <w:b w:val="1"/>
                <w:bCs w:val="1"/>
                <w:color w:val="auto"/>
              </w:rPr>
              <w:t>AFFO per Share</w:t>
            </w:r>
            <w:r>
              <w:rPr>
                <w:rFonts w:ascii="Times New Roman" w:cs="Times New Roman" w:eastAsia="Times New Roman" w:hAnsi="Times New Roman"/>
                <w:sz w:val="11"/>
                <w:szCs w:val="11"/>
                <w:b w:val="1"/>
                <w:bCs w:val="1"/>
                <w:color w:val="auto"/>
              </w:rPr>
              <w:t>(1)</w:t>
            </w:r>
            <w:r>
              <w:rPr>
                <w:rFonts w:ascii="Times New Roman" w:cs="Times New Roman" w:eastAsia="Times New Roman" w:hAnsi="Times New Roman"/>
                <w:sz w:val="17"/>
                <w:szCs w:val="17"/>
                <w:b w:val="1"/>
                <w:bCs w:val="1"/>
                <w:color w:val="auto"/>
              </w:rPr>
              <w:t xml:space="preserve"> (40% Weighting)</w:t>
            </w:r>
          </w:p>
        </w:tc>
        <w:tc>
          <w:tcPr>
            <w:tcW w:w="1420" w:type="dxa"/>
            <w:vAlign w:val="bottom"/>
            <w:tcBorders>
              <w:top w:val="single" w:sz="8" w:color="auto"/>
            </w:tcBorders>
          </w:tcPr>
          <w:p>
            <w:pPr>
              <w:spacing w:after="0"/>
              <w:rPr>
                <w:sz w:val="24"/>
                <w:szCs w:val="24"/>
                <w:color w:val="auto"/>
              </w:rPr>
            </w:pPr>
          </w:p>
        </w:tc>
        <w:tc>
          <w:tcPr>
            <w:tcW w:w="490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Cumulative Growth</w:t>
            </w:r>
          </w:p>
        </w:tc>
      </w:tr>
      <w:tr>
        <w:trPr>
          <w:trHeight w:val="25"/>
        </w:trPr>
        <w:tc>
          <w:tcPr>
            <w:tcW w:w="4920" w:type="dxa"/>
            <w:vAlign w:val="bottom"/>
          </w:tcPr>
          <w:p>
            <w:pPr>
              <w:spacing w:after="0"/>
              <w:rPr>
                <w:sz w:val="2"/>
                <w:szCs w:val="2"/>
                <w:color w:val="auto"/>
              </w:rPr>
            </w:pPr>
          </w:p>
        </w:tc>
        <w:tc>
          <w:tcPr>
            <w:tcW w:w="6320" w:type="dxa"/>
            <w:vAlign w:val="bottom"/>
            <w:gridSpan w:val="2"/>
          </w:tcPr>
          <w:p>
            <w:pPr>
              <w:spacing w:after="0"/>
              <w:rPr>
                <w:sz w:val="2"/>
                <w:szCs w:val="2"/>
                <w:color w:val="auto"/>
              </w:rPr>
            </w:pPr>
          </w:p>
        </w:tc>
      </w:tr>
      <w:tr>
        <w:trPr>
          <w:trHeight w:val="237"/>
        </w:trPr>
        <w:tc>
          <w:tcPr>
            <w:tcW w:w="49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Threshold (50% payout)</w:t>
            </w:r>
          </w:p>
        </w:tc>
        <w:tc>
          <w:tcPr>
            <w:tcW w:w="6320" w:type="dxa"/>
            <w:vAlign w:val="bottom"/>
            <w:tcBorders>
              <w:bottom w:val="single" w:sz="8" w:color="CCEEFF"/>
            </w:tcBorders>
            <w:gridSpan w:val="2"/>
            <w:shd w:val="clear" w:color="auto" w:fill="CCEEFF"/>
          </w:tcPr>
          <w:p>
            <w:pPr>
              <w:ind w:left="1800"/>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49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Target (100% payout)</w:t>
            </w:r>
          </w:p>
        </w:tc>
        <w:tc>
          <w:tcPr>
            <w:tcW w:w="6320" w:type="dxa"/>
            <w:vAlign w:val="bottom"/>
            <w:gridSpan w:val="2"/>
          </w:tcPr>
          <w:p>
            <w:pPr>
              <w:ind w:left="180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4920" w:type="dxa"/>
            <w:vAlign w:val="bottom"/>
          </w:tcPr>
          <w:p>
            <w:pPr>
              <w:spacing w:after="0"/>
              <w:rPr>
                <w:sz w:val="2"/>
                <w:szCs w:val="2"/>
                <w:color w:val="auto"/>
              </w:rPr>
            </w:pPr>
          </w:p>
        </w:tc>
        <w:tc>
          <w:tcPr>
            <w:tcW w:w="6320" w:type="dxa"/>
            <w:vAlign w:val="bottom"/>
            <w:gridSpan w:val="2"/>
          </w:tcPr>
          <w:p>
            <w:pPr>
              <w:spacing w:after="0"/>
              <w:rPr>
                <w:sz w:val="2"/>
                <w:szCs w:val="2"/>
                <w:color w:val="auto"/>
              </w:rPr>
            </w:pPr>
          </w:p>
        </w:tc>
      </w:tr>
      <w:tr>
        <w:trPr>
          <w:trHeight w:val="237"/>
        </w:trPr>
        <w:tc>
          <w:tcPr>
            <w:tcW w:w="49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Maximum (200% payout)</w:t>
            </w:r>
          </w:p>
        </w:tc>
        <w:tc>
          <w:tcPr>
            <w:tcW w:w="6320" w:type="dxa"/>
            <w:vAlign w:val="bottom"/>
            <w:tcBorders>
              <w:bottom w:val="single" w:sz="8" w:color="CCEEFF"/>
            </w:tcBorders>
            <w:gridSpan w:val="2"/>
            <w:shd w:val="clear" w:color="auto" w:fill="CCEEFF"/>
          </w:tcPr>
          <w:p>
            <w:pPr>
              <w:ind w:left="1800"/>
              <w:spacing w:after="0"/>
              <w:rPr>
                <w:sz w:val="20"/>
                <w:szCs w:val="20"/>
                <w:color w:val="auto"/>
              </w:rPr>
            </w:pPr>
            <w:r>
              <w:rPr>
                <w:rFonts w:ascii="Times New Roman" w:cs="Times New Roman" w:eastAsia="Times New Roman" w:hAnsi="Times New Roman"/>
                <w:sz w:val="17"/>
                <w:szCs w:val="17"/>
                <w:color w:val="auto"/>
              </w:rPr>
              <w:t>$</w:t>
            </w:r>
          </w:p>
        </w:tc>
      </w:tr>
      <w:tr>
        <w:trPr>
          <w:trHeight w:val="463"/>
        </w:trPr>
        <w:tc>
          <w:tcPr>
            <w:tcW w:w="4920" w:type="dxa"/>
            <w:vAlign w:val="bottom"/>
          </w:tcPr>
          <w:p>
            <w:pPr>
              <w:ind w:left="640"/>
              <w:spacing w:after="0"/>
              <w:rPr>
                <w:sz w:val="20"/>
                <w:szCs w:val="20"/>
                <w:color w:val="auto"/>
              </w:rPr>
            </w:pPr>
            <w:r>
              <w:rPr>
                <w:rFonts w:ascii="Times New Roman" w:cs="Times New Roman" w:eastAsia="Times New Roman" w:hAnsi="Times New Roman"/>
                <w:sz w:val="17"/>
                <w:szCs w:val="17"/>
                <w:b w:val="1"/>
                <w:bCs w:val="1"/>
                <w:color w:val="auto"/>
              </w:rPr>
              <w:t>ROIC</w:t>
            </w:r>
            <w:r>
              <w:rPr>
                <w:rFonts w:ascii="Times New Roman" w:cs="Times New Roman" w:eastAsia="Times New Roman" w:hAnsi="Times New Roman"/>
                <w:sz w:val="11"/>
                <w:szCs w:val="11"/>
                <w:b w:val="1"/>
                <w:bCs w:val="1"/>
                <w:color w:val="auto"/>
              </w:rPr>
              <w:t>(2)</w:t>
            </w:r>
            <w:r>
              <w:rPr>
                <w:rFonts w:ascii="Times New Roman" w:cs="Times New Roman" w:eastAsia="Times New Roman" w:hAnsi="Times New Roman"/>
                <w:sz w:val="17"/>
                <w:szCs w:val="17"/>
                <w:b w:val="1"/>
                <w:bCs w:val="1"/>
                <w:color w:val="auto"/>
              </w:rPr>
              <w:t xml:space="preserve"> (30% Weighting)</w:t>
            </w:r>
          </w:p>
        </w:tc>
        <w:tc>
          <w:tcPr>
            <w:tcW w:w="1420" w:type="dxa"/>
            <w:vAlign w:val="bottom"/>
          </w:tcPr>
          <w:p>
            <w:pPr>
              <w:spacing w:after="0"/>
              <w:rPr>
                <w:sz w:val="24"/>
                <w:szCs w:val="24"/>
                <w:color w:val="auto"/>
              </w:rPr>
            </w:pPr>
          </w:p>
        </w:tc>
        <w:tc>
          <w:tcPr>
            <w:tcW w:w="490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3 Year Average</w:t>
            </w:r>
          </w:p>
        </w:tc>
      </w:tr>
      <w:tr>
        <w:trPr>
          <w:trHeight w:val="25"/>
        </w:trPr>
        <w:tc>
          <w:tcPr>
            <w:tcW w:w="4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37"/>
        </w:trPr>
        <w:tc>
          <w:tcPr>
            <w:tcW w:w="49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Threshold (50% payout)</w:t>
            </w:r>
          </w:p>
        </w:tc>
        <w:tc>
          <w:tcPr>
            <w:tcW w:w="1420" w:type="dxa"/>
            <w:vAlign w:val="bottom"/>
            <w:tcBorders>
              <w:bottom w:val="single" w:sz="8" w:color="CCEEFF"/>
            </w:tcBorders>
            <w:shd w:val="clear" w:color="auto" w:fill="CCEEFF"/>
          </w:tcPr>
          <w:p>
            <w:pPr>
              <w:spacing w:after="0"/>
              <w:rPr>
                <w:sz w:val="20"/>
                <w:szCs w:val="20"/>
                <w:color w:val="auto"/>
              </w:rPr>
            </w:pPr>
          </w:p>
        </w:tc>
        <w:tc>
          <w:tcPr>
            <w:tcW w:w="4900" w:type="dxa"/>
            <w:vAlign w:val="bottom"/>
            <w:tcBorders>
              <w:bottom w:val="single" w:sz="8" w:color="CCEEFF"/>
            </w:tcBorders>
            <w:shd w:val="clear" w:color="auto" w:fill="CCEEFF"/>
          </w:tcPr>
          <w:p>
            <w:pPr>
              <w:spacing w:after="0"/>
              <w:rPr>
                <w:sz w:val="20"/>
                <w:szCs w:val="20"/>
                <w:color w:val="auto"/>
              </w:rPr>
            </w:pPr>
          </w:p>
        </w:tc>
      </w:tr>
      <w:tr>
        <w:trPr>
          <w:trHeight w:val="232"/>
        </w:trPr>
        <w:tc>
          <w:tcPr>
            <w:tcW w:w="49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Target (100% payout)</w:t>
            </w:r>
          </w:p>
        </w:tc>
        <w:tc>
          <w:tcPr>
            <w:tcW w:w="142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25"/>
        </w:trPr>
        <w:tc>
          <w:tcPr>
            <w:tcW w:w="4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37"/>
        </w:trPr>
        <w:tc>
          <w:tcPr>
            <w:tcW w:w="49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Maximum (200% payout)</w:t>
            </w:r>
          </w:p>
        </w:tc>
        <w:tc>
          <w:tcPr>
            <w:tcW w:w="1420" w:type="dxa"/>
            <w:vAlign w:val="bottom"/>
            <w:tcBorders>
              <w:bottom w:val="single" w:sz="8" w:color="CCEEFF"/>
            </w:tcBorders>
            <w:shd w:val="clear" w:color="auto" w:fill="CCEEFF"/>
          </w:tcPr>
          <w:p>
            <w:pPr>
              <w:spacing w:after="0"/>
              <w:rPr>
                <w:sz w:val="20"/>
                <w:szCs w:val="20"/>
                <w:color w:val="auto"/>
              </w:rPr>
            </w:pPr>
          </w:p>
        </w:tc>
        <w:tc>
          <w:tcPr>
            <w:tcW w:w="4900" w:type="dxa"/>
            <w:vAlign w:val="bottom"/>
            <w:tcBorders>
              <w:bottom w:val="single" w:sz="8" w:color="CCEEFF"/>
            </w:tcBorders>
            <w:shd w:val="clear" w:color="auto" w:fill="CCEEFF"/>
          </w:tcPr>
          <w:p>
            <w:pPr>
              <w:spacing w:after="0"/>
              <w:rPr>
                <w:sz w:val="20"/>
                <w:szCs w:val="20"/>
                <w:color w:val="auto"/>
              </w:rPr>
            </w:pPr>
          </w:p>
        </w:tc>
      </w:tr>
      <w:tr>
        <w:trPr>
          <w:trHeight w:val="489"/>
        </w:trPr>
        <w:tc>
          <w:tcPr>
            <w:tcW w:w="4920" w:type="dxa"/>
            <w:vAlign w:val="bottom"/>
          </w:tcPr>
          <w:p>
            <w:pPr>
              <w:ind w:left="640"/>
              <w:spacing w:after="0"/>
              <w:rPr>
                <w:sz w:val="20"/>
                <w:szCs w:val="20"/>
                <w:color w:val="auto"/>
              </w:rPr>
            </w:pPr>
            <w:r>
              <w:rPr>
                <w:rFonts w:ascii="Times New Roman" w:cs="Times New Roman" w:eastAsia="Times New Roman" w:hAnsi="Times New Roman"/>
                <w:sz w:val="17"/>
                <w:szCs w:val="17"/>
                <w:b w:val="1"/>
                <w:bCs w:val="1"/>
                <w:color w:val="auto"/>
              </w:rPr>
              <w:t>Relative TSR (30% Weighting)</w:t>
            </w:r>
          </w:p>
        </w:tc>
        <w:tc>
          <w:tcPr>
            <w:tcW w:w="1420" w:type="dxa"/>
            <w:vAlign w:val="bottom"/>
          </w:tcPr>
          <w:p>
            <w:pPr>
              <w:spacing w:after="0"/>
              <w:rPr>
                <w:sz w:val="24"/>
                <w:szCs w:val="24"/>
                <w:color w:val="auto"/>
              </w:rPr>
            </w:pPr>
          </w:p>
        </w:tc>
        <w:tc>
          <w:tcPr>
            <w:tcW w:w="490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Performance vs. Peer Group</w:t>
            </w:r>
          </w:p>
        </w:tc>
      </w:tr>
      <w:tr>
        <w:trPr>
          <w:trHeight w:val="25"/>
        </w:trPr>
        <w:tc>
          <w:tcPr>
            <w:tcW w:w="4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37"/>
        </w:trPr>
        <w:tc>
          <w:tcPr>
            <w:tcW w:w="49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Threshold (50% payout)</w:t>
            </w:r>
          </w:p>
        </w:tc>
        <w:tc>
          <w:tcPr>
            <w:tcW w:w="1420" w:type="dxa"/>
            <w:vAlign w:val="bottom"/>
            <w:tcBorders>
              <w:bottom w:val="single" w:sz="8" w:color="CCEEFF"/>
            </w:tcBorders>
            <w:shd w:val="clear" w:color="auto" w:fill="CCEEFF"/>
          </w:tcPr>
          <w:p>
            <w:pPr>
              <w:spacing w:after="0"/>
              <w:rPr>
                <w:sz w:val="20"/>
                <w:szCs w:val="20"/>
                <w:color w:val="auto"/>
              </w:rPr>
            </w:pPr>
          </w:p>
        </w:tc>
        <w:tc>
          <w:tcPr>
            <w:tcW w:w="4900" w:type="dxa"/>
            <w:vAlign w:val="bottom"/>
            <w:tcBorders>
              <w:bottom w:val="single" w:sz="8" w:color="CCEEFF"/>
            </w:tcBorders>
            <w:shd w:val="clear" w:color="auto" w:fill="CCEEFF"/>
          </w:tcPr>
          <w:p>
            <w:pPr>
              <w:spacing w:after="0"/>
              <w:rPr>
                <w:sz w:val="20"/>
                <w:szCs w:val="20"/>
                <w:color w:val="auto"/>
              </w:rPr>
            </w:pPr>
          </w:p>
        </w:tc>
      </w:tr>
      <w:tr>
        <w:trPr>
          <w:trHeight w:val="232"/>
        </w:trPr>
        <w:tc>
          <w:tcPr>
            <w:tcW w:w="49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Target (100% payout)</w:t>
            </w:r>
          </w:p>
        </w:tc>
        <w:tc>
          <w:tcPr>
            <w:tcW w:w="142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25"/>
        </w:trPr>
        <w:tc>
          <w:tcPr>
            <w:tcW w:w="4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32"/>
        </w:trPr>
        <w:tc>
          <w:tcPr>
            <w:tcW w:w="49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Maximum (200% payout)</w:t>
            </w:r>
          </w:p>
        </w:tc>
        <w:tc>
          <w:tcPr>
            <w:tcW w:w="1420" w:type="dxa"/>
            <w:vAlign w:val="bottom"/>
            <w:shd w:val="clear" w:color="auto" w:fill="CCEEFF"/>
          </w:tcPr>
          <w:p>
            <w:pPr>
              <w:spacing w:after="0"/>
              <w:rPr>
                <w:sz w:val="20"/>
                <w:szCs w:val="20"/>
                <w:color w:val="auto"/>
              </w:rPr>
            </w:pPr>
          </w:p>
        </w:tc>
        <w:tc>
          <w:tcPr>
            <w:tcW w:w="4900" w:type="dxa"/>
            <w:vAlign w:val="bottom"/>
            <w:shd w:val="clear" w:color="auto" w:fill="CCEEFF"/>
          </w:tcPr>
          <w:p>
            <w:pPr>
              <w:spacing w:after="0"/>
              <w:rPr>
                <w:sz w:val="20"/>
                <w:szCs w:val="20"/>
                <w:color w:val="auto"/>
              </w:rPr>
            </w:pPr>
          </w:p>
        </w:tc>
      </w:tr>
      <w:tr>
        <w:trPr>
          <w:trHeight w:val="25"/>
        </w:trPr>
        <w:tc>
          <w:tcPr>
            <w:tcW w:w="49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4900" w:type="dxa"/>
            <w:vAlign w:val="bottom"/>
            <w:shd w:val="clear" w:color="auto" w:fill="CCEEFF"/>
          </w:tcPr>
          <w:p>
            <w:pPr>
              <w:spacing w:after="0"/>
              <w:rPr>
                <w:sz w:val="2"/>
                <w:szCs w:val="2"/>
                <w:color w:val="auto"/>
              </w:rPr>
            </w:pPr>
          </w:p>
        </w:tc>
      </w:tr>
    </w:tbl>
    <w:p>
      <w:pPr>
        <w:spacing w:after="0" w:line="365" w:lineRule="exact"/>
        <w:rPr>
          <w:sz w:val="20"/>
          <w:szCs w:val="20"/>
          <w:color w:val="auto"/>
        </w:rPr>
      </w:pPr>
    </w:p>
    <w:p>
      <w:pPr>
        <w:ind w:left="500" w:hanging="480"/>
        <w:spacing w:after="0"/>
        <w:tabs>
          <w:tab w:leader="none" w:pos="500" w:val="left"/>
        </w:tabs>
        <w:numPr>
          <w:ilvl w:val="0"/>
          <w:numId w:val="8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Subject to adjustments, as defined and approved by the Committee at the time of grant.</w:t>
      </w:r>
    </w:p>
    <w:p>
      <w:pPr>
        <w:spacing w:after="0" w:line="31" w:lineRule="exact"/>
        <w:rPr>
          <w:rFonts w:ascii="Times New Roman" w:cs="Times New Roman" w:eastAsia="Times New Roman" w:hAnsi="Times New Roman"/>
          <w:sz w:val="11"/>
          <w:szCs w:val="11"/>
          <w:color w:val="auto"/>
        </w:rPr>
      </w:pPr>
    </w:p>
    <w:p>
      <w:pPr>
        <w:ind w:left="500" w:hanging="480"/>
        <w:spacing w:after="0"/>
        <w:tabs>
          <w:tab w:leader="none" w:pos="500" w:val="left"/>
        </w:tabs>
        <w:numPr>
          <w:ilvl w:val="0"/>
          <w:numId w:val="8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Subject to adjustments, as defined and approved by the Committee at the time of grant.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Payout for performance between Threshold, Target and Maximum is interpolated on a straight-line basis.</w:t>
      </w:r>
    </w:p>
    <w:p>
      <w:pPr>
        <w:sectPr>
          <w:pgSz w:w="11900" w:h="16838" w:orient="portrait"/>
          <w:cols w:equalWidth="0" w:num="1">
            <w:col w:w="11240"/>
          </w:cols>
          <w:pgMar w:left="320" w:top="894"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2947035</wp:posOffset>
            </wp:positionH>
            <wp:positionV relativeFrom="paragraph">
              <wp:posOffset>182245</wp:posOffset>
            </wp:positionV>
            <wp:extent cx="1256665" cy="6197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56665" cy="619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ATC Contact: Spencer Kurn</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Senior Vice President, Investor Relations</w:t>
      </w:r>
    </w:p>
    <w:p>
      <w:pPr>
        <w:spacing w:after="0" w:line="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Telephone: (617) 375-7517</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AMERICAN TOWER CORPORATION DECLARES QUARTERLY DISTRIBUTION</w:t>
      </w:r>
    </w:p>
    <w:p>
      <w:pPr>
        <w:spacing w:after="0" w:line="278"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b w:val="1"/>
          <w:bCs w:val="1"/>
          <w:i w:val="1"/>
          <w:iCs w:val="1"/>
          <w:color w:val="auto"/>
        </w:rPr>
        <w:t xml:space="preserve">Boston, Massachusetts — May 21, 2026 </w:t>
      </w:r>
      <w:r>
        <w:rPr>
          <w:rFonts w:ascii="Times New Roman" w:cs="Times New Roman" w:eastAsia="Times New Roman" w:hAnsi="Times New Roman"/>
          <w:sz w:val="17"/>
          <w:szCs w:val="17"/>
          <w:color w:val="auto"/>
        </w:rPr>
        <w:t>— American Tower Corporation (NYSE: AMT) announced that its Board of Directors has declared a quarterly cash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distribution of $1.79 per share on shares of the Company’s common stock. The distribution is payable on July 13, 2026 to the stockholders of record at the close of business on June 12,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American Tower</w:t>
      </w:r>
    </w:p>
    <w:p>
      <w:pPr>
        <w:spacing w:after="0" w:line="284"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7"/>
          <w:szCs w:val="17"/>
          <w:color w:val="auto"/>
        </w:rPr>
        <w:t>American Tower, one of the largest global REITs, is a leading independent owner, operator and developer of multitenant communications real estate with a portfolio of nearly 150,000 communications sites and a highly interconnected footprint of U.S. data center facilities. For more information about American Tower, please visit the “Earnings Materials” and “Investor Presentations” sections of our investor relations hub at www.americantower.com.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Language Regarding Forward-Looking Statements</w:t>
      </w:r>
    </w:p>
    <w:p>
      <w:pPr>
        <w:spacing w:after="0" w:line="28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color w:val="auto"/>
        </w:rPr>
        <w:t xml:space="preserve">This press release contains “forward-looking statements” concerning the Company’s goals, beliefs, expectations, strategies, objectives, plans, future operating results and underlying assumptions and other statements that are not necessarily based on historical facts. Actual results may differ materially from those indicated in the Company’s forward-looking statements as a result of various factors, including those factors set forth under the caption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 in Item 1A of its most recent annual report on Form 10-K, and other risks described in documents the Company subsequently files from time to time with the Securities and Exchange Commission. The Company undertakes no obligation to update the information contained in this press release to reflect subsequently occurring events or circumstances.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w:t>
      </w:r>
    </w:p>
    <w:sectPr>
      <w:pgSz w:w="11900" w:h="16838" w:orient="portrait"/>
      <w:cols w:equalWidth="0" w:num="1">
        <w:col w:w="11240"/>
      </w:cols>
      <w:pgMar w:left="320" w:top="8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1)"/>
      <w:numFmt w:val="lowerLetter"/>
      <w:start w:val="5"/>
    </w:lvl>
  </w:abstractNum>
  <w:abstractNum w:abstractNumId="2">
    <w:nsid w:val="2CD89A32"/>
    <w:multiLevelType w:val="hybridMultilevel"/>
    <w:lvl w:ilvl="0">
      <w:lvlJc w:val="left"/>
      <w:lvlText w:val="%1."/>
      <w:numFmt w:val="decimal"/>
      <w:start w:val="1"/>
    </w:lvl>
  </w:abstractNum>
  <w:abstractNum w:abstractNumId="3">
    <w:nsid w:val="57E4CCAF"/>
    <w:multiLevelType w:val="hybridMultilevel"/>
    <w:lvl w:ilvl="0">
      <w:lvlJc w:val="left"/>
      <w:lvlText w:val="(%1)"/>
      <w:numFmt w:val="lowerLetter"/>
      <w:start w:val="1"/>
    </w:lvl>
  </w:abstractNum>
  <w:abstractNum w:abstractNumId="4">
    <w:nsid w:val="7A6D8D3C"/>
    <w:multiLevelType w:val="hybridMultilevel"/>
    <w:lvl w:ilvl="0">
      <w:lvlJc w:val="left"/>
      <w:lvlText w:val="(%1)"/>
      <w:numFmt w:val="lowerLetter"/>
      <w:start w:val="9"/>
    </w:lvl>
  </w:abstractNum>
  <w:abstractNum w:abstractNumId="5">
    <w:nsid w:val="4B588F54"/>
    <w:multiLevelType w:val="hybridMultilevel"/>
    <w:lvl w:ilvl="0">
      <w:lvlJc w:val="left"/>
      <w:lvlText w:val="(%1)"/>
      <w:numFmt w:val="lowerLetter"/>
      <w:start w:val="18"/>
    </w:lvl>
  </w:abstractNum>
  <w:abstractNum w:abstractNumId="6">
    <w:nsid w:val="542289EC"/>
    <w:multiLevelType w:val="hybridMultilevel"/>
    <w:lvl w:ilvl="0">
      <w:lvlJc w:val="left"/>
      <w:lvlText w:val="(%1)"/>
      <w:numFmt w:val="lowerLetter"/>
      <w:start w:val="26"/>
    </w:lvl>
  </w:abstractNum>
  <w:abstractNum w:abstractNumId="7">
    <w:nsid w:val="6DE91B18"/>
    <w:multiLevelType w:val="hybridMultilevel"/>
    <w:lvl w:ilvl="0">
      <w:lvlJc w:val="left"/>
      <w:lvlText w:val="(%1)"/>
      <w:numFmt w:val="lowerLetter"/>
      <w:start w:val="27"/>
    </w:lvl>
  </w:abstractNum>
  <w:abstractNum w:abstractNumId="8">
    <w:nsid w:val="38437FDB"/>
    <w:multiLevelType w:val="hybridMultilevel"/>
    <w:lvl w:ilvl="0">
      <w:lvlJc w:val="left"/>
      <w:lvlText w:val="(%1)"/>
      <w:numFmt w:val="lowerLetter"/>
      <w:start w:val="36"/>
    </w:lvl>
  </w:abstractNum>
  <w:abstractNum w:abstractNumId="9">
    <w:nsid w:val="7644A45C"/>
    <w:multiLevelType w:val="hybridMultilevel"/>
    <w:lvl w:ilvl="0">
      <w:lvlJc w:val="left"/>
      <w:lvlText w:val="(%1)"/>
      <w:numFmt w:val="lowerLetter"/>
      <w:start w:val="47"/>
    </w:lvl>
    <w:lvl w:ilvl="1">
      <w:lvlJc w:val="left"/>
      <w:lvlText w:val="(%2)"/>
      <w:numFmt w:val="lowerRoman"/>
      <w:start w:val="1"/>
    </w:lvl>
  </w:abstractNum>
  <w:abstractNum w:abstractNumId="10">
    <w:nsid w:val="32FFF902"/>
    <w:multiLevelType w:val="hybridMultilevel"/>
    <w:lvl w:ilvl="0">
      <w:lvlJc w:val="left"/>
      <w:lvlText w:val="%1."/>
      <w:numFmt w:val="decimal"/>
      <w:start w:val="3"/>
    </w:lvl>
  </w:abstractNum>
  <w:abstractNum w:abstractNumId="11">
    <w:nsid w:val="684A481A"/>
    <w:multiLevelType w:val="hybridMultilevel"/>
    <w:lvl w:ilvl="0">
      <w:lvlJc w:val="left"/>
      <w:lvlText w:val="%1"/>
      <w:numFmt w:val="lowerRoman"/>
      <w:start w:val="1"/>
    </w:lvl>
    <w:lvl w:ilvl="1">
      <w:lvlJc w:val="left"/>
      <w:lvlText w:val="(%2)"/>
      <w:numFmt w:val="lowerLetter"/>
      <w:start w:val="1"/>
    </w:lvl>
  </w:abstractNum>
  <w:abstractNum w:abstractNumId="12">
    <w:nsid w:val="579478FE"/>
    <w:multiLevelType w:val="hybridMultilevel"/>
    <w:lvl w:ilvl="0">
      <w:lvlJc w:val="left"/>
      <w:lvlText w:val="(%1)"/>
      <w:numFmt w:val="lowerRoman"/>
      <w:start w:val="13"/>
    </w:lvl>
    <w:lvl w:ilvl="1">
      <w:lvlJc w:val="left"/>
      <w:lvlText w:val="%2"/>
      <w:numFmt w:val="lowerLetter"/>
      <w:start w:val="1"/>
    </w:lvl>
  </w:abstractNum>
  <w:abstractNum w:abstractNumId="13">
    <w:nsid w:val="749ABB43"/>
    <w:multiLevelType w:val="hybridMultilevel"/>
    <w:lvl w:ilvl="0">
      <w:lvlJc w:val="left"/>
      <w:lvlText w:val="(%1)"/>
      <w:numFmt w:val="lowerLetter"/>
      <w:start w:val="3"/>
    </w:lvl>
  </w:abstractNum>
  <w:abstractNum w:abstractNumId="14">
    <w:nsid w:val="3DC240FB"/>
    <w:multiLevelType w:val="hybridMultilevel"/>
    <w:lvl w:ilvl="0">
      <w:lvlJc w:val="left"/>
      <w:lvlText w:val="(%1)"/>
      <w:numFmt w:val="lowerLetter"/>
      <w:start w:val="6"/>
    </w:lvl>
  </w:abstractNum>
  <w:abstractNum w:abstractNumId="15">
    <w:nsid w:val="1BA026FA"/>
    <w:multiLevelType w:val="hybridMultilevel"/>
    <w:lvl w:ilvl="0">
      <w:lvlJc w:val="left"/>
      <w:lvlText w:val="%1."/>
      <w:numFmt w:val="decimal"/>
      <w:start w:val="5"/>
    </w:lvl>
  </w:abstractNum>
  <w:abstractNum w:abstractNumId="16">
    <w:nsid w:val="79A1DEAA"/>
    <w:multiLevelType w:val="hybridMultilevel"/>
    <w:lvl w:ilvl="0">
      <w:lvlJc w:val="left"/>
      <w:lvlText w:val="(%1)"/>
      <w:numFmt w:val="lowerLetter"/>
      <w:start w:val="1"/>
    </w:lvl>
  </w:abstractNum>
  <w:abstractNum w:abstractNumId="17">
    <w:nsid w:val="75C6C33A"/>
    <w:multiLevelType w:val="hybridMultilevel"/>
    <w:lvl w:ilvl="0">
      <w:lvlJc w:val="left"/>
      <w:lvlText w:val="(%1)"/>
      <w:numFmt w:val="lowerLetter"/>
      <w:start w:val="3"/>
    </w:lvl>
  </w:abstractNum>
  <w:abstractNum w:abstractNumId="18">
    <w:nsid w:val="12E685FB"/>
    <w:multiLevelType w:val="hybridMultilevel"/>
    <w:lvl w:ilvl="0">
      <w:lvlJc w:val="left"/>
      <w:lvlText w:val="%1."/>
      <w:numFmt w:val="decimal"/>
      <w:start w:val="7"/>
    </w:lvl>
  </w:abstractNum>
  <w:abstractNum w:abstractNumId="19">
    <w:nsid w:val="70C6A529"/>
    <w:multiLevelType w:val="hybridMultilevel"/>
    <w:lvl w:ilvl="0">
      <w:lvlJc w:val="left"/>
      <w:lvlText w:val="(%1)"/>
      <w:numFmt w:val="lowerLetter"/>
      <w:start w:val="1"/>
    </w:lvl>
  </w:abstractNum>
  <w:abstractNum w:abstractNumId="20">
    <w:nsid w:val="520EEDD1"/>
    <w:multiLevelType w:val="hybridMultilevel"/>
    <w:lvl w:ilvl="0">
      <w:lvlJc w:val="left"/>
      <w:lvlText w:val="(%1)"/>
      <w:numFmt w:val="lowerLetter"/>
      <w:start w:val="2"/>
    </w:lvl>
    <w:lvl w:ilvl="1">
      <w:lvlJc w:val="left"/>
      <w:lvlText w:val="(%2)"/>
      <w:numFmt w:val="lowerRoman"/>
      <w:start w:val="1"/>
    </w:lvl>
  </w:abstractNum>
  <w:abstractNum w:abstractNumId="21">
    <w:nsid w:val="374A3FE6"/>
    <w:multiLevelType w:val="hybridMultilevel"/>
    <w:lvl w:ilvl="0">
      <w:lvlJc w:val="left"/>
      <w:lvlText w:val="%1"/>
      <w:numFmt w:val="upperLetter"/>
      <w:start w:val="1"/>
    </w:lvl>
    <w:lvl w:ilvl="1">
      <w:lvlJc w:val="left"/>
      <w:lvlText w:val="(%2)"/>
      <w:numFmt w:val="lowerLetter"/>
      <w:start w:val="4"/>
    </w:lvl>
  </w:abstractNum>
  <w:abstractNum w:abstractNumId="22">
    <w:nsid w:val="4F4EF005"/>
    <w:multiLevelType w:val="hybridMultilevel"/>
    <w:lvl w:ilvl="0">
      <w:lvlJc w:val="left"/>
      <w:lvlText w:val="(%1)"/>
      <w:numFmt w:val="upperLetter"/>
      <w:start w:val="1"/>
    </w:lvl>
    <w:lvl w:ilvl="1">
      <w:lvlJc w:val="left"/>
      <w:lvlText w:val="(%2)"/>
      <w:numFmt w:val="lowerLetter"/>
      <w:start w:val="5"/>
    </w:lvl>
  </w:abstractNum>
  <w:abstractNum w:abstractNumId="23">
    <w:nsid w:val="23F9C13C"/>
    <w:multiLevelType w:val="hybridMultilevel"/>
    <w:lvl w:ilvl="0">
      <w:lvlJc w:val="left"/>
      <w:lvlText w:val="(%1)"/>
      <w:numFmt w:val="lowerLetter"/>
      <w:start w:val="6"/>
    </w:lvl>
  </w:abstractNum>
  <w:abstractNum w:abstractNumId="24">
    <w:nsid w:val="649BB77C"/>
    <w:multiLevelType w:val="hybridMultilevel"/>
    <w:lvl w:ilvl="0">
      <w:lvlJc w:val="left"/>
      <w:lvlText w:val="%1."/>
      <w:numFmt w:val="decimal"/>
      <w:start w:val="8"/>
    </w:lvl>
  </w:abstractNum>
  <w:abstractNum w:abstractNumId="25">
    <w:nsid w:val="275AC794"/>
    <w:multiLevelType w:val="hybridMultilevel"/>
    <w:lvl w:ilvl="0">
      <w:lvlJc w:val="left"/>
      <w:lvlText w:val="(%1)"/>
      <w:numFmt w:val="lowerLetter"/>
      <w:start w:val="1"/>
    </w:lvl>
    <w:lvl w:ilvl="1">
      <w:lvlJc w:val="left"/>
      <w:lvlText w:val="(%2)"/>
      <w:numFmt w:val="lowerRoman"/>
      <w:start w:val="1"/>
    </w:lvl>
  </w:abstractNum>
  <w:abstractNum w:abstractNumId="26">
    <w:nsid w:val="39386575"/>
    <w:multiLevelType w:val="hybridMultilevel"/>
    <w:lvl w:ilvl="0">
      <w:lvlJc w:val="left"/>
      <w:lvlText w:val="(%1)"/>
      <w:numFmt w:val="lowerLetter"/>
      <w:start w:val="4"/>
    </w:lvl>
    <w:lvl w:ilvl="1">
      <w:lvlJc w:val="left"/>
      <w:lvlText w:val="(%2)"/>
      <w:numFmt w:val="lowerRoman"/>
      <w:start w:val="1"/>
    </w:lvl>
  </w:abstractNum>
  <w:abstractNum w:abstractNumId="27">
    <w:nsid w:val="1CF10FD8"/>
    <w:multiLevelType w:val="hybridMultilevel"/>
    <w:lvl w:ilvl="0">
      <w:lvlJc w:val="left"/>
      <w:lvlText w:val="%1."/>
      <w:numFmt w:val="decimal"/>
      <w:start w:val="9"/>
    </w:lvl>
  </w:abstractNum>
  <w:abstractNum w:abstractNumId="28">
    <w:nsid w:val="180115BE"/>
    <w:multiLevelType w:val="hybridMultilevel"/>
    <w:lvl w:ilvl="0">
      <w:lvlJc w:val="left"/>
      <w:lvlText w:val="%1."/>
      <w:numFmt w:val="decimal"/>
      <w:start w:val="10"/>
    </w:lvl>
  </w:abstractNum>
  <w:abstractNum w:abstractNumId="29">
    <w:nsid w:val="235BA861"/>
    <w:multiLevelType w:val="hybridMultilevel"/>
    <w:lvl w:ilvl="0">
      <w:lvlJc w:val="left"/>
      <w:lvlText w:val="(%1)"/>
      <w:numFmt w:val="lowerLetter"/>
      <w:start w:val="1"/>
    </w:lvl>
    <w:lvl w:ilvl="1">
      <w:lvlJc w:val="left"/>
      <w:lvlText w:val="(%2)"/>
      <w:numFmt w:val="lowerLetter"/>
      <w:start w:val="9"/>
    </w:lvl>
  </w:abstractNum>
  <w:abstractNum w:abstractNumId="30">
    <w:nsid w:val="47398C89"/>
    <w:multiLevelType w:val="hybridMultilevel"/>
    <w:lvl w:ilvl="0">
      <w:lvlJc w:val="left"/>
      <w:lvlText w:val="%1"/>
      <w:numFmt w:val="lowerLetter"/>
      <w:start w:val="1"/>
    </w:lvl>
    <w:lvl w:ilvl="1">
      <w:lvlJc w:val="left"/>
      <w:lvlText w:val="(%2)"/>
      <w:numFmt w:val="lowerLetter"/>
      <w:start w:val="35"/>
    </w:lvl>
  </w:abstractNum>
  <w:abstractNum w:abstractNumId="31">
    <w:nsid w:val="354FE9F9"/>
    <w:multiLevelType w:val="hybridMultilevel"/>
    <w:lvl w:ilvl="0">
      <w:lvlJc w:val="left"/>
      <w:lvlText w:val="%1"/>
      <w:numFmt w:val="lowerLetter"/>
      <w:start w:val="1"/>
    </w:lvl>
    <w:lvl w:ilvl="1">
      <w:lvlJc w:val="left"/>
      <w:lvlText w:val="(%2)"/>
      <w:numFmt w:val="lowerLetter"/>
      <w:start w:val="61"/>
    </w:lvl>
  </w:abstractNum>
  <w:abstractNum w:abstractNumId="32">
    <w:nsid w:val="15B5AF5C"/>
    <w:multiLevelType w:val="hybridMultilevel"/>
    <w:lvl w:ilvl="0">
      <w:lvlJc w:val="left"/>
      <w:lvlText w:val="(%1)"/>
      <w:numFmt w:val="lowerLetter"/>
      <w:start w:val="2"/>
    </w:lvl>
    <w:lvl w:ilvl="1">
      <w:lvlJc w:val="left"/>
      <w:lvlText w:val="(%2)"/>
      <w:numFmt w:val="lowerLetter"/>
      <w:start w:val="9"/>
    </w:lvl>
  </w:abstractNum>
  <w:abstractNum w:abstractNumId="33">
    <w:nsid w:val="741226BB"/>
    <w:multiLevelType w:val="hybridMultilevel"/>
    <w:lvl w:ilvl="0">
      <w:lvlJc w:val="left"/>
      <w:lvlText w:val="(%1)"/>
      <w:numFmt w:val="lowerRoman"/>
      <w:start w:val="2"/>
    </w:lvl>
  </w:abstractNum>
  <w:abstractNum w:abstractNumId="34">
    <w:nsid w:val="D34B6A8"/>
    <w:multiLevelType w:val="hybridMultilevel"/>
    <w:lvl w:ilvl="0">
      <w:lvlJc w:val="left"/>
      <w:lvlText w:val="(%1)"/>
      <w:numFmt w:val="lowerLetter"/>
      <w:start w:val="3"/>
    </w:lvl>
  </w:abstractNum>
  <w:abstractNum w:abstractNumId="35">
    <w:nsid w:val="10233C99"/>
    <w:multiLevelType w:val="hybridMultilevel"/>
    <w:lvl w:ilvl="0">
      <w:lvlJc w:val="left"/>
      <w:lvlText w:val="%1."/>
      <w:numFmt w:val="decimal"/>
      <w:start w:val="11"/>
    </w:lvl>
  </w:abstractNum>
  <w:abstractNum w:abstractNumId="36">
    <w:nsid w:val="3F6AB60F"/>
    <w:multiLevelType w:val="hybridMultilevel"/>
    <w:lvl w:ilvl="0">
      <w:lvlJc w:val="left"/>
      <w:lvlText w:val="(%1)"/>
      <w:numFmt w:val="lowerLetter"/>
      <w:start w:val="1"/>
    </w:lvl>
  </w:abstractNum>
  <w:abstractNum w:abstractNumId="37">
    <w:nsid w:val="61574095"/>
    <w:multiLevelType w:val="hybridMultilevel"/>
    <w:lvl w:ilvl="0">
      <w:lvlJc w:val="left"/>
      <w:lvlText w:val="(%1)"/>
      <w:numFmt w:val="lowerLetter"/>
      <w:start w:val="3"/>
    </w:lvl>
  </w:abstractNum>
  <w:abstractNum w:abstractNumId="38">
    <w:nsid w:val="7E0C57B1"/>
    <w:multiLevelType w:val="hybridMultilevel"/>
    <w:lvl w:ilvl="0">
      <w:lvlJc w:val="left"/>
      <w:lvlText w:val="%1."/>
      <w:numFmt w:val="decimal"/>
      <w:start w:val="12"/>
    </w:lvl>
  </w:abstractNum>
  <w:abstractNum w:abstractNumId="39">
    <w:nsid w:val="77AE35EB"/>
    <w:multiLevelType w:val="hybridMultilevel"/>
    <w:lvl w:ilvl="0">
      <w:lvlJc w:val="left"/>
      <w:lvlText w:val="(%1)"/>
      <w:numFmt w:val="lowerLetter"/>
      <w:start w:val="1"/>
    </w:lvl>
    <w:lvl w:ilvl="1">
      <w:lvlJc w:val="left"/>
      <w:lvlText w:val="(%2)"/>
      <w:numFmt w:val="lowerRoman"/>
      <w:start w:val="1"/>
    </w:lvl>
  </w:abstractNum>
  <w:abstractNum w:abstractNumId="40">
    <w:nsid w:val="579BE4F1"/>
    <w:multiLevelType w:val="hybridMultilevel"/>
    <w:lvl w:ilvl="0">
      <w:lvlJc w:val="left"/>
      <w:lvlText w:val="%1"/>
      <w:numFmt w:val="lowerLetter"/>
      <w:start w:val="1"/>
    </w:lvl>
    <w:lvl w:ilvl="1">
      <w:lvlJc w:val="left"/>
      <w:lvlText w:val="(%2)"/>
      <w:numFmt w:val="lowerLetter"/>
      <w:start w:val="61"/>
    </w:lvl>
  </w:abstractNum>
  <w:abstractNum w:abstractNumId="41">
    <w:nsid w:val="310C50B3"/>
    <w:multiLevelType w:val="hybridMultilevel"/>
    <w:lvl w:ilvl="0">
      <w:lvlJc w:val="left"/>
      <w:lvlText w:val="(%1)"/>
      <w:numFmt w:val="lowerLetter"/>
      <w:start w:val="3"/>
    </w:lvl>
    <w:lvl w:ilvl="1">
      <w:lvlJc w:val="left"/>
      <w:lvlText w:val="(%2)"/>
      <w:numFmt w:val="lowerLetter"/>
      <w:start w:val="9"/>
    </w:lvl>
  </w:abstractNum>
  <w:abstractNum w:abstractNumId="42">
    <w:nsid w:val="5FF87E05"/>
    <w:multiLevelType w:val="hybridMultilevel"/>
    <w:lvl w:ilvl="0">
      <w:lvlJc w:val="left"/>
      <w:lvlText w:val="(%1)"/>
      <w:numFmt w:val="lowerRoman"/>
      <w:start w:val="2"/>
    </w:lvl>
  </w:abstractNum>
  <w:abstractNum w:abstractNumId="43">
    <w:nsid w:val="2F305DEF"/>
    <w:multiLevelType w:val="hybridMultilevel"/>
    <w:lvl w:ilvl="0">
      <w:lvlJc w:val="left"/>
      <w:lvlText w:val="%1"/>
      <w:numFmt w:val="lowerLetter"/>
      <w:start w:val="1"/>
    </w:lvl>
    <w:lvl w:ilvl="1">
      <w:lvlJc w:val="left"/>
      <w:lvlText w:val="(%2)"/>
      <w:numFmt w:val="lowerRoman"/>
      <w:start w:val="4"/>
    </w:lvl>
  </w:abstractNum>
  <w:abstractNum w:abstractNumId="44">
    <w:nsid w:val="25A70BF7"/>
    <w:multiLevelType w:val="hybridMultilevel"/>
    <w:lvl w:ilvl="0">
      <w:lvlJc w:val="left"/>
      <w:lvlText w:val="(%1)"/>
      <w:numFmt w:val="lowerLetter"/>
      <w:start w:val="4"/>
    </w:lvl>
    <w:lvl w:ilvl="1">
      <w:lvlJc w:val="left"/>
      <w:lvlText w:val="(%2)"/>
      <w:numFmt w:val="lowerRoman"/>
      <w:start w:val="1"/>
    </w:lvl>
  </w:abstractNum>
  <w:abstractNum w:abstractNumId="45">
    <w:nsid w:val="1DBABF00"/>
    <w:multiLevelType w:val="hybridMultilevel"/>
    <w:lvl w:ilvl="0">
      <w:lvlJc w:val="left"/>
      <w:lvlText w:val="%1"/>
      <w:numFmt w:val="lowerLetter"/>
      <w:start w:val="1"/>
    </w:lvl>
    <w:lvl w:ilvl="1">
      <w:lvlJc w:val="left"/>
      <w:lvlText w:val="(%2)"/>
      <w:numFmt w:val="lowerLetter"/>
      <w:start w:val="61"/>
    </w:lvl>
  </w:abstractNum>
  <w:abstractNum w:abstractNumId="46">
    <w:nsid w:val="4AD084E9"/>
    <w:multiLevelType w:val="hybridMultilevel"/>
    <w:lvl w:ilvl="0">
      <w:lvlJc w:val="left"/>
      <w:lvlText w:val="(%1)"/>
      <w:numFmt w:val="lowerLetter"/>
      <w:start w:val="5"/>
    </w:lvl>
    <w:lvl w:ilvl="1">
      <w:lvlJc w:val="left"/>
      <w:lvlText w:val="%2"/>
      <w:numFmt w:val="lowerLetter"/>
      <w:start w:val="1"/>
    </w:lvl>
  </w:abstractNum>
  <w:abstractNum w:abstractNumId="47">
    <w:nsid w:val="1F48EAA1"/>
    <w:multiLevelType w:val="hybridMultilevel"/>
    <w:lvl w:ilvl="0">
      <w:lvlJc w:val="left"/>
      <w:lvlText w:val="(%1)"/>
      <w:numFmt w:val="lowerLetter"/>
      <w:start w:val="8"/>
    </w:lvl>
    <w:lvl w:ilvl="1">
      <w:lvlJc w:val="left"/>
      <w:lvlText w:val="(%2)"/>
      <w:numFmt w:val="lowerLetter"/>
      <w:start w:val="9"/>
    </w:lvl>
  </w:abstractNum>
  <w:abstractNum w:abstractNumId="48">
    <w:nsid w:val="1381823A"/>
    <w:multiLevelType w:val="hybridMultilevel"/>
    <w:lvl w:ilvl="0">
      <w:lvlJc w:val="left"/>
      <w:lvlText w:val="%1"/>
      <w:numFmt w:val="lowerLetter"/>
      <w:start w:val="1"/>
    </w:lvl>
    <w:lvl w:ilvl="1">
      <w:lvlJc w:val="left"/>
      <w:lvlText w:val="(%2)"/>
      <w:numFmt w:val="lowerLetter"/>
      <w:start w:val="35"/>
    </w:lvl>
  </w:abstractNum>
  <w:abstractNum w:abstractNumId="49">
    <w:nsid w:val="5DB70AE5"/>
    <w:multiLevelType w:val="hybridMultilevel"/>
    <w:lvl w:ilvl="0">
      <w:lvlJc w:val="left"/>
      <w:lvlText w:val="(%1)"/>
      <w:numFmt w:val="lowerLetter"/>
      <w:start w:val="11"/>
    </w:lvl>
    <w:lvl w:ilvl="1">
      <w:lvlJc w:val="left"/>
      <w:lvlText w:val="%2"/>
      <w:numFmt w:val="lowerLetter"/>
      <w:start w:val="1"/>
    </w:lvl>
  </w:abstractNum>
  <w:abstractNum w:abstractNumId="50">
    <w:nsid w:val="100F8FCA"/>
    <w:multiLevelType w:val="hybridMultilevel"/>
    <w:lvl w:ilvl="0">
      <w:lvlJc w:val="left"/>
      <w:lvlText w:val="(%1)"/>
      <w:numFmt w:val="lowerLetter"/>
      <w:start w:val="12"/>
    </w:lvl>
  </w:abstractNum>
  <w:abstractNum w:abstractNumId="51">
    <w:nsid w:val="6590700B"/>
    <w:multiLevelType w:val="hybridMultilevel"/>
    <w:lvl w:ilvl="0">
      <w:lvlJc w:val="left"/>
      <w:lvlText w:val="(%1)"/>
      <w:numFmt w:val="lowerLetter"/>
      <w:start w:val="16"/>
    </w:lvl>
    <w:lvl w:ilvl="1">
      <w:lvlJc w:val="left"/>
      <w:lvlText w:val="(%2)"/>
      <w:numFmt w:val="lowerLetter"/>
      <w:start w:val="9"/>
    </w:lvl>
  </w:abstractNum>
  <w:abstractNum w:abstractNumId="52">
    <w:nsid w:val="15014AC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53">
    <w:nsid w:val="5F5E7FD0"/>
    <w:multiLevelType w:val="hybridMultilevel"/>
    <w:lvl w:ilvl="0">
      <w:lvlJc w:val="left"/>
      <w:lvlText w:val="%1"/>
      <w:numFmt w:val="lowerLetter"/>
      <w:start w:val="1"/>
    </w:lvl>
    <w:lvl w:ilvl="1">
      <w:lvlJc w:val="left"/>
      <w:lvlText w:val="(%2)"/>
      <w:numFmt w:val="lowerLetter"/>
      <w:start w:val="21"/>
    </w:lvl>
    <w:lvl w:ilvl="2">
      <w:lvlJc w:val="left"/>
      <w:lvlText w:val="%3"/>
      <w:numFmt w:val="lowerRoman"/>
      <w:start w:val="1"/>
    </w:lvl>
  </w:abstractNum>
  <w:abstractNum w:abstractNumId="54">
    <w:nsid w:val="98A3148"/>
    <w:multiLevelType w:val="hybridMultilevel"/>
    <w:lvl w:ilvl="0">
      <w:lvlJc w:val="left"/>
      <w:lvlText w:val="(%1)"/>
      <w:numFmt w:val="lowerLetter"/>
      <w:start w:val="35"/>
    </w:lvl>
    <w:lvl w:ilvl="1">
      <w:lvlJc w:val="left"/>
      <w:lvlText w:val="(%2)"/>
      <w:numFmt w:val="lowerLetter"/>
      <w:start w:val="22"/>
    </w:lvl>
    <w:lvl w:ilvl="2">
      <w:lvlJc w:val="left"/>
      <w:lvlText w:val="%3"/>
      <w:numFmt w:val="lowerRoman"/>
      <w:start w:val="1"/>
    </w:lvl>
  </w:abstractNum>
  <w:abstractNum w:abstractNumId="55">
    <w:nsid w:val="799D0247"/>
    <w:multiLevelType w:val="hybridMultilevel"/>
    <w:lvl w:ilvl="0">
      <w:lvlJc w:val="left"/>
      <w:lvlText w:val="(%1)"/>
      <w:numFmt w:val="lowerRoman"/>
      <w:start w:val="10"/>
    </w:lvl>
  </w:abstractNum>
  <w:abstractNum w:abstractNumId="56">
    <w:nsid w:val="6B94764"/>
    <w:multiLevelType w:val="hybridMultilevel"/>
    <w:lvl w:ilvl="0">
      <w:lvlJc w:val="left"/>
      <w:lvlText w:val="%1."/>
      <w:numFmt w:val="decimal"/>
      <w:start w:val="1"/>
    </w:lvl>
  </w:abstractNum>
  <w:abstractNum w:abstractNumId="57">
    <w:nsid w:val="42C296BD"/>
    <w:multiLevelType w:val="hybridMultilevel"/>
    <w:lvl w:ilvl="0">
      <w:lvlJc w:val="left"/>
      <w:lvlText w:val="%1"/>
      <w:numFmt w:val="decimal"/>
      <w:start w:val="1"/>
    </w:lvl>
    <w:lvl w:ilvl="1">
      <w:lvlJc w:val="left"/>
      <w:lvlText w:val="(%2)"/>
      <w:numFmt w:val="lowerRoman"/>
      <w:start w:val="1"/>
    </w:lvl>
  </w:abstractNum>
  <w:abstractNum w:abstractNumId="58">
    <w:nsid w:val="168E121F"/>
    <w:multiLevelType w:val="hybridMultilevel"/>
    <w:lvl w:ilvl="0">
      <w:lvlJc w:val="left"/>
      <w:lvlText w:val="%1."/>
      <w:numFmt w:val="decimal"/>
      <w:start w:val="5"/>
    </w:lvl>
    <w:lvl w:ilvl="1">
      <w:lvlJc w:val="left"/>
      <w:lvlText w:val="%2"/>
      <w:numFmt w:val="lowerRoman"/>
      <w:start w:val="1"/>
    </w:lvl>
  </w:abstractNum>
  <w:abstractNum w:abstractNumId="59">
    <w:nsid w:val="1EBA5D23"/>
    <w:multiLevelType w:val="hybridMultilevel"/>
    <w:lvl w:ilvl="0">
      <w:lvlJc w:val="left"/>
      <w:lvlText w:val="%1."/>
      <w:numFmt w:val="decimal"/>
      <w:start w:val="7"/>
    </w:lvl>
  </w:abstractNum>
  <w:abstractNum w:abstractNumId="60">
    <w:nsid w:val="661E3F1E"/>
    <w:multiLevelType w:val="hybridMultilevel"/>
    <w:lvl w:ilvl="0">
      <w:lvlJc w:val="left"/>
      <w:lvlText w:val="%1."/>
      <w:numFmt w:val="decimal"/>
      <w:start w:val="13"/>
    </w:lvl>
  </w:abstractNum>
  <w:abstractNum w:abstractNumId="61">
    <w:nsid w:val="5DC79EA8"/>
    <w:multiLevelType w:val="hybridMultilevel"/>
    <w:lvl w:ilvl="0">
      <w:lvlJc w:val="left"/>
      <w:lvlText w:val="%1."/>
      <w:numFmt w:val="decimal"/>
      <w:start w:val="1"/>
    </w:lvl>
  </w:abstractNum>
  <w:abstractNum w:abstractNumId="62">
    <w:nsid w:val="540A471C"/>
    <w:multiLevelType w:val="hybridMultilevel"/>
    <w:lvl w:ilvl="0">
      <w:lvlJc w:val="left"/>
      <w:lvlText w:val="%1"/>
      <w:numFmt w:val="decimal"/>
      <w:start w:val="1"/>
    </w:lvl>
    <w:lvl w:ilvl="1">
      <w:lvlJc w:val="left"/>
      <w:lvlText w:val="(%2)"/>
      <w:numFmt w:val="lowerRoman"/>
      <w:start w:val="1"/>
    </w:lvl>
  </w:abstractNum>
  <w:abstractNum w:abstractNumId="63">
    <w:nsid w:val="7BD3EE7B"/>
    <w:multiLevelType w:val="hybridMultilevel"/>
    <w:lvl w:ilvl="0">
      <w:lvlJc w:val="left"/>
      <w:lvlText w:val="%1."/>
      <w:numFmt w:val="decimal"/>
      <w:start w:val="5"/>
    </w:lvl>
    <w:lvl w:ilvl="1">
      <w:lvlJc w:val="left"/>
      <w:lvlText w:val="%2"/>
      <w:numFmt w:val="lowerRoman"/>
      <w:start w:val="1"/>
    </w:lvl>
  </w:abstractNum>
  <w:abstractNum w:abstractNumId="64">
    <w:nsid w:val="51D9C564"/>
    <w:multiLevelType w:val="hybridMultilevel"/>
    <w:lvl w:ilvl="0">
      <w:lvlJc w:val="left"/>
      <w:lvlText w:val="%1."/>
      <w:numFmt w:val="decimal"/>
      <w:start w:val="7"/>
    </w:lvl>
  </w:abstractNum>
  <w:abstractNum w:abstractNumId="65">
    <w:nsid w:val="613EFDC5"/>
    <w:multiLevelType w:val="hybridMultilevel"/>
    <w:lvl w:ilvl="0">
      <w:lvlJc w:val="left"/>
      <w:lvlText w:val="%1."/>
      <w:numFmt w:val="decimal"/>
      <w:start w:val="13"/>
    </w:lvl>
  </w:abstractNum>
  <w:abstractNum w:abstractNumId="66">
    <w:nsid w:val="BF72B14"/>
    <w:multiLevelType w:val="hybridMultilevel"/>
    <w:lvl w:ilvl="0">
      <w:lvlJc w:val="left"/>
      <w:lvlText w:val="%1."/>
      <w:numFmt w:val="decimal"/>
      <w:start w:val="1"/>
    </w:lvl>
  </w:abstractNum>
  <w:abstractNum w:abstractNumId="67">
    <w:nsid w:val="11447B73"/>
    <w:multiLevelType w:val="hybridMultilevel"/>
    <w:lvl w:ilvl="0">
      <w:lvlJc w:val="left"/>
      <w:lvlText w:val="%1"/>
      <w:numFmt w:val="decimal"/>
      <w:start w:val="1"/>
    </w:lvl>
    <w:lvl w:ilvl="1">
      <w:lvlJc w:val="left"/>
      <w:lvlText w:val="(%2)"/>
      <w:numFmt w:val="lowerRoman"/>
      <w:start w:val="1"/>
    </w:lvl>
  </w:abstractNum>
  <w:abstractNum w:abstractNumId="68">
    <w:nsid w:val="42963E5A"/>
    <w:multiLevelType w:val="hybridMultilevel"/>
    <w:lvl w:ilvl="0">
      <w:lvlJc w:val="left"/>
      <w:lvlText w:val="%1."/>
      <w:numFmt w:val="decimal"/>
      <w:start w:val="5"/>
    </w:lvl>
    <w:lvl w:ilvl="1">
      <w:lvlJc w:val="left"/>
      <w:lvlText w:val="%2"/>
      <w:numFmt w:val="lowerRoman"/>
      <w:start w:val="1"/>
    </w:lvl>
  </w:abstractNum>
  <w:abstractNum w:abstractNumId="69">
    <w:nsid w:val="A0382C5"/>
    <w:multiLevelType w:val="hybridMultilevel"/>
    <w:lvl w:ilvl="0">
      <w:lvlJc w:val="left"/>
      <w:lvlText w:val="%1."/>
      <w:numFmt w:val="decimal"/>
      <w:start w:val="7"/>
    </w:lvl>
  </w:abstractNum>
  <w:abstractNum w:abstractNumId="70">
    <w:nsid w:val="8F2B15E"/>
    <w:multiLevelType w:val="hybridMultilevel"/>
    <w:lvl w:ilvl="0">
      <w:lvlJc w:val="left"/>
      <w:lvlText w:val="%1."/>
      <w:numFmt w:val="decimal"/>
      <w:start w:val="13"/>
    </w:lvl>
  </w:abstractNum>
  <w:abstractNum w:abstractNumId="71">
    <w:nsid w:val="1A32234B"/>
    <w:multiLevelType w:val="hybridMultilevel"/>
    <w:lvl w:ilvl="0">
      <w:lvlJc w:val="left"/>
      <w:lvlText w:val="%1."/>
      <w:numFmt w:val="decimal"/>
      <w:start w:val="1"/>
    </w:lvl>
  </w:abstractNum>
  <w:abstractNum w:abstractNumId="72">
    <w:nsid w:val="3B0FD379"/>
    <w:multiLevelType w:val="hybridMultilevel"/>
    <w:lvl w:ilvl="0">
      <w:lvlJc w:val="left"/>
      <w:lvlText w:val="%1."/>
      <w:numFmt w:val="decimal"/>
      <w:start w:val="7"/>
    </w:lvl>
  </w:abstractNum>
  <w:abstractNum w:abstractNumId="73">
    <w:nsid w:val="68EB2F63"/>
    <w:multiLevelType w:val="hybridMultilevel"/>
    <w:lvl w:ilvl="0">
      <w:lvlJc w:val="left"/>
      <w:lvlText w:val="%1."/>
      <w:numFmt w:val="decimal"/>
      <w:start w:val="12"/>
    </w:lvl>
  </w:abstractNum>
  <w:abstractNum w:abstractNumId="74">
    <w:nsid w:val="4962813B"/>
    <w:multiLevelType w:val="hybridMultilevel"/>
    <w:lvl w:ilvl="0">
      <w:lvlJc w:val="left"/>
      <w:lvlText w:val="%1."/>
      <w:numFmt w:val="decimal"/>
      <w:start w:val="1"/>
    </w:lvl>
    <w:lvl w:ilvl="1">
      <w:lvlJc w:val="left"/>
      <w:lvlText w:val="(%2)"/>
      <w:numFmt w:val="lowerRoman"/>
      <w:start w:val="1"/>
    </w:lvl>
  </w:abstractNum>
  <w:abstractNum w:abstractNumId="75">
    <w:nsid w:val="60B6DF70"/>
    <w:multiLevelType w:val="hybridMultilevel"/>
    <w:lvl w:ilvl="0">
      <w:lvlJc w:val="left"/>
      <w:lvlText w:val="%1."/>
      <w:numFmt w:val="decimal"/>
      <w:start w:val="6"/>
    </w:lvl>
  </w:abstractNum>
  <w:abstractNum w:abstractNumId="76">
    <w:nsid w:val="6A5EE64"/>
    <w:multiLevelType w:val="hybridMultilevel"/>
    <w:lvl w:ilvl="0">
      <w:lvlJc w:val="left"/>
      <w:lvlText w:val="%1"/>
      <w:numFmt w:val="lowerLetter"/>
      <w:start w:val="1"/>
    </w:lvl>
    <w:lvl w:ilvl="1">
      <w:lvlJc w:val="left"/>
      <w:lvlText w:val="(%2)"/>
      <w:numFmt w:val="lowerRoman"/>
      <w:start w:val="1"/>
    </w:lvl>
  </w:abstractNum>
  <w:abstractNum w:abstractNumId="77">
    <w:nsid w:val="14330624"/>
    <w:multiLevelType w:val="hybridMultilevel"/>
    <w:lvl w:ilvl="0">
      <w:lvlJc w:val="left"/>
      <w:lvlText w:val="(%1)"/>
      <w:numFmt w:val="lowerLetter"/>
      <w:start w:val="2"/>
    </w:lvl>
    <w:lvl w:ilvl="1">
      <w:lvlJc w:val="left"/>
      <w:lvlText w:val="(%2)"/>
      <w:numFmt w:val="lowerRoman"/>
      <w:start w:val="1"/>
    </w:lvl>
  </w:abstractNum>
  <w:abstractNum w:abstractNumId="78">
    <w:nsid w:val="7FFFCA11"/>
    <w:multiLevelType w:val="hybridMultilevel"/>
    <w:lvl w:ilvl="0">
      <w:lvlJc w:val="left"/>
      <w:lvlText w:val="(%1)"/>
      <w:numFmt w:val="lowerLetter"/>
      <w:start w:val="3"/>
    </w:lvl>
  </w:abstractNum>
  <w:abstractNum w:abstractNumId="79">
    <w:nsid w:val="1A27709E"/>
    <w:multiLevelType w:val="hybridMultilevel"/>
    <w:lvl w:ilvl="0">
      <w:lvlJc w:val="left"/>
      <w:lvlText w:val="(%1)"/>
      <w:numFmt w:val="decimal"/>
      <w:start w:val="14"/>
    </w:lvl>
  </w:abstractNum>
  <w:abstractNum w:abstractNumId="80">
    <w:nsid w:val="71EA1109"/>
    <w:multiLevelType w:val="hybridMultilevel"/>
    <w:lvl w:ilvl="0">
      <w:lvlJc w:val="left"/>
      <w:lvlText w:val="%1"/>
      <w:numFmt w:val="decimal"/>
      <w:start w:val="1"/>
    </w:lvl>
    <w:lvl w:ilvl="1">
      <w:lvlJc w:val="left"/>
      <w:lvlText w:val="(%2)"/>
      <w:numFmt w:val="lowerRoman"/>
      <w:start w:val="1"/>
    </w:lvl>
  </w:abstractNum>
  <w:abstractNum w:abstractNumId="81">
    <w:nsid w:val="100F59DC"/>
    <w:multiLevelType w:val="hybridMultilevel"/>
    <w:lvl w:ilvl="0">
      <w:lvlJc w:val="left"/>
      <w:lvlText w:val="%1."/>
      <w:numFmt w:val="decimal"/>
      <w:start w:val="7"/>
    </w:lvl>
    <w:lvl w:ilvl="1">
      <w:lvlJc w:val="left"/>
      <w:lvlText w:val="%2"/>
      <w:numFmt w:val="lowerRoman"/>
      <w:start w:val="1"/>
    </w:lvl>
  </w:abstractNum>
  <w:abstractNum w:abstractNumId="82">
    <w:nsid w:val="7FB7E0AA"/>
    <w:multiLevelType w:val="hybridMultilevel"/>
    <w:lvl w:ilvl="0">
      <w:lvlJc w:val="left"/>
      <w:lvlText w:val="%1."/>
      <w:numFmt w:val="decimal"/>
      <w:start w:val="9"/>
    </w:lvl>
    <w:lvl w:ilvl="1">
      <w:lvlJc w:val="left"/>
      <w:lvlText w:val="%2."/>
      <w:numFmt w:val="decimal"/>
      <w:start w:val="11"/>
    </w:lvl>
    <w:lvl w:ilvl="2">
      <w:lvlJc w:val="left"/>
      <w:lvlText w:val="%3."/>
      <w:numFmt w:val="decimal"/>
      <w:start w:val="12"/>
    </w:lvl>
  </w:abstractNum>
  <w:abstractNum w:abstractNumId="83">
    <w:nsid w:val="6EB5BD4"/>
    <w:multiLevelType w:val="hybridMultilevel"/>
    <w:lvl w:ilvl="0">
      <w:lvlJc w:val="left"/>
      <w:lvlText w:val="%1."/>
      <w:numFmt w:val="decimal"/>
      <w:start w:val="13"/>
    </w:lvl>
  </w:abstractNum>
  <w:abstractNum w:abstractNumId="84">
    <w:nsid w:val="6F6DD9AC"/>
    <w:multiLevelType w:val="hybridMultilevel"/>
    <w:lvl w:ilvl="0">
      <w:lvlJc w:val="left"/>
      <w:lvlText w:val="%1."/>
      <w:numFmt w:val="decimal"/>
      <w:start w:val="14"/>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2026-05-21T15:35:26Z</dcterms:created>
  <dcterms:modified xsi:type="dcterms:W3CDTF">2026-05-21T15:35:26Z</dcterms:modified>
</cp:coreProperties>
</file>