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357505</wp:posOffset>
            </wp:positionH>
            <wp:positionV relativeFrom="page">
              <wp:posOffset>164465</wp:posOffset>
            </wp:positionV>
            <wp:extent cx="68421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206375</wp:posOffset>
            </wp:positionV>
            <wp:extent cx="68421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2125" cy="8255"/>
                    </a:xfrm>
                    <a:prstGeom prst="rect">
                      <a:avLst/>
                    </a:prstGeom>
                    <a:noFill/>
                  </pic:spPr>
                </pic:pic>
              </a:graphicData>
            </a:graphic>
          </wp:anchor>
        </w:drawing>
        <w:t>UNITED STATES</w:t>
      </w:r>
    </w:p>
    <w:p>
      <w:pPr>
        <w:spacing w:after="0" w:line="2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2703830</wp:posOffset>
            </wp:positionH>
            <wp:positionV relativeFrom="paragraph">
              <wp:posOffset>200660</wp:posOffset>
            </wp:positionV>
            <wp:extent cx="1433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2703830</wp:posOffset>
            </wp:positionH>
            <wp:positionV relativeFrom="paragraph">
              <wp:posOffset>232410</wp:posOffset>
            </wp:positionV>
            <wp:extent cx="1433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ind w:right="-2"/>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4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September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2703830</wp:posOffset>
            </wp:positionH>
            <wp:positionV relativeFrom="paragraph">
              <wp:posOffset>227330</wp:posOffset>
            </wp:positionV>
            <wp:extent cx="1433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42"/>
          <w:szCs w:val="42"/>
          <w:b w:val="1"/>
          <w:bCs w:val="1"/>
          <w:color w:val="auto"/>
        </w:rPr>
        <w:t>AMERICAN TOWER CORPORATION</w:t>
      </w:r>
    </w:p>
    <w:p>
      <w:pPr>
        <w:spacing w:after="0" w:line="57"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2703830</wp:posOffset>
            </wp:positionH>
            <wp:positionV relativeFrom="paragraph">
              <wp:posOffset>203200</wp:posOffset>
            </wp:positionV>
            <wp:extent cx="1433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ectPr>
          <w:pgSz w:w="11900" w:h="16838" w:orient="portrait"/>
          <w:cols w:equalWidth="0" w:num="1">
            <w:col w:w="10783"/>
          </w:cols>
          <w:pgMar w:left="557" w:top="370" w:right="559" w:bottom="566" w:gutter="0" w:footer="0" w:header="0"/>
        </w:sectPr>
      </w:pPr>
    </w:p>
    <w:p>
      <w:pPr>
        <w:spacing w:after="0" w:line="200" w:lineRule="exact"/>
        <w:rPr>
          <w:sz w:val="24"/>
          <w:szCs w:val="24"/>
          <w:color w:val="auto"/>
        </w:rPr>
      </w:pPr>
    </w:p>
    <w:p>
      <w:pPr>
        <w:spacing w:after="0" w:line="363" w:lineRule="exact"/>
        <w:rPr>
          <w:sz w:val="24"/>
          <w:szCs w:val="24"/>
          <w:color w:val="auto"/>
        </w:rPr>
      </w:pPr>
    </w:p>
    <w:p>
      <w:pPr>
        <w:ind w:left="1483"/>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3"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7"/>
          <w:szCs w:val="17"/>
          <w:b w:val="1"/>
          <w:bCs w:val="1"/>
          <w:color w:val="auto"/>
        </w:rPr>
        <w:t>001-14195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65-0723837</w:t>
      </w:r>
    </w:p>
    <w:p>
      <w:pPr>
        <w:spacing w:after="0" w:line="14" w:lineRule="exact"/>
        <w:rPr>
          <w:sz w:val="24"/>
          <w:szCs w:val="24"/>
          <w:color w:val="auto"/>
        </w:rPr>
      </w:pPr>
    </w:p>
    <w:p>
      <w:pPr>
        <w:sectPr>
          <w:pgSz w:w="11900" w:h="16838" w:orient="portrait"/>
          <w:cols w:equalWidth="0" w:num="3">
            <w:col w:w="4403" w:space="720"/>
            <w:col w:w="2780" w:space="720"/>
            <w:col w:w="2160"/>
          </w:cols>
          <w:pgMar w:left="557" w:top="370" w:right="559" w:bottom="566" w:gutter="0" w:footer="0" w:header="0"/>
          <w:type w:val="continuous"/>
        </w:sectPr>
      </w:pPr>
    </w:p>
    <w:p>
      <w:pPr>
        <w:spacing w:after="0" w:line="11" w:lineRule="exact"/>
        <w:rPr>
          <w:sz w:val="24"/>
          <w:szCs w:val="24"/>
          <w:color w:val="auto"/>
        </w:rPr>
      </w:pPr>
    </w:p>
    <w:p>
      <w:pPr>
        <w:jc w:val="center"/>
        <w:ind w:right="717"/>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717"/>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2" w:lineRule="exact"/>
        <w:rPr>
          <w:sz w:val="24"/>
          <w:szCs w:val="24"/>
          <w:color w:val="auto"/>
        </w:rPr>
      </w:pPr>
    </w:p>
    <w:p>
      <w:pPr>
        <w:sectPr>
          <w:pgSz w:w="11900" w:h="16838" w:orient="portrait"/>
          <w:cols w:equalWidth="0" w:num="3">
            <w:col w:w="4383" w:space="720"/>
            <w:col w:w="2680" w:space="720"/>
            <w:col w:w="2280"/>
          </w:cols>
          <w:pgMar w:left="557" w:top="370" w:right="559" w:bottom="566" w:gutter="0" w:footer="0" w:header="0"/>
          <w:type w:val="continuous"/>
        </w:sect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116 Huntington Avenue</w:t>
      </w:r>
    </w:p>
    <w:p>
      <w:pPr>
        <w:spacing w:after="0" w:line="22"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55"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(617) 375-7500</w:t>
      </w:r>
    </w:p>
    <w:p>
      <w:pPr>
        <w:spacing w:after="0" w:line="18"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2"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8"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2703830</wp:posOffset>
            </wp:positionH>
            <wp:positionV relativeFrom="paragraph">
              <wp:posOffset>195580</wp:posOffset>
            </wp:positionV>
            <wp:extent cx="1433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ectPr>
          <w:pgSz w:w="11900" w:h="16838" w:orient="portrait"/>
          <w:cols w:equalWidth="0" w:num="1">
            <w:col w:w="10783"/>
          </w:cols>
          <w:pgMar w:left="557" w:top="370" w:right="559" w:bottom="566" w:gutter="0" w:footer="0" w:header="0"/>
          <w:type w:val="continuous"/>
        </w:sectPr>
      </w:pPr>
    </w:p>
    <w:p>
      <w:pPr>
        <w:spacing w:after="0" w:line="200" w:lineRule="exact"/>
        <w:rPr>
          <w:sz w:val="24"/>
          <w:szCs w:val="24"/>
          <w:color w:val="auto"/>
        </w:rPr>
      </w:pPr>
    </w:p>
    <w:p>
      <w:pPr>
        <w:spacing w:after="0" w:line="287" w:lineRule="exact"/>
        <w:rPr>
          <w:sz w:val="24"/>
          <w:szCs w:val="24"/>
          <w:color w:val="auto"/>
        </w:rPr>
      </w:pPr>
    </w:p>
    <w:p>
      <w:pPr>
        <w:ind w:left="3" w:right="480"/>
        <w:spacing w:after="0" w:line="27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3" w:hanging="423"/>
        <w:spacing w:after="0"/>
        <w:tabs>
          <w:tab w:leader="none" w:pos="4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3" w:lineRule="exact"/>
        <w:rPr>
          <w:rFonts w:ascii="MS PGothic" w:cs="MS PGothic" w:eastAsia="MS PGothic" w:hAnsi="MS PGothic"/>
          <w:sz w:val="18"/>
          <w:szCs w:val="18"/>
          <w:color w:val="auto"/>
        </w:rPr>
      </w:pPr>
    </w:p>
    <w:p>
      <w:pPr>
        <w:ind w:left="423" w:hanging="423"/>
        <w:spacing w:after="0"/>
        <w:tabs>
          <w:tab w:leader="none" w:pos="4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3" w:lineRule="exact"/>
        <w:rPr>
          <w:rFonts w:ascii="MS PGothic" w:cs="MS PGothic" w:eastAsia="MS PGothic" w:hAnsi="MS PGothic"/>
          <w:sz w:val="18"/>
          <w:szCs w:val="18"/>
          <w:color w:val="auto"/>
        </w:rPr>
      </w:pPr>
    </w:p>
    <w:p>
      <w:pPr>
        <w:ind w:left="423" w:hanging="423"/>
        <w:spacing w:after="0"/>
        <w:tabs>
          <w:tab w:leader="none" w:pos="4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3" w:lineRule="exact"/>
        <w:rPr>
          <w:rFonts w:ascii="MS PGothic" w:cs="MS PGothic" w:eastAsia="MS PGothic" w:hAnsi="MS PGothic"/>
          <w:sz w:val="18"/>
          <w:szCs w:val="18"/>
          <w:color w:val="auto"/>
        </w:rPr>
      </w:pPr>
    </w:p>
    <w:p>
      <w:pPr>
        <w:ind w:left="423" w:hanging="423"/>
        <w:spacing w:after="0"/>
        <w:tabs>
          <w:tab w:leader="none" w:pos="4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6" w:lineRule="exact"/>
        <w:rPr>
          <w:sz w:val="24"/>
          <w:szCs w:val="24"/>
          <w:color w:val="auto"/>
        </w:rPr>
      </w:pPr>
    </w:p>
    <w:tbl>
      <w:tblPr>
        <w:tblLayout w:type="fixed"/>
        <w:tblInd w:w="3" w:type="dxa"/>
        <w:tblCellMar>
          <w:top w:w="0" w:type="dxa"/>
          <w:left w:w="0" w:type="dxa"/>
          <w:bottom w:w="0" w:type="dxa"/>
          <w:right w:w="0" w:type="dxa"/>
        </w:tblCellMar>
      </w:tblPr>
      <w:tr>
        <w:trPr>
          <w:trHeight w:val="161"/>
        </w:trPr>
        <w:tc>
          <w:tcPr>
            <w:tcW w:w="3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3"/>
        </w:trPr>
        <w:tc>
          <w:tcPr>
            <w:tcW w:w="3780" w:type="dxa"/>
            <w:vAlign w:val="bottom"/>
            <w:gridSpan w:val="2"/>
            <w:vMerge w:val="continue"/>
          </w:tcPr>
          <w:p>
            <w:pPr>
              <w:spacing w:after="0"/>
              <w:rPr>
                <w:sz w:val="15"/>
                <w:szCs w:val="15"/>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6"/>
        </w:trPr>
        <w:tc>
          <w:tcPr>
            <w:tcW w:w="366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Common Stock, $0.01 par value</w:t>
            </w:r>
          </w:p>
        </w:tc>
        <w:tc>
          <w:tcPr>
            <w:tcW w:w="120" w:type="dxa"/>
            <w:vAlign w:val="bottom"/>
          </w:tcPr>
          <w:p>
            <w:pPr>
              <w:spacing w:after="0"/>
              <w:rPr>
                <w:sz w:val="16"/>
                <w:szCs w:val="16"/>
                <w:color w:val="auto"/>
              </w:rPr>
            </w:pPr>
          </w:p>
        </w:tc>
        <w:tc>
          <w:tcPr>
            <w:tcW w:w="344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AMT</w:t>
            </w:r>
          </w:p>
        </w:tc>
        <w:tc>
          <w:tcPr>
            <w:tcW w:w="120" w:type="dxa"/>
            <w:vAlign w:val="bottom"/>
          </w:tcPr>
          <w:p>
            <w:pPr>
              <w:spacing w:after="0"/>
              <w:rPr>
                <w:sz w:val="16"/>
                <w:szCs w:val="16"/>
                <w:color w:val="auto"/>
              </w:rPr>
            </w:pPr>
          </w:p>
        </w:tc>
        <w:tc>
          <w:tcPr>
            <w:tcW w:w="344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1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1.950% Senior Notes due 2026</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AMT 26B</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1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0.450% Senior Notes due 2027</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AMT 27C</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1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0.400% Senior Notes due 2027</w:t>
            </w:r>
          </w:p>
        </w:tc>
        <w:tc>
          <w:tcPr>
            <w:tcW w:w="3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AMT 27D</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1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4.125% Senior Notes due 2027</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AMT 27F</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1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0.500% Senior Notes due 2028</w:t>
            </w:r>
          </w:p>
        </w:tc>
        <w:tc>
          <w:tcPr>
            <w:tcW w:w="3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AMT 28A</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1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0.875% Senior Notes due 2029</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AMT 29B</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1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0.950% Senior Notes due 2030</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AMT 30C</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1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3.900% Senior Notes due 2030</w:t>
            </w:r>
          </w:p>
        </w:tc>
        <w:tc>
          <w:tcPr>
            <w:tcW w:w="3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AMT 30D</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1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4.625% Senior Notes due 2031</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AMT 31B</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1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1.000% Senior Notes due 2032</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AMT 32</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1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3.625% Senior Notes due 2032</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AMT 32B</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1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1.250% Senior Notes due 2033</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AMT 33</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29"/>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4.100% Senior Notes due 2034</w:t>
            </w:r>
          </w:p>
        </w:tc>
        <w:tc>
          <w:tcPr>
            <w:tcW w:w="3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AMT 34A</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3" w:right="300"/>
        <w:spacing w:after="0" w:line="27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ind w:left="3"/>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4" w:lineRule="exact"/>
        <w:rPr>
          <w:sz w:val="24"/>
          <w:szCs w:val="24"/>
          <w:color w:val="auto"/>
        </w:rPr>
      </w:pPr>
    </w:p>
    <w:p>
      <w:pPr>
        <w:ind w:left="3" w:right="300"/>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67310</wp:posOffset>
            </wp:positionV>
            <wp:extent cx="6842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109220</wp:posOffset>
            </wp:positionV>
            <wp:extent cx="6842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ectPr>
          <w:pgSz w:w="11900" w:h="16838" w:orient="portrait"/>
          <w:cols w:equalWidth="0" w:num="1">
            <w:col w:w="10783"/>
          </w:cols>
          <w:pgMar w:left="557" w:top="370" w:right="559" w:bottom="566" w:gutter="0" w:footer="0" w:header="0"/>
          <w:type w:val="continuous"/>
        </w:sectPr>
      </w:pPr>
    </w:p>
    <w:bookmarkStart w:id="1" w:name="page2"/>
    <w:bookmarkEnd w:id="1"/>
    <w:p>
      <w:pPr>
        <w:ind w:left="3"/>
        <w:spacing w:after="0"/>
        <w:tabs>
          <w:tab w:leader="none" w:pos="1163"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2" w:lineRule="exact"/>
        <w:rPr>
          <w:sz w:val="20"/>
          <w:szCs w:val="20"/>
          <w:color w:val="auto"/>
        </w:rPr>
      </w:pPr>
    </w:p>
    <w:p>
      <w:pPr>
        <w:ind w:left="3" w:right="20" w:firstLine="431"/>
        <w:spacing w:after="0" w:line="248" w:lineRule="auto"/>
        <w:rPr>
          <w:sz w:val="20"/>
          <w:szCs w:val="20"/>
          <w:color w:val="auto"/>
        </w:rPr>
      </w:pPr>
      <w:r>
        <w:rPr>
          <w:rFonts w:ascii="Times New Roman" w:cs="Times New Roman" w:eastAsia="Times New Roman" w:hAnsi="Times New Roman"/>
          <w:sz w:val="18"/>
          <w:szCs w:val="18"/>
          <w:color w:val="auto"/>
        </w:rPr>
        <w:t>On September 16, 2025, American Tower Corporation (the “Company”) completed a registered public offering of $200.0 million aggregate principal amount of its 4.900% senior unsecured notes due 2030 (the “2030 notes”) and $375.0 million aggregate principal amount of its 5.350% senior unsecured notes due 2035 (the “2035 notes” and, together with the 2030 notes, the “Notes”), which resulted in aggregate net proceeds to the Company of approximately $587.8 million, after deducting commissions and estimated expenses. The 2030 notes will be consolidated, form a single series and be fully fungible, with the Company’s outstanding $650,000,000 4.900% senior unsecured notes due 2030 issued on March 14, 2025. The 2035 notes will be consolidated, form a single series and be fully fungible, with the Company’s outstanding $350,000,000 5.350% senior unsecured notes due 2035 issued on March 14, 2025. The Company intends to use the net proceeds to repay existing indebtedness under its $4.0 billion senior unsecured revolving credit facility and for general corporate purposes.</w:t>
      </w:r>
    </w:p>
    <w:p>
      <w:pPr>
        <w:spacing w:after="0" w:line="190" w:lineRule="exact"/>
        <w:rPr>
          <w:sz w:val="20"/>
          <w:szCs w:val="20"/>
          <w:color w:val="auto"/>
        </w:rPr>
      </w:pPr>
    </w:p>
    <w:p>
      <w:pPr>
        <w:ind w:left="3" w:firstLine="431"/>
        <w:spacing w:after="0" w:line="253" w:lineRule="auto"/>
        <w:rPr>
          <w:sz w:val="20"/>
          <w:szCs w:val="20"/>
          <w:color w:val="auto"/>
        </w:rPr>
      </w:pPr>
      <w:r>
        <w:rPr>
          <w:rFonts w:ascii="Times New Roman" w:cs="Times New Roman" w:eastAsia="Times New Roman" w:hAnsi="Times New Roman"/>
          <w:sz w:val="18"/>
          <w:szCs w:val="18"/>
          <w:color w:val="auto"/>
        </w:rPr>
        <w:t>The Company issued the Notes under an indenture dated as of June 1, 2022 (the “Base Indenture”), as supplemented by a supplemental indenture dated as of March 14, 2025 (the “Supplemental Indenture No. 8” and, together with the Base Indenture, the “Indenture”), each between the Company and U.S. Bank Trust Company, National Association, as trustee (the “Trustee”). The following description of the Indenture is a summary and is qualified in its entirety by reference to the detailed provisions of the Indenture.</w:t>
      </w:r>
    </w:p>
    <w:p>
      <w:pPr>
        <w:spacing w:after="0" w:line="184" w:lineRule="exact"/>
        <w:rPr>
          <w:sz w:val="20"/>
          <w:szCs w:val="20"/>
          <w:color w:val="auto"/>
        </w:rPr>
      </w:pPr>
    </w:p>
    <w:p>
      <w:pPr>
        <w:ind w:left="3" w:right="40" w:firstLine="431"/>
        <w:spacing w:after="0" w:line="266" w:lineRule="auto"/>
        <w:rPr>
          <w:sz w:val="20"/>
          <w:szCs w:val="20"/>
          <w:color w:val="auto"/>
        </w:rPr>
      </w:pPr>
      <w:r>
        <w:rPr>
          <w:rFonts w:ascii="Times New Roman" w:cs="Times New Roman" w:eastAsia="Times New Roman" w:hAnsi="Times New Roman"/>
          <w:sz w:val="17"/>
          <w:szCs w:val="17"/>
          <w:color w:val="auto"/>
        </w:rPr>
        <w:t>The 2030 notes will mature on March 15, 2030 and bear interest at a rate of 4.900% per annum. The 2035 notes will mature on March 15, 2035 and bear interest at a rate of 5.350% per annum. Accrued and unpaid interest on the Notes will be payable in U.S. Dollars semi-annually in arrears on March 15 and September 15 of each year, beginning on March 15, 2026. Interest on the Notes will accrue from September 15, 2025 and will be computed on the basis of a 360-day year comprised of twelve 30-day months. The terms of the Indenture, among other things, limit (a) the Company’s ability to merge, consolidate or sell assets and (b) the Company’s and its subsidiaries’ abilities to incur liens. These covenants are subject to a number of exceptions, including that the Company and its subsidiaries may incur liens on assets, mortgages or other liens securing indebtedness, provided the aggregate amount of indebtedness secured by such liens shall not exceed 3.5x Adjusted EBITDA as defined in the Indenture.</w:t>
      </w:r>
    </w:p>
    <w:p>
      <w:pPr>
        <w:spacing w:after="0" w:line="174"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7"/>
          <w:szCs w:val="17"/>
          <w:color w:val="auto"/>
        </w:rPr>
        <w:t>The Company may redeem the Notes at any time, in whole or in part, at its election at the applicable redemption price. If the Company redeems</w:t>
      </w:r>
    </w:p>
    <w:p>
      <w:pPr>
        <w:spacing w:after="0" w:line="33" w:lineRule="exact"/>
        <w:rPr>
          <w:sz w:val="20"/>
          <w:szCs w:val="20"/>
          <w:color w:val="auto"/>
        </w:rPr>
      </w:pPr>
    </w:p>
    <w:p>
      <w:pPr>
        <w:ind w:left="3" w:right="80" w:hanging="3"/>
        <w:spacing w:after="0" w:line="245" w:lineRule="auto"/>
        <w:tabs>
          <w:tab w:leader="none" w:pos="2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2030 notes prior to February 15, 2030 or (b) the 2035 notes prior to December 15, 2034, the Company shall pay a redemption price equal to 100% of the principal amount of the notes being redeemed plus a make-whole premium, together with accrued interest to the redemption date. If the Company redeems (a) the 2030 notes on or after February 15, 2030 or (b) the 2035 notes on or after December 15, 2034, the Company shall pay a redemption price equal to 100% of the principal amount of the notes being redeemed plus accrued interest to the redemption date. In addition, if the Company undergoes a Change of Control and Ratings Decline, each as defined in the Indenture, the Company may be required to repurchase all of the Notes at a purchase price equal to 101% of the principal amount of the Notes, plus accrued and unpaid interest (including additional interest, if any), up to but not including the repurchase date.</w:t>
      </w:r>
    </w:p>
    <w:p>
      <w:pPr>
        <w:spacing w:after="0" w:line="193" w:lineRule="exact"/>
        <w:rPr>
          <w:sz w:val="20"/>
          <w:szCs w:val="20"/>
          <w:color w:val="auto"/>
        </w:rPr>
      </w:pPr>
    </w:p>
    <w:p>
      <w:pPr>
        <w:ind w:left="3" w:right="20" w:firstLine="431"/>
        <w:spacing w:after="0" w:line="251" w:lineRule="auto"/>
        <w:rPr>
          <w:sz w:val="20"/>
          <w:szCs w:val="20"/>
          <w:color w:val="auto"/>
        </w:rPr>
      </w:pPr>
      <w:r>
        <w:rPr>
          <w:rFonts w:ascii="Times New Roman" w:cs="Times New Roman" w:eastAsia="Times New Roman" w:hAnsi="Times New Roman"/>
          <w:sz w:val="18"/>
          <w:szCs w:val="18"/>
          <w:color w:val="auto"/>
        </w:rPr>
        <w:t>The Indenture provides that each of the following is an event of default (“Event of Default”): (i) default for 30 days in payment of any interest due with respect to the Notes; (ii) default in payment of principal or premium, if any, on the Notes when due, at maturity, upon any redemption, by declaration or otherwise; (iii) failure by the Company to comply with covenants in the Indenture or Notes for 90 days after receiving notice; and</w:t>
      </w:r>
    </w:p>
    <w:p>
      <w:pPr>
        <w:spacing w:after="0" w:line="2" w:lineRule="exact"/>
        <w:rPr>
          <w:sz w:val="20"/>
          <w:szCs w:val="20"/>
          <w:color w:val="auto"/>
        </w:rPr>
      </w:pPr>
    </w:p>
    <w:p>
      <w:pPr>
        <w:ind w:left="3" w:right="100" w:hanging="3"/>
        <w:spacing w:after="0" w:line="265" w:lineRule="auto"/>
        <w:tabs>
          <w:tab w:leader="none" w:pos="30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or insolvency with respect to the Company or any of its Significant Subsidiaries. If any Event of Default arising under clause (iv) above occurs, the principal amount and accrued and unpaid interest on all the outstanding Notes will become due and payable immediately without further action or notice. If any other Event of Default occurs and is continuing, the Trustee or the holders of at least 25% in principal amount of the then outstanding Notes may declare the entire principal amount on all the outstanding Notes to be due and payable immediately.</w:t>
      </w:r>
    </w:p>
    <w:p>
      <w:pPr>
        <w:sectPr>
          <w:pgSz w:w="11900" w:h="16838" w:orient="portrait"/>
          <w:cols w:equalWidth="0" w:num="1">
            <w:col w:w="10763"/>
          </w:cols>
          <w:pgMar w:left="557" w:top="291" w:right="579" w:bottom="1440" w:gutter="0" w:footer="0" w:header="0"/>
        </w:sectPr>
      </w:pPr>
    </w:p>
    <w:bookmarkStart w:id="2" w:name="page3"/>
    <w:bookmarkEnd w:id="2"/>
    <w:p>
      <w:pPr>
        <w:ind w:left="3" w:right="720" w:firstLine="43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The foregoing is only a summary of certain provisions and is qualified in its entirety by the terms of the Base Indenture, as filed with the Securities and Exchange Commission (the “SEC”) on June 1, 2022 as an exhibit to the Company’s Registration Statement on Form S-3 (No. 333-265348), and the Supplemental Indenture No. 8, as filed with the SEC on March 14, 2025 as an exhibit to the Company’s Current Report on Form 8-K and incorporated by reference herein.</w:t>
      </w:r>
    </w:p>
    <w:p>
      <w:pPr>
        <w:spacing w:after="0" w:line="327" w:lineRule="exact"/>
        <w:rPr>
          <w:sz w:val="20"/>
          <w:szCs w:val="20"/>
          <w:color w:val="auto"/>
        </w:rPr>
      </w:pPr>
    </w:p>
    <w:p>
      <w:pPr>
        <w:ind w:left="3"/>
        <w:spacing w:after="0"/>
        <w:tabs>
          <w:tab w:leader="none" w:pos="1163"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12"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8"/>
          <w:szCs w:val="18"/>
          <w:color w:val="auto"/>
        </w:rPr>
        <w:t>Please refer to the discussion under Item 1.01 above, which is incorporated under this Item 2.03 by reference.</w:t>
      </w:r>
    </w:p>
    <w:p>
      <w:pPr>
        <w:spacing w:after="0" w:line="359" w:lineRule="exact"/>
        <w:rPr>
          <w:sz w:val="20"/>
          <w:szCs w:val="20"/>
          <w:color w:val="auto"/>
        </w:rPr>
      </w:pPr>
    </w:p>
    <w:p>
      <w:pPr>
        <w:ind w:left="3"/>
        <w:spacing w:after="0"/>
        <w:tabs>
          <w:tab w:leader="none" w:pos="1163"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2" w:lineRule="exact"/>
        <w:rPr>
          <w:sz w:val="20"/>
          <w:szCs w:val="20"/>
          <w:color w:val="auto"/>
        </w:rPr>
      </w:pPr>
    </w:p>
    <w:p>
      <w:pPr>
        <w:ind w:left="3" w:firstLine="431"/>
        <w:spacing w:after="0" w:line="270" w:lineRule="auto"/>
        <w:rPr>
          <w:sz w:val="20"/>
          <w:szCs w:val="20"/>
          <w:color w:val="auto"/>
        </w:rPr>
      </w:pPr>
      <w:r>
        <w:rPr>
          <w:rFonts w:ascii="Times New Roman" w:cs="Times New Roman" w:eastAsia="Times New Roman" w:hAnsi="Times New Roman"/>
          <w:sz w:val="18"/>
          <w:szCs w:val="18"/>
          <w:color w:val="auto"/>
        </w:rPr>
        <w:t>A copy of the opinion of Cleary Gottlieb Steen &amp; Hamilton LLP relating to the legality of the issuance by the Company of the Notes is attached as Exhibit 5.1 hereto.</w:t>
      </w:r>
    </w:p>
    <w:p>
      <w:pPr>
        <w:spacing w:after="0" w:line="27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 w:lineRule="exact"/>
        <w:rPr>
          <w:sz w:val="20"/>
          <w:szCs w:val="20"/>
          <w:color w:val="auto"/>
        </w:rPr>
      </w:pPr>
    </w:p>
    <w:p>
      <w:pPr>
        <w:ind w:left="123"/>
        <w:spacing w:after="0"/>
        <w:tabs>
          <w:tab w:leader="none" w:pos="843"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1" w:lineRule="exact"/>
        <w:rPr>
          <w:sz w:val="20"/>
          <w:szCs w:val="20"/>
          <w:color w:val="auto"/>
        </w:rPr>
      </w:pPr>
    </w:p>
    <w:p>
      <w:pPr>
        <w:ind w:left="83" w:hanging="83"/>
        <w:spacing w:after="0"/>
        <w:tabs>
          <w:tab w:leader="none" w:pos="83"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5.1</w:t>
      </w:r>
      <w:r>
        <w:rPr>
          <w:rFonts w:ascii="Times New Roman" w:cs="Times New Roman" w:eastAsia="Times New Roman" w:hAnsi="Times New Roman"/>
          <w:sz w:val="17"/>
          <w:szCs w:val="17"/>
          <w:u w:val="single" w:color="auto"/>
          <w:color w:val="0000EE"/>
        </w:rPr>
        <w:t>Opinion of Cleary Gottlieb Steen &amp; Hamilton LLP.</w:t>
      </w:r>
    </w:p>
    <w:p>
      <w:pPr>
        <w:spacing w:after="0" w:line="104"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8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Consent of Cleary Gottlieb Steen &amp; Hamilton LLP (included in Exhibit 5.1 hereto).</w:t>
            </w:r>
          </w:p>
        </w:tc>
      </w:tr>
      <w:tr>
        <w:trPr>
          <w:trHeight w:val="3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763"/>
          </w:cols>
          <w:pgMar w:left="557" w:top="293" w:right="57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SIGNATURE</w:t>
      </w:r>
    </w:p>
    <w:p>
      <w:pPr>
        <w:spacing w:after="0" w:line="218" w:lineRule="exact"/>
        <w:rPr>
          <w:sz w:val="20"/>
          <w:szCs w:val="20"/>
          <w:color w:val="auto"/>
        </w:rPr>
      </w:pPr>
    </w:p>
    <w:p>
      <w:pPr>
        <w:ind w:right="120" w:firstLine="431"/>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AMERICAN TOWER CORPORATION</w:t>
      </w:r>
    </w:p>
    <w:p>
      <w:pPr>
        <w:spacing w:after="0" w:line="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(Registrant)</w:t>
      </w:r>
    </w:p>
    <w:p>
      <w:pPr>
        <w:spacing w:after="0" w:line="198" w:lineRule="exact"/>
        <w:rPr>
          <w:sz w:val="20"/>
          <w:szCs w:val="20"/>
          <w:color w:val="auto"/>
        </w:rPr>
      </w:pPr>
    </w:p>
    <w:p>
      <w:pPr>
        <w:spacing w:after="0"/>
        <w:tabs>
          <w:tab w:leader="none" w:pos="5480" w:val="left"/>
          <w:tab w:leader="none" w:pos="7600" w:val="left"/>
        </w:tabs>
        <w:rPr>
          <w:sz w:val="20"/>
          <w:szCs w:val="20"/>
          <w:color w:val="auto"/>
        </w:rPr>
      </w:pPr>
      <w:r>
        <w:rPr>
          <w:rFonts w:ascii="Times New Roman" w:cs="Times New Roman" w:eastAsia="Times New Roman" w:hAnsi="Times New Roman"/>
          <w:sz w:val="18"/>
          <w:szCs w:val="18"/>
          <w:color w:val="auto"/>
        </w:rPr>
        <w:t>Date: September 16,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14605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8"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color w:val="auto"/>
        </w:rPr>
        <w:t>Rodney M. Smith</w:t>
      </w:r>
    </w:p>
    <w:p>
      <w:pPr>
        <w:spacing w:after="0" w:line="4"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sectPr>
          <w:pgSz w:w="11900" w:h="16838" w:orient="portrait"/>
          <w:cols w:equalWidth="0" w:num="1">
            <w:col w:w="10600"/>
          </w:cols>
          <w:pgMar w:left="560" w:top="291" w:right="7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166370</wp:posOffset>
            </wp:positionV>
            <wp:extent cx="7046595" cy="1861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659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 xml:space="preserve">September 16, 2025 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Corporation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 Huntington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right="20" w:firstLine="431"/>
        <w:spacing w:after="0" w:line="263" w:lineRule="auto"/>
        <w:rPr>
          <w:sz w:val="20"/>
          <w:szCs w:val="20"/>
          <w:color w:val="auto"/>
        </w:rPr>
      </w:pPr>
      <w:r>
        <w:rPr>
          <w:rFonts w:ascii="Times New Roman" w:cs="Times New Roman" w:eastAsia="Times New Roman" w:hAnsi="Times New Roman"/>
          <w:sz w:val="17"/>
          <w:szCs w:val="17"/>
          <w:color w:val="auto"/>
        </w:rPr>
        <w:t>We have acted as special counsel to American Tower Corporation, a Delaware corporation (the “Company”), in connection with its offering pursuant to a registration statement on Form S-3 (No. 333-287714), as amended as of its most recent effective date (September 11, 2025), insofar as it relates to the Securities (as defined below) (as determined for purposes of Rule 430B(f)(2) under the Securities Act of 1933, as amended (the “Securities Act”)) (as so amended, including the documents incorporated by reference therein but excluding Exhibit 25, the “Registration Statement”), and the prospectus dated June 2, 2025 (the “Base Prospectus”), as supplemented by the prospectus supplement thereto dated September 11, 2025 (the “Prospectus Supplement,” and together with the Base Prospectus, the “Prospectus”), of $200,000,000 aggregate principal amount of its 4.900% Senior Notes due 2030 (the “2030 Notes”) and $375,000,000 aggregate principal amount of its 5.350% Senior Notes due 2035 (the “2035 Notes” and, together with the 2030 Notes, the “Securities”), constituting a further issuance of, and forming a single series with, the $650,000,000 aggregate principal amount of 4.900% Senior Notes due 2030 and $350,000,000 aggregate principal amount of 5.350% Senior Notes due 2035, respectively, issued by the Company on March 14, 2025. The Securities were issued under an indenture dated as of June 1, 2022 (the “Base Indenture”) between the Company and U.S. Bank Trust Company, National Association, as trustee (the “Trustee”), as supplemented, with respect to the Securities, by Supplemental Indenture No. 8 thereto dated as of March 14, 2025 (the “Supplemental Indenture,” and together with the Base Indenture, the “Indenture”).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arriving at the opinion expressed below, we have reviewed the following documents:</w:t>
      </w:r>
    </w:p>
    <w:p>
      <w:pPr>
        <w:spacing w:after="0" w:line="110" w:lineRule="exact"/>
        <w:rPr>
          <w:sz w:val="20"/>
          <w:szCs w:val="20"/>
          <w:color w:val="auto"/>
        </w:rPr>
      </w:pPr>
    </w:p>
    <w:p>
      <w:pPr>
        <w:ind w:left="660" w:hanging="23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09"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165100</wp:posOffset>
            </wp:positionV>
            <wp:extent cx="4469130" cy="201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69130" cy="201295"/>
                    </a:xfrm>
                    <a:prstGeom prst="rect">
                      <a:avLst/>
                    </a:prstGeom>
                    <a:noFill/>
                  </pic:spPr>
                </pic:pic>
              </a:graphicData>
            </a:graphic>
          </wp:anchor>
        </w:drawing>
      </w:r>
    </w:p>
    <w:p>
      <w:pPr>
        <w:sectPr>
          <w:pgSz w:w="11900" w:h="16838" w:orient="portrait"/>
          <w:cols w:equalWidth="0" w:num="1">
            <w:col w:w="10780"/>
          </w:cols>
          <w:pgMar w:left="560" w:top="119"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American Tower Corporation, p. 2</w:t>
      </w:r>
    </w:p>
    <w:p>
      <w:pPr>
        <w:spacing w:after="0" w:line="268" w:lineRule="exact"/>
        <w:rPr>
          <w:sz w:val="20"/>
          <w:szCs w:val="20"/>
          <w:color w:val="auto"/>
        </w:rPr>
      </w:pPr>
    </w:p>
    <w:p>
      <w:pPr>
        <w:ind w:left="940" w:right="100" w:hanging="521"/>
        <w:spacing w:after="0" w:line="270"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September 11, 2025 between the Company and the several underwriters named in Schedule A thereto;</w:t>
      </w:r>
    </w:p>
    <w:p>
      <w:pPr>
        <w:spacing w:after="0" w:line="75" w:lineRule="exact"/>
        <w:rPr>
          <w:rFonts w:ascii="Times New Roman" w:cs="Times New Roman" w:eastAsia="Times New Roman" w:hAnsi="Times New Roman"/>
          <w:sz w:val="18"/>
          <w:szCs w:val="18"/>
          <w:color w:val="auto"/>
        </w:rPr>
      </w:pPr>
    </w:p>
    <w:p>
      <w:pPr>
        <w:ind w:left="940" w:hanging="521"/>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the Base Indenture and the Supplemental Indenture;</w:t>
      </w:r>
    </w:p>
    <w:p>
      <w:pPr>
        <w:spacing w:after="0" w:line="123" w:lineRule="exact"/>
        <w:rPr>
          <w:rFonts w:ascii="Times New Roman" w:cs="Times New Roman" w:eastAsia="Times New Roman" w:hAnsi="Times New Roman"/>
          <w:sz w:val="18"/>
          <w:szCs w:val="18"/>
          <w:color w:val="auto"/>
        </w:rPr>
      </w:pPr>
    </w:p>
    <w:p>
      <w:pPr>
        <w:ind w:left="940" w:hanging="521"/>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copies of the Securities in global form as executed by the Company and authenticated by the Trustee; and</w:t>
      </w:r>
    </w:p>
    <w:p>
      <w:pPr>
        <w:spacing w:after="0" w:line="123" w:lineRule="exact"/>
        <w:rPr>
          <w:rFonts w:ascii="Times New Roman" w:cs="Times New Roman" w:eastAsia="Times New Roman" w:hAnsi="Times New Roman"/>
          <w:sz w:val="18"/>
          <w:szCs w:val="18"/>
          <w:color w:val="auto"/>
        </w:rPr>
      </w:pPr>
    </w:p>
    <w:p>
      <w:pPr>
        <w:ind w:left="940" w:right="180" w:hanging="521"/>
        <w:spacing w:after="0" w:line="270"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Company’s Restated Certificate of Incorporation and Amended and Restated By-Laws certified by the Secretary of State of the State of Delaware and the corporate secretary of the Company, respectively.</w:t>
      </w:r>
    </w:p>
    <w:p>
      <w:pPr>
        <w:spacing w:after="0" w:line="168" w:lineRule="exact"/>
        <w:rPr>
          <w:sz w:val="20"/>
          <w:szCs w:val="20"/>
          <w:color w:val="auto"/>
        </w:rPr>
      </w:pPr>
    </w:p>
    <w:p>
      <w:pPr>
        <w:ind w:right="120" w:firstLine="431"/>
        <w:spacing w:after="0" w:line="257" w:lineRule="auto"/>
        <w:rPr>
          <w:sz w:val="20"/>
          <w:szCs w:val="20"/>
          <w:color w:val="auto"/>
        </w:rPr>
      </w:pPr>
      <w:r>
        <w:rPr>
          <w:rFonts w:ascii="Times New Roman" w:cs="Times New Roman" w:eastAsia="Times New Roman" w:hAnsi="Times New Roman"/>
          <w:sz w:val="18"/>
          <w:szCs w:val="18"/>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180" w:lineRule="exact"/>
        <w:rPr>
          <w:sz w:val="20"/>
          <w:szCs w:val="20"/>
          <w:color w:val="auto"/>
        </w:rPr>
      </w:pPr>
    </w:p>
    <w:p>
      <w:pPr>
        <w:jc w:val="both"/>
        <w:ind w:right="220" w:firstLine="431"/>
        <w:spacing w:after="0" w:line="257" w:lineRule="auto"/>
        <w:rPr>
          <w:sz w:val="20"/>
          <w:szCs w:val="20"/>
          <w:color w:val="auto"/>
        </w:rPr>
      </w:pPr>
      <w:r>
        <w:rPr>
          <w:rFonts w:ascii="Times New Roman" w:cs="Times New Roman" w:eastAsia="Times New Roman" w:hAnsi="Times New Roman"/>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0" w:lineRule="exact"/>
        <w:rPr>
          <w:sz w:val="20"/>
          <w:szCs w:val="20"/>
          <w:color w:val="auto"/>
        </w:rPr>
      </w:pPr>
    </w:p>
    <w:p>
      <w:pPr>
        <w:ind w:right="80" w:firstLine="431"/>
        <w:spacing w:after="0" w:line="270" w:lineRule="auto"/>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 the Securities are the valid, binding and enforceable obligations of the Company, entitled to the benefits of the Indenture.</w:t>
      </w:r>
    </w:p>
    <w:p>
      <w:pPr>
        <w:spacing w:after="0" w:line="168" w:lineRule="exact"/>
        <w:rPr>
          <w:sz w:val="20"/>
          <w:szCs w:val="20"/>
          <w:color w:val="auto"/>
        </w:rPr>
      </w:pPr>
    </w:p>
    <w:p>
      <w:pPr>
        <w:ind w:firstLine="431"/>
        <w:spacing w:after="0" w:line="249" w:lineRule="auto"/>
        <w:rPr>
          <w:sz w:val="20"/>
          <w:szCs w:val="20"/>
          <w:color w:val="auto"/>
        </w:rPr>
      </w:pPr>
      <w:r>
        <w:rPr>
          <w:rFonts w:ascii="Times New Roman" w:cs="Times New Roman" w:eastAsia="Times New Roman" w:hAnsi="Times New Roman"/>
          <w:sz w:val="18"/>
          <w:szCs w:val="18"/>
          <w:color w:val="auto"/>
        </w:rPr>
        <w:t>Insofar as the foregoing opinion relates to the validity, binding effect or enforceability of any agreement or obligation of the Company, (a) we have assumed that the Company and each other party to such agreement or obligation has satisfied those legal requirements that are applicable to it to the extent necessary to make such agreement or obligation enforceable against it (except that no such assumption is made as to the Company regarding matters of the law of the State of New York or the General Corporation Law of the State of Delaware that in our experience normally would be applicable to general business entities with respect to such agreement or obligation), (b) we express no opinion with respect to the effect of any mandatory choice of law rules and (c) such opinion is subject to applicable bankruptcy, insolvency and similar laws affecting creditors’ rights generally and to general principles of equity.</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foregoing opinion is limited to the law of the State of New York and the General Corporation Law of the State of Delaware.</w:t>
      </w:r>
    </w:p>
    <w:p>
      <w:pPr>
        <w:spacing w:after="0" w:line="216" w:lineRule="exact"/>
        <w:rPr>
          <w:sz w:val="20"/>
          <w:szCs w:val="20"/>
          <w:color w:val="auto"/>
        </w:rPr>
      </w:pPr>
    </w:p>
    <w:p>
      <w:pPr>
        <w:ind w:right="40" w:firstLine="431"/>
        <w:spacing w:after="0" w:line="251" w:lineRule="auto"/>
        <w:rPr>
          <w:sz w:val="20"/>
          <w:szCs w:val="20"/>
          <w:color w:val="auto"/>
        </w:rPr>
      </w:pPr>
      <w:r>
        <w:rPr>
          <w:rFonts w:ascii="Times New Roman" w:cs="Times New Roman" w:eastAsia="Times New Roman" w:hAnsi="Times New Roman"/>
          <w:sz w:val="18"/>
          <w:szCs w:val="18"/>
          <w:color w:val="auto"/>
        </w:rPr>
        <w:t>We hereby consent to the use of our name in the Prospectus Supplement under the heading “Legal Matters” and in the Base Prospectus under the heading “Validity of the Securities,” as counsel for the Company that has passed on the validity of the Securities and to the filing of this opinion letter as Exhibit 5.1 to the Company’s Current Report on Form 8-K dated September 16, 2025. In giving such consent, we do not thereby admit that we are within the category of persons whose consent is required under Section 7 of the Securities Act or the rules and regulations of the Securities and Exchange Commission thereunder.</w:t>
      </w:r>
    </w:p>
    <w:p>
      <w:pPr>
        <w:sectPr>
          <w:pgSz w:w="11900" w:h="16838" w:orient="portrait"/>
          <w:cols w:equalWidth="0" w:num="1">
            <w:col w:w="10760"/>
          </w:cols>
          <w:pgMar w:left="560" w:top="266" w:right="5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American Tower Corporation, p. 3</w:t>
      </w:r>
    </w:p>
    <w:p>
      <w:pPr>
        <w:spacing w:after="0" w:line="150" w:lineRule="exact"/>
        <w:rPr>
          <w:sz w:val="20"/>
          <w:szCs w:val="20"/>
          <w:color w:val="auto"/>
        </w:rPr>
      </w:pPr>
    </w:p>
    <w:p>
      <w:pPr>
        <w:ind w:firstLine="431"/>
        <w:spacing w:after="0" w:line="300" w:lineRule="auto"/>
        <w:rPr>
          <w:sz w:val="20"/>
          <w:szCs w:val="20"/>
          <w:color w:val="auto"/>
        </w:rPr>
      </w:pPr>
      <w:r>
        <w:rPr>
          <w:rFonts w:ascii="Times New Roman" w:cs="Times New Roman" w:eastAsia="Times New Roman" w:hAnsi="Times New Roman"/>
          <w:sz w:val="17"/>
          <w:szCs w:val="17"/>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17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/s/ Francesca L. Odell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14605</wp:posOffset>
            </wp:positionV>
            <wp:extent cx="250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0698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Francesca L. Odell, a Partner</w:t>
      </w:r>
    </w:p>
    <w:sectPr>
      <w:pgSz w:w="11900" w:h="16838" w:orient="portrait"/>
      <w:cols w:equalWidth="0" w:num="1">
        <w:col w:w="10680"/>
      </w:cols>
      <w:pgMar w:left="560" w:top="266"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Roman"/>
      <w:start w:val="4"/>
    </w:lvl>
  </w:abstractNum>
  <w:abstractNum w:abstractNumId="3">
    <w:nsid w:val="46E87CCD"/>
    <w:multiLevelType w:val="hybridMultilevel"/>
    <w:lvl w:ilvl="0">
      <w:lvlJc w:val="left"/>
      <w:lvlText w:val=" "/>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2025-09-16T15:25:20Z</dcterms:created>
  <dcterms:modified xsi:type="dcterms:W3CDTF">2025-09-16T15:25:20Z</dcterms:modified>
</cp:coreProperties>
</file>