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2"/>
        </w:rPr>
      </w:pPr>
      <w:r>
        <w:rPr>
          <w:rFonts w:ascii="Times New Roman;serif" w:hAnsi="Times New Roman;serif"/>
          <w:b/>
          <w:color w:val="000000"/>
          <w:sz w:val="22"/>
        </w:rPr>
        <w:t>CURRENT REPORT PURSUANT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January 28, 2026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0" w:after="0"/>
        <w:jc w:val="center"/>
        <w:rPr>
          <w:rFonts w:ascii="Times New Roman;serif" w:hAnsi="Times New Roman;serif"/>
          <w:b/>
          <w:color w:val="000000"/>
          <w:sz w:val="48"/>
        </w:rPr>
      </w:pPr>
      <w:r>
        <w:rPr>
          <w:rFonts w:ascii="Times New Roman;serif" w:hAnsi="Times New Roman;serif"/>
          <w:b/>
          <w:color w:val="000000"/>
          <w:sz w:val="48"/>
        </w:rPr>
        <w:t xml:space="preserve">AMERICAN TOWER CORPORATION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229" w:type="dxa"/>
        <w:jc w:val="center"/>
        <w:tblInd w:w="0" w:type="dxa"/>
        <w:tblLayout w:type="fixed"/>
        <w:tblCellMar>
          <w:top w:w="28" w:type="dxa"/>
          <w:left w:w="28" w:type="dxa"/>
          <w:bottom w:w="28" w:type="dxa"/>
          <w:right w:w="28" w:type="dxa"/>
        </w:tblCellMar>
      </w:tblPr>
      <w:tblGrid>
        <w:gridCol w:w="1254"/>
        <w:gridCol w:w="1099"/>
        <w:gridCol w:w="1111"/>
        <w:gridCol w:w="109"/>
        <w:gridCol w:w="109"/>
        <w:gridCol w:w="109"/>
        <w:gridCol w:w="677"/>
        <w:gridCol w:w="677"/>
        <w:gridCol w:w="685"/>
        <w:gridCol w:w="109"/>
        <w:gridCol w:w="109"/>
        <w:gridCol w:w="109"/>
        <w:gridCol w:w="897"/>
        <w:gridCol w:w="897"/>
        <w:gridCol w:w="906"/>
        <w:gridCol w:w="109"/>
        <w:gridCol w:w="109"/>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345" w:before="0" w:after="0"/>
              <w:jc w:val="center"/>
              <w:rPr>
                <w:rFonts w:ascii="Times New Roman;serif" w:hAnsi="Times New Roman;serif"/>
                <w:b/>
                <w:color w:val="000000"/>
                <w:sz w:val="16"/>
              </w:rPr>
            </w:pPr>
            <w:r>
              <w:rPr>
                <w:rFonts w:ascii="Times New Roman;serif" w:hAnsi="Times New Roman;serif"/>
                <w:b/>
                <w:color w:val="000000"/>
                <w:sz w:val="16"/>
              </w:rPr>
              <w:t>001-14195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65-0723837</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222 Berkeley Street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Boston, Massachusetts 02116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(617) 375-7500 </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60" w:after="283"/>
        <w:jc w:val="center"/>
        <w:rPr>
          <w:rFonts w:ascii="Times New Roman;serif" w:hAnsi="Times New Roman;serif"/>
          <w:b/>
          <w:color w:val="231F20"/>
          <w:sz w:val="16"/>
        </w:rPr>
      </w:pPr>
      <w:r>
        <w:rPr>
          <w:rFonts w:ascii="Times New Roman;serif" w:hAnsi="Times New Roman;serif"/>
          <w:b/>
          <w:color w:val="231F20"/>
          <w:sz w:val="16"/>
        </w:rPr>
        <w:t>(Former name or former address, if changed since last report.)</w:t>
      </w:r>
    </w:p>
    <w:p>
      <w:pPr>
        <w:pStyle w:val="TextBody"/>
        <w:bidi w:val="0"/>
        <w:spacing w:lineRule="auto" w:line="288" w:before="20" w:after="283"/>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20" w:after="2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Soliciting material pursuant to Rule 14a-12 under the Exchange Act (17 CFR 240.14a-12) </w:t>
      </w:r>
    </w:p>
    <w:p>
      <w:pPr>
        <w:pStyle w:val="TextBody"/>
        <w:bidi w:val="0"/>
        <w:spacing w:lineRule="auto" w:line="288" w:before="20" w:after="20"/>
        <w:jc w:val="left"/>
        <w:rPr/>
      </w:pPr>
      <w:r>
        <w:rPr>
          <w:color w:val="000000"/>
        </w:rPr>
        <w:t xml:space="preserve">☐ </w:t>
      </w:r>
      <w:r>
        <w:rPr>
          <w:rFonts w:ascii="Times New Roman;serif" w:hAnsi="Times New Roman;serif"/>
          <w:b w:val="false"/>
          <w:color w:val="231F20"/>
          <w:sz w:val="18"/>
        </w:rPr>
        <w:t xml:space="preserve">Pre-commencement communications pursuant to Rule 14d-2(b) under the Exchange Act (17 CFR 240.14d-2(b)) </w:t>
      </w:r>
    </w:p>
    <w:p>
      <w:pPr>
        <w:pStyle w:val="TextBody"/>
        <w:bidi w:val="0"/>
        <w:spacing w:lineRule="auto" w:line="288" w:before="20" w:after="20"/>
        <w:jc w:val="left"/>
        <w:rPr/>
      </w:pPr>
      <w:r>
        <w:rPr>
          <w:color w:val="000000"/>
        </w:rPr>
        <w:t>☐</w:t>
      </w:r>
      <w:r>
        <w:rPr>
          <w:color w:val="231F20"/>
        </w:rPr>
        <w:t xml:space="preserve"> </w:t>
      </w:r>
      <w:r>
        <w:rPr>
          <w:rFonts w:ascii="Times New Roman;serif" w:hAnsi="Times New Roman;serif"/>
          <w:b w:val="false"/>
          <w:color w:val="231F20"/>
          <w:sz w:val="18"/>
        </w:rPr>
        <w:t xml:space="preserve">Pre-commencement communications pursuant to Rule 13e-4(c) under the Exchange Act (17 CFR 240.13e-4(c)) </w:t>
      </w:r>
    </w:p>
    <w:p>
      <w:pPr>
        <w:pStyle w:val="TextBody"/>
        <w:bidi w:val="0"/>
        <w:spacing w:lineRule="auto" w:line="288" w:before="60" w:after="283"/>
        <w:jc w:val="center"/>
        <w:rPr/>
      </w:pPr>
      <w:r>
        <w:rPr>
          <w:rFonts w:ascii="Times New Roman;serif" w:hAnsi="Times New Roman;serif"/>
          <w:b/>
          <w:color w:val="000000"/>
          <w:sz w:val="18"/>
        </w:rPr>
        <w:t>Securities registered pursuant to Section 12(b) of the Act:</w:t>
      </w:r>
      <w:r>
        <w:rPr>
          <w:color w:val="000000"/>
        </w:rPr>
        <w:t xml:space="preserve"> </w:t>
      </w:r>
    </w:p>
    <w:tbl>
      <w:tblPr>
        <w:tblW w:w="7227" w:type="dxa"/>
        <w:jc w:val="center"/>
        <w:tblInd w:w="0" w:type="dxa"/>
        <w:tblLayout w:type="fixed"/>
        <w:tblCellMar>
          <w:top w:w="28" w:type="dxa"/>
          <w:left w:w="28" w:type="dxa"/>
          <w:bottom w:w="28" w:type="dxa"/>
          <w:right w:w="28" w:type="dxa"/>
        </w:tblCellMar>
      </w:tblPr>
      <w:tblGrid>
        <w:gridCol w:w="889"/>
        <w:gridCol w:w="780"/>
        <w:gridCol w:w="790"/>
        <w:gridCol w:w="484"/>
        <w:gridCol w:w="484"/>
        <w:gridCol w:w="486"/>
        <w:gridCol w:w="970"/>
        <w:gridCol w:w="970"/>
        <w:gridCol w:w="1374"/>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AMT</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1.950% Senior Notes due 2026</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26B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0.450%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0.400%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4.125% Senior Notes due 2027</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27F</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0.500% Senior Notes due 2028</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28A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0.875% Senior Notes due 2029</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29B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0.950%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30C</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3.900% Senior Notes due 2030</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30D</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4.625% Senior Notes due 2031</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31B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1.000%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3.625% Senior Notes due 2032</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32B</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1.250% Senior Notes due 2033</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33</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4.100% Senior Notes due 2034</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AMT 34A</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pPr>
      <w:r>
        <w:rPr>
          <w:rFonts w:ascii="Times New Roman;serif" w:hAnsi="Times New Roman;serif"/>
          <w:b w:val="false"/>
          <w:color w:val="231F20"/>
          <w:sz w:val="18"/>
        </w:rPr>
        <w:t xml:space="preserve">Emerging growth company </w:t>
      </w:r>
      <w:r>
        <w:rPr>
          <w:color w:val="000000"/>
        </w:rPr>
        <w:t>☐</w:t>
      </w:r>
      <w:r>
        <w:rPr>
          <w:color w:val="231F20"/>
        </w:rPr>
        <w:t xml:space="preserve">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American Tower Corporation (the “Company”) is providing an update regarding its relationship with DISH Wireless L.L.C., a subsidiary of DISH Network Corporation (“DISH”). DISH has failed to meet its payment obligations, and is in default under the Strategic Collocation Agreement entered into in March 2021 (the “SCA”). The Company does not anticipate the default to impact its financial results for the year ended December 31, 2025. As previously disclosed, the Company filed a complaint seeking a declaratory judgment that DISH has not been excused from its obligations under the SCA, that the SCA remains in full force and effect, and that DISH remains required to perform all of its obligations under the SCA.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Cautionary Language Regarding 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This current report on Form 8-K contains “forward-looking statements” concerning the Company’s goals, beliefs, expectations, strategies, objectives, plans, future operating results and underlying assumptions and other statements that are not necessarily based on historical facts. Actual results may differ materially from those indicated in the Company’s forward-looking statements as a result of various factors, including those factors set forth under the caption “Risk Factors” in Item 1A of its most recent annual report on Form 10-K, and other risks described in documents the Company subsequently files from time to time with the Securities and Exchange Commission. The Company undertakes no obligation to update the information contained in this current report on Form 8-K to reflect subsequently occurring events or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288" w:before="0" w:after="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tbl>
      <w:tblPr>
        <w:tblW w:w="10205" w:type="dxa"/>
        <w:jc w:val="center"/>
        <w:tblInd w:w="0" w:type="dxa"/>
        <w:tblLayout w:type="fixed"/>
        <w:tblCellMar>
          <w:top w:w="28" w:type="dxa"/>
          <w:left w:w="28" w:type="dxa"/>
          <w:bottom w:w="28" w:type="dxa"/>
          <w:right w:w="28" w:type="dxa"/>
        </w:tblCellMar>
      </w:tblPr>
      <w:tblGrid>
        <w:gridCol w:w="221"/>
        <w:gridCol w:w="195"/>
        <w:gridCol w:w="196"/>
        <w:gridCol w:w="576"/>
        <w:gridCol w:w="576"/>
        <w:gridCol w:w="578"/>
        <w:gridCol w:w="598"/>
        <w:gridCol w:w="598"/>
        <w:gridCol w:w="598"/>
        <w:gridCol w:w="1767"/>
        <w:gridCol w:w="1765"/>
        <w:gridCol w:w="2537"/>
      </w:tblGrid>
      <w:tr>
        <w:trPr/>
        <w:tc>
          <w:tcPr>
            <w:tcW w:w="22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537" w:type="dxa"/>
            <w:tcBorders/>
            <w:vAlign w:val="center"/>
          </w:tcPr>
          <w:p>
            <w:pPr>
              <w:pStyle w:val="TableContents"/>
              <w:bidi w:val="0"/>
              <w:spacing w:before="0" w:after="283"/>
              <w:jc w:val="left"/>
              <w:rPr>
                <w:sz w:val="4"/>
                <w:szCs w:val="4"/>
              </w:rPr>
            </w:pPr>
            <w:r>
              <w:rPr>
                <w:sz w:val="4"/>
                <w:szCs w:val="4"/>
              </w:rPr>
            </w:r>
          </w:p>
        </w:tc>
      </w:tr>
      <w:tr>
        <w:trPr/>
        <w:tc>
          <w:tcPr>
            <w:tcW w:w="2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AMERICAN TOWER CORPORATION</w:t>
            </w:r>
          </w:p>
        </w:tc>
      </w:tr>
      <w:tr>
        <w:trPr/>
        <w:tc>
          <w:tcPr>
            <w:tcW w:w="2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(Registrant)</w:t>
            </w:r>
          </w:p>
        </w:tc>
      </w:tr>
      <w:tr>
        <w:trPr/>
        <w:tc>
          <w:tcPr>
            <w:tcW w:w="2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January 28, 2026</w:t>
            </w:r>
          </w:p>
        </w:tc>
        <w:tc>
          <w:tcPr>
            <w:tcW w:w="1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 Rodney M. Smith</w:t>
            </w:r>
          </w:p>
        </w:tc>
      </w:tr>
      <w:tr>
        <w:trPr/>
        <w:tc>
          <w:tcPr>
            <w:tcW w:w="2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Rodney M. Smith</w:t>
            </w:r>
          </w:p>
        </w:tc>
      </w:tr>
      <w:tr>
        <w:trPr/>
        <w:tc>
          <w:tcPr>
            <w:tcW w:w="23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60" w:after="283"/>
        <w:ind w:left="0" w:right="0" w:firstLine="81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742</Words>
  <Characters>4052</Characters>
  <CharactersWithSpaces>4715</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