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205105</wp:posOffset>
            </wp:positionH>
            <wp:positionV relativeFrom="page">
              <wp:posOffset>610870</wp:posOffset>
            </wp:positionV>
            <wp:extent cx="713867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16510"/>
                    </a:xfrm>
                    <a:prstGeom prst="rect">
                      <a:avLst/>
                    </a:prstGeom>
                    <a:noFill/>
                  </pic:spPr>
                </pic:pic>
              </a:graphicData>
            </a:graphic>
          </wp:anchor>
        </w:drawing>
        <w:t>UNITED STATES</w:t>
      </w:r>
    </w:p>
    <w:p>
      <w:pPr>
        <w:spacing w:after="0" w:line="4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2392045</wp:posOffset>
            </wp:positionH>
            <wp:positionV relativeFrom="paragraph">
              <wp:posOffset>44450</wp:posOffset>
            </wp:positionV>
            <wp:extent cx="23660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6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2392045</wp:posOffset>
            </wp:positionH>
            <wp:positionV relativeFrom="paragraph">
              <wp:posOffset>46990</wp:posOffset>
            </wp:positionV>
            <wp:extent cx="23660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0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CURRENT REPORT PURSUANT</w:t>
      </w:r>
    </w:p>
    <w:p>
      <w:pPr>
        <w:spacing w:after="0" w:line="2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TO SECTION 13 OR 15(d) OF THE</w:t>
      </w:r>
    </w:p>
    <w:p>
      <w:pPr>
        <w:spacing w:after="0" w:line="1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SECURITIES EXCHANGE ACT OF 1934</w:t>
      </w:r>
    </w:p>
    <w:p>
      <w:pPr>
        <w:spacing w:after="0" w:line="8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September 23,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2392045</wp:posOffset>
            </wp:positionH>
            <wp:positionV relativeFrom="paragraph">
              <wp:posOffset>40005</wp:posOffset>
            </wp:positionV>
            <wp:extent cx="23660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1"/>
          <w:szCs w:val="41"/>
          <w:b w:val="1"/>
          <w:bCs w:val="1"/>
          <w:color w:val="auto"/>
        </w:rPr>
        <w:t>AMERICAN TOWER CORPORATION</w:t>
      </w:r>
    </w:p>
    <w:p>
      <w:pPr>
        <w:spacing w:after="0" w:line="1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2392045</wp:posOffset>
            </wp:positionH>
            <wp:positionV relativeFrom="paragraph">
              <wp:posOffset>43815</wp:posOffset>
            </wp:positionV>
            <wp:extent cx="23660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05" w:lineRule="exact"/>
        <w:rPr>
          <w:sz w:val="24"/>
          <w:szCs w:val="24"/>
          <w:color w:val="auto"/>
        </w:rPr>
      </w:pPr>
    </w:p>
    <w:tbl>
      <w:tblPr>
        <w:tblLayout w:type="fixed"/>
        <w:tblInd w:w="240" w:type="dxa"/>
        <w:tblCellMar>
          <w:top w:w="0" w:type="dxa"/>
          <w:left w:w="0" w:type="dxa"/>
          <w:bottom w:w="0" w:type="dxa"/>
          <w:right w:w="0" w:type="dxa"/>
        </w:tblCellMar>
      </w:tblPr>
      <w:tr>
        <w:trPr>
          <w:trHeight w:val="206"/>
        </w:trPr>
        <w:tc>
          <w:tcPr>
            <w:tcW w:w="3580" w:type="dxa"/>
            <w:vAlign w:val="bottom"/>
          </w:tcPr>
          <w:p>
            <w:pPr>
              <w:jc w:val="center"/>
              <w:ind w:right="832"/>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3520" w:type="dxa"/>
            <w:vAlign w:val="bottom"/>
          </w:tcPr>
          <w:p>
            <w:pPr>
              <w:jc w:val="right"/>
              <w:ind w:right="1452"/>
              <w:spacing w:after="0"/>
              <w:rPr>
                <w:sz w:val="20"/>
                <w:szCs w:val="20"/>
                <w:color w:val="auto"/>
              </w:rPr>
            </w:pPr>
            <w:r>
              <w:rPr>
                <w:rFonts w:ascii="Times New Roman" w:cs="Times New Roman" w:eastAsia="Times New Roman" w:hAnsi="Times New Roman"/>
                <w:sz w:val="14"/>
                <w:szCs w:val="14"/>
                <w:b w:val="1"/>
                <w:bCs w:val="1"/>
                <w:color w:val="auto"/>
              </w:rPr>
              <w:t>001-14195</w:t>
            </w:r>
          </w:p>
        </w:tc>
        <w:tc>
          <w:tcPr>
            <w:tcW w:w="310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65-0723837</w:t>
            </w:r>
          </w:p>
        </w:tc>
      </w:tr>
      <w:tr>
        <w:trPr>
          <w:trHeight w:val="206"/>
        </w:trPr>
        <w:tc>
          <w:tcPr>
            <w:tcW w:w="3580" w:type="dxa"/>
            <w:vAlign w:val="bottom"/>
          </w:tcPr>
          <w:p>
            <w:pPr>
              <w:jc w:val="center"/>
              <w:ind w:right="832"/>
              <w:spacing w:after="0"/>
              <w:rPr>
                <w:sz w:val="20"/>
                <w:szCs w:val="20"/>
                <w:color w:val="auto"/>
              </w:rPr>
            </w:pPr>
            <w:r>
              <w:rPr>
                <w:rFonts w:ascii="Times New Roman" w:cs="Times New Roman" w:eastAsia="Times New Roman" w:hAnsi="Times New Roman"/>
                <w:sz w:val="14"/>
                <w:szCs w:val="14"/>
                <w:b w:val="1"/>
                <w:bCs w:val="1"/>
                <w:color w:val="auto"/>
                <w:w w:val="98"/>
              </w:rPr>
              <w:t>(State or Other Jurisdiction of Incorporation)</w:t>
            </w:r>
          </w:p>
        </w:tc>
        <w:tc>
          <w:tcPr>
            <w:tcW w:w="352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7"/>
              </w:rPr>
              <w:t>(Commission File Number)</w:t>
            </w:r>
          </w:p>
        </w:tc>
        <w:tc>
          <w:tcPr>
            <w:tcW w:w="3100" w:type="dxa"/>
            <w:vAlign w:val="bottom"/>
          </w:tcPr>
          <w:p>
            <w:pPr>
              <w:jc w:val="center"/>
              <w:ind w:left="932"/>
              <w:spacing w:after="0"/>
              <w:rPr>
                <w:sz w:val="20"/>
                <w:szCs w:val="20"/>
                <w:color w:val="auto"/>
              </w:rPr>
            </w:pPr>
            <w:r>
              <w:rPr>
                <w:rFonts w:ascii="Times New Roman" w:cs="Times New Roman" w:eastAsia="Times New Roman" w:hAnsi="Times New Roman"/>
                <w:sz w:val="14"/>
                <w:szCs w:val="14"/>
                <w:b w:val="1"/>
                <w:bCs w:val="1"/>
                <w:color w:val="auto"/>
                <w:w w:val="97"/>
              </w:rPr>
              <w:t>(I.R.S. Employer Identification No.)</w:t>
            </w:r>
          </w:p>
        </w:tc>
      </w:tr>
    </w:tbl>
    <w:p>
      <w:pPr>
        <w:spacing w:after="0" w:line="15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116 Huntington Avenue</w:t>
      </w:r>
    </w:p>
    <w:p>
      <w:pPr>
        <w:spacing w:after="0" w:line="6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Boston, Massachusetts 02116</w:t>
      </w:r>
    </w:p>
    <w:p>
      <w:pPr>
        <w:spacing w:after="0" w:line="5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(617) 375-7500</w:t>
      </w:r>
    </w:p>
    <w:p>
      <w:pPr>
        <w:spacing w:after="0" w:line="4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t>Not Applicable</w:t>
      </w:r>
    </w:p>
    <w:p>
      <w:pPr>
        <w:spacing w:after="0" w:line="4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231F20"/>
        </w:rPr>
        <w:t>(Former name or former address, if changed since last report.)</w:t>
      </w:r>
    </w:p>
    <w:p>
      <w:pPr>
        <w:spacing w:after="0" w:line="31" w:lineRule="exact"/>
        <w:rPr>
          <w:sz w:val="24"/>
          <w:szCs w:val="24"/>
          <w:color w:val="auto"/>
        </w:rPr>
      </w:pPr>
    </w:p>
    <w:p>
      <w:pPr>
        <w:spacing w:after="0" w:line="272" w:lineRule="auto"/>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 (see General Instruction A.2. below):</w:t>
      </w:r>
    </w:p>
    <w:p>
      <w:pPr>
        <w:spacing w:after="0" w:line="1" w:lineRule="exact"/>
        <w:rPr>
          <w:sz w:val="24"/>
          <w:szCs w:val="24"/>
          <w:color w:val="auto"/>
        </w:rPr>
      </w:pPr>
    </w:p>
    <w:p>
      <w:pPr>
        <w:ind w:left="340" w:hanging="299"/>
        <w:spacing w:after="0"/>
        <w:tabs>
          <w:tab w:leader="none" w:pos="34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42" w:lineRule="exact"/>
        <w:rPr>
          <w:rFonts w:ascii="MS PGothic" w:cs="MS PGothic" w:eastAsia="MS PGothic" w:hAnsi="MS PGothic"/>
          <w:sz w:val="15"/>
          <w:szCs w:val="15"/>
          <w:color w:val="auto"/>
        </w:rPr>
      </w:pPr>
    </w:p>
    <w:p>
      <w:pPr>
        <w:ind w:left="340" w:hanging="299"/>
        <w:spacing w:after="0"/>
        <w:tabs>
          <w:tab w:leader="none" w:pos="34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231F20"/>
        </w:rPr>
        <w:t>Soliciting material pursuant to Rule 14a-12 under the Exchange Act (17 CFR 240.14a-12)</w:t>
      </w:r>
    </w:p>
    <w:p>
      <w:pPr>
        <w:spacing w:after="0" w:line="33" w:lineRule="exact"/>
        <w:rPr>
          <w:rFonts w:ascii="MS PGothic" w:cs="MS PGothic" w:eastAsia="MS PGothic" w:hAnsi="MS PGothic"/>
          <w:sz w:val="15"/>
          <w:szCs w:val="15"/>
          <w:color w:val="auto"/>
        </w:rPr>
      </w:pPr>
    </w:p>
    <w:p>
      <w:pPr>
        <w:ind w:left="340" w:hanging="299"/>
        <w:spacing w:after="0"/>
        <w:tabs>
          <w:tab w:leader="none" w:pos="34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231F20"/>
        </w:rPr>
        <w:t>Pre-commencement communications pursuant to Rule 14d-2(b) under the Exchange Act (17 CFR 240.14d-2(b))</w:t>
      </w:r>
    </w:p>
    <w:p>
      <w:pPr>
        <w:spacing w:after="0" w:line="20" w:lineRule="exact"/>
        <w:rPr>
          <w:rFonts w:ascii="MS PGothic" w:cs="MS PGothic" w:eastAsia="MS PGothic" w:hAnsi="MS PGothic"/>
          <w:sz w:val="15"/>
          <w:szCs w:val="15"/>
          <w:color w:val="auto"/>
        </w:rPr>
      </w:pPr>
    </w:p>
    <w:p>
      <w:pPr>
        <w:ind w:left="340" w:hanging="299"/>
        <w:spacing w:after="0"/>
        <w:tabs>
          <w:tab w:leader="none" w:pos="34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231F20"/>
        </w:rPr>
        <w:t>Pre-commencement communications pursuant to Rule 13e-4(c) under the Exchange Act (17 CFR 240.13e-4(c))</w:t>
      </w:r>
    </w:p>
    <w:p>
      <w:pPr>
        <w:spacing w:after="0" w:line="5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p>
      <w:pPr>
        <w:spacing w:after="0" w:line="38" w:lineRule="exact"/>
        <w:rPr>
          <w:sz w:val="24"/>
          <w:szCs w:val="24"/>
          <w:color w:val="auto"/>
        </w:rPr>
      </w:pPr>
    </w:p>
    <w:tbl>
      <w:tblPr>
        <w:tblLayout w:type="fixed"/>
        <w:tblInd w:w="1120" w:type="dxa"/>
        <w:tblCellMar>
          <w:top w:w="0" w:type="dxa"/>
          <w:left w:w="0" w:type="dxa"/>
          <w:bottom w:w="0" w:type="dxa"/>
          <w:right w:w="0" w:type="dxa"/>
        </w:tblCellMar>
      </w:tblPr>
      <w:tr>
        <w:trPr>
          <w:trHeight w:val="180"/>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294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6"/>
              </w:rPr>
              <w:t>Trading Symbol(s)</w:t>
            </w:r>
          </w:p>
        </w:tc>
        <w:tc>
          <w:tcPr>
            <w:tcW w:w="3440" w:type="dxa"/>
            <w:vAlign w:val="bottom"/>
          </w:tcPr>
          <w:p>
            <w:pPr>
              <w:jc w:val="center"/>
              <w:ind w:left="832"/>
              <w:spacing w:after="0"/>
              <w:rPr>
                <w:sz w:val="20"/>
                <w:szCs w:val="20"/>
                <w:color w:val="auto"/>
              </w:rPr>
            </w:pPr>
            <w:r>
              <w:rPr>
                <w:rFonts w:ascii="Times New Roman" w:cs="Times New Roman" w:eastAsia="Times New Roman" w:hAnsi="Times New Roman"/>
                <w:sz w:val="14"/>
                <w:szCs w:val="14"/>
                <w:b w:val="1"/>
                <w:bCs w:val="1"/>
                <w:color w:val="auto"/>
                <w:w w:val="97"/>
              </w:rPr>
              <w:t>Name of each exchange on which registered</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Common Stock, $0.01 par value</w:t>
            </w:r>
          </w:p>
        </w:tc>
        <w:tc>
          <w:tcPr>
            <w:tcW w:w="2940" w:type="dxa"/>
            <w:vAlign w:val="bottom"/>
          </w:tcPr>
          <w:p>
            <w:pPr>
              <w:jc w:val="center"/>
              <w:ind w:left="72"/>
              <w:spacing w:after="0"/>
              <w:rPr>
                <w:sz w:val="20"/>
                <w:szCs w:val="20"/>
                <w:color w:val="auto"/>
              </w:rPr>
            </w:pPr>
            <w:r>
              <w:rPr>
                <w:rFonts w:ascii="Times New Roman" w:cs="Times New Roman" w:eastAsia="Times New Roman" w:hAnsi="Times New Roman"/>
                <w:sz w:val="14"/>
                <w:szCs w:val="14"/>
                <w:b w:val="1"/>
                <w:bCs w:val="1"/>
                <w:color w:val="auto"/>
                <w:w w:val="97"/>
              </w:rPr>
              <w:t>AMT</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1.950% Senior Notes due 2026</w:t>
            </w:r>
          </w:p>
        </w:tc>
        <w:tc>
          <w:tcPr>
            <w:tcW w:w="2940" w:type="dxa"/>
            <w:vAlign w:val="bottom"/>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w w:val="97"/>
              </w:rPr>
              <w:t>AMT 26B</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0.450% Senior Notes due 2027</w:t>
            </w:r>
          </w:p>
        </w:tc>
        <w:tc>
          <w:tcPr>
            <w:tcW w:w="294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9"/>
              </w:rPr>
              <w:t>AMT 27C</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0.400% Senior Notes due 2027</w:t>
            </w:r>
          </w:p>
        </w:tc>
        <w:tc>
          <w:tcPr>
            <w:tcW w:w="294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9"/>
              </w:rPr>
              <w:t>AMT 27D</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4.125% Senior Notes due 2027</w:t>
            </w:r>
          </w:p>
        </w:tc>
        <w:tc>
          <w:tcPr>
            <w:tcW w:w="2940" w:type="dxa"/>
            <w:vAlign w:val="bottom"/>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w w:val="98"/>
              </w:rPr>
              <w:t>AMT 27F</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0.500% Senior Notes due 2028</w:t>
            </w:r>
          </w:p>
        </w:tc>
        <w:tc>
          <w:tcPr>
            <w:tcW w:w="294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9"/>
              </w:rPr>
              <w:t>AMT 28A</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0.875% Senior Notes due 2029</w:t>
            </w:r>
          </w:p>
        </w:tc>
        <w:tc>
          <w:tcPr>
            <w:tcW w:w="2940" w:type="dxa"/>
            <w:vAlign w:val="bottom"/>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w w:val="97"/>
              </w:rPr>
              <w:t>AMT 29B</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0.950% Senior Notes due 2030</w:t>
            </w:r>
          </w:p>
        </w:tc>
        <w:tc>
          <w:tcPr>
            <w:tcW w:w="294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9"/>
              </w:rPr>
              <w:t>AMT 30C</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3.900% Senior Notes due 2030</w:t>
            </w:r>
          </w:p>
        </w:tc>
        <w:tc>
          <w:tcPr>
            <w:tcW w:w="294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9"/>
              </w:rPr>
              <w:t>AMT 30D</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4.625% Senior Notes due 2031</w:t>
            </w:r>
          </w:p>
        </w:tc>
        <w:tc>
          <w:tcPr>
            <w:tcW w:w="2940" w:type="dxa"/>
            <w:vAlign w:val="bottom"/>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w w:val="97"/>
              </w:rPr>
              <w:t>AMT 31B</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1.000% Senior Notes due 2032</w:t>
            </w:r>
          </w:p>
        </w:tc>
        <w:tc>
          <w:tcPr>
            <w:tcW w:w="294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5"/>
              </w:rPr>
              <w:t>AMT 32</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3.625% Senior Notes due 2032</w:t>
            </w:r>
          </w:p>
        </w:tc>
        <w:tc>
          <w:tcPr>
            <w:tcW w:w="2940" w:type="dxa"/>
            <w:vAlign w:val="bottom"/>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w w:val="97"/>
              </w:rPr>
              <w:t>AMT 32B</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1.250% Senior Notes due 2033</w:t>
            </w:r>
          </w:p>
        </w:tc>
        <w:tc>
          <w:tcPr>
            <w:tcW w:w="294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5"/>
              </w:rPr>
              <w:t>AMT 33</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4.100% Senior Notes due 2034</w:t>
            </w:r>
          </w:p>
        </w:tc>
        <w:tc>
          <w:tcPr>
            <w:tcW w:w="294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9"/>
              </w:rPr>
              <w:t>AMT 34A</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bl>
    <w:p>
      <w:pPr>
        <w:spacing w:after="0" w:line="154" w:lineRule="exact"/>
        <w:rPr>
          <w:sz w:val="24"/>
          <w:szCs w:val="24"/>
          <w:color w:val="auto"/>
        </w:rPr>
      </w:pPr>
    </w:p>
    <w:p>
      <w:pPr>
        <w:ind w:right="160"/>
        <w:spacing w:after="0" w:line="270" w:lineRule="auto"/>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3" w:lineRule="exact"/>
        <w:rPr>
          <w:sz w:val="20"/>
          <w:szCs w:val="20"/>
          <w:color w:val="auto"/>
        </w:rPr>
      </w:pPr>
      <w:r>
        <w:rPr>
          <w:rFonts w:ascii="Times New Roman" w:cs="Times New Roman" w:eastAsia="Times New Roman" w:hAnsi="Times New Roman"/>
          <w:sz w:val="15"/>
          <w:szCs w:val="15"/>
          <w:color w:val="231F20"/>
        </w:rPr>
        <w:t xml:space="preserve">Emerging growth company </w:t>
      </w:r>
      <w:r>
        <w:rPr>
          <w:rFonts w:ascii="MS PGothic" w:cs="MS PGothic" w:eastAsia="MS PGothic" w:hAnsi="MS PGothic"/>
          <w:sz w:val="15"/>
          <w:szCs w:val="15"/>
          <w:color w:val="000000"/>
        </w:rPr>
        <w:t>☐</w:t>
      </w:r>
    </w:p>
    <w:p>
      <w:pPr>
        <w:spacing w:after="0" w:line="94" w:lineRule="exact"/>
        <w:rPr>
          <w:sz w:val="24"/>
          <w:szCs w:val="24"/>
          <w:color w:val="auto"/>
        </w:rPr>
      </w:pPr>
    </w:p>
    <w:p>
      <w:pPr>
        <w:ind w:right="460"/>
        <w:spacing w:after="0" w:line="202" w:lineRule="exact"/>
        <w:rPr>
          <w:sz w:val="20"/>
          <w:szCs w:val="20"/>
          <w:color w:val="auto"/>
        </w:rPr>
      </w:pPr>
      <w:r>
        <w:rPr>
          <w:rFonts w:ascii="Times New Roman" w:cs="Times New Roman" w:eastAsia="Times New Roman" w:hAnsi="Times New Roman"/>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539115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37465</wp:posOffset>
            </wp:positionV>
            <wp:extent cx="71227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27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5080</wp:posOffset>
            </wp:positionV>
            <wp:extent cx="71227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2795" cy="8255"/>
                    </a:xfrm>
                    <a:prstGeom prst="rect">
                      <a:avLst/>
                    </a:prstGeom>
                    <a:noFill/>
                  </pic:spPr>
                </pic:pic>
              </a:graphicData>
            </a:graphic>
          </wp:anchor>
        </w:drawing>
      </w:r>
    </w:p>
    <w:p>
      <w:pPr>
        <w:sectPr>
          <w:pgSz w:w="11900" w:h="16838" w:orient="portrait"/>
          <w:cols w:equalWidth="0" w:num="1">
            <w:col w:w="11180"/>
          </w:cols>
          <w:pgMar w:left="320" w:top="1045"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9"/>
          <w:szCs w:val="19"/>
          <w:b w:val="1"/>
          <w:bCs w:val="1"/>
          <w:color w:val="auto"/>
        </w:rPr>
        <w:t>Item 7.01 Regulation FD Disclosure.</w:t>
      </w:r>
    </w:p>
    <w:p>
      <w:pPr>
        <w:spacing w:after="0" w:line="248" w:lineRule="exact"/>
        <w:rPr>
          <w:sz w:val="20"/>
          <w:szCs w:val="20"/>
          <w:color w:val="auto"/>
        </w:rPr>
      </w:pPr>
    </w:p>
    <w:p>
      <w:pPr>
        <w:ind w:firstLine="617"/>
        <w:spacing w:after="0" w:line="251" w:lineRule="auto"/>
        <w:rPr>
          <w:sz w:val="20"/>
          <w:szCs w:val="20"/>
          <w:color w:val="auto"/>
        </w:rPr>
      </w:pPr>
      <w:r>
        <w:rPr>
          <w:rFonts w:ascii="Times New Roman" w:cs="Times New Roman" w:eastAsia="Times New Roman" w:hAnsi="Times New Roman"/>
          <w:sz w:val="19"/>
          <w:szCs w:val="19"/>
          <w:color w:val="auto"/>
        </w:rPr>
        <w:t>On September 3, 2025, American Tower Corporation (the “Company”) disclosed that one of the Company’s customers in Mexico, AT&amp;T Comunicaciones Digitales, S. de R.L. de C.V. and related entities (collectively, “AT&amp;T Mexico”), and the Company are engaged in a legal dispute (the “Arbitration”) and that AT&amp;T Mexico, which represented approximately $300 million of tenant revenue in 2024, had been withholding tower rents since the start of 2025. On September 23, 2025, the Company and AT&amp;T Mexico reached an agreement pursuant to which AT&amp;T Mexico will remit payment of the majority of the withheld tower rents and will resume monthly payments of the majority of its owed tower rents going forward. The remainder of the outstanding receivables and the future monthly unpaid tower rent amounts will be deposited into an irrevocable escrow account, overseen by an independent trustee, to be released in accordance with a final ruling in the Arbitration or by mutual consent of the Company and AT&amp;T Mexico.</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Cautionary Language Regarding Forward-Looking Statements</w:t>
      </w:r>
    </w:p>
    <w:p>
      <w:pPr>
        <w:spacing w:after="0" w:line="248" w:lineRule="exact"/>
        <w:rPr>
          <w:sz w:val="20"/>
          <w:szCs w:val="20"/>
          <w:color w:val="auto"/>
        </w:rPr>
      </w:pPr>
    </w:p>
    <w:p>
      <w:pPr>
        <w:ind w:firstLine="617"/>
        <w:spacing w:after="0" w:line="253" w:lineRule="auto"/>
        <w:rPr>
          <w:sz w:val="20"/>
          <w:szCs w:val="20"/>
          <w:color w:val="auto"/>
        </w:rPr>
      </w:pPr>
      <w:r>
        <w:rPr>
          <w:rFonts w:ascii="Times New Roman" w:cs="Times New Roman" w:eastAsia="Times New Roman" w:hAnsi="Times New Roman"/>
          <w:sz w:val="19"/>
          <w:szCs w:val="19"/>
          <w:color w:val="auto"/>
        </w:rPr>
        <w:t>This current report on Form 8-K contains “forward-looking statements” concerning the Company’s goals, beliefs, expectations, strategies, objectives, plans, future operating results and underlying assumptions and other statements that are not necessarily based on historical facts. Actual results may differ materially from those indicated in the Company’s forward-looking statements as a result of various factors, including those factors set forth under the caption “Risk Factors” in Item 1A of its most recent annual report on Form 10-K, and other risks described in documents the Company subsequently files from time to time with the Securities and Exchange Commission. The Company undertakes no obligation to update the information contained in this current report on Form 8-K to reflect subsequently occurring events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444500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731" w:right="379" w:bottom="1440" w:gutter="0" w:footer="0" w:header="0"/>
        </w:sectPr>
      </w:pPr>
    </w:p>
    <w:bookmarkStart w:id="2" w:name="page3"/>
    <w:bookmarkEnd w:id="2"/>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SIGNATURE</w:t>
      </w:r>
    </w:p>
    <w:p>
      <w:pPr>
        <w:spacing w:after="0" w:line="248" w:lineRule="exact"/>
        <w:rPr>
          <w:sz w:val="20"/>
          <w:szCs w:val="20"/>
          <w:color w:val="auto"/>
        </w:rPr>
      </w:pPr>
    </w:p>
    <w:p>
      <w:pPr>
        <w:ind w:right="160" w:firstLine="694"/>
        <w:spacing w:after="0" w:line="267" w:lineRule="auto"/>
        <w:rPr>
          <w:sz w:val="20"/>
          <w:szCs w:val="20"/>
          <w:color w:val="auto"/>
        </w:rPr>
      </w:pPr>
      <w:r>
        <w:rPr>
          <w:rFonts w:ascii="Times New Roman" w:cs="Times New Roman" w:eastAsia="Times New Roman" w:hAnsi="Times New Roman"/>
          <w:sz w:val="19"/>
          <w:szCs w:val="19"/>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9"/>
          <w:szCs w:val="19"/>
          <w:color w:val="auto"/>
        </w:rPr>
        <w:t>AMERICAN TOWER CORPORATION</w:t>
      </w:r>
    </w:p>
    <w:p>
      <w:pPr>
        <w:spacing w:after="0" w:line="26"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9"/>
          <w:szCs w:val="19"/>
          <w:color w:val="auto"/>
        </w:rPr>
        <w:t>(Registrant)</w:t>
      </w:r>
    </w:p>
    <w:p>
      <w:pPr>
        <w:spacing w:after="0" w:line="200" w:lineRule="exact"/>
        <w:rPr>
          <w:sz w:val="20"/>
          <w:szCs w:val="20"/>
          <w:color w:val="auto"/>
        </w:rPr>
      </w:pPr>
    </w:p>
    <w:p>
      <w:pPr>
        <w:spacing w:after="0" w:line="237" w:lineRule="exact"/>
        <w:rPr>
          <w:sz w:val="20"/>
          <w:szCs w:val="20"/>
          <w:color w:val="auto"/>
        </w:rPr>
      </w:pPr>
    </w:p>
    <w:p>
      <w:pPr>
        <w:ind w:left="720"/>
        <w:spacing w:after="0"/>
        <w:tabs>
          <w:tab w:leader="none" w:pos="1620" w:val="left"/>
          <w:tab w:leader="none" w:pos="6740" w:val="left"/>
          <w:tab w:leader="none" w:pos="8860" w:val="left"/>
        </w:tabs>
        <w:rPr>
          <w:sz w:val="20"/>
          <w:szCs w:val="20"/>
          <w:color w:val="auto"/>
        </w:rPr>
      </w:pPr>
      <w:r>
        <w:rPr>
          <w:rFonts w:ascii="Times New Roman" w:cs="Times New Roman" w:eastAsia="Times New Roman" w:hAnsi="Times New Roman"/>
          <w:sz w:val="19"/>
          <w:szCs w:val="19"/>
          <w:color w:val="auto"/>
        </w:rPr>
        <w:t>Date:</w:t>
      </w:r>
      <w:r>
        <w:rPr>
          <w:sz w:val="20"/>
          <w:szCs w:val="20"/>
          <w:color w:val="auto"/>
        </w:rPr>
        <w:tab/>
      </w:r>
      <w:r>
        <w:rPr>
          <w:rFonts w:ascii="Times New Roman" w:cs="Times New Roman" w:eastAsia="Times New Roman" w:hAnsi="Times New Roman"/>
          <w:sz w:val="19"/>
          <w:szCs w:val="19"/>
          <w:color w:val="auto"/>
        </w:rPr>
        <w:t>September 24, 2025</w:t>
      </w:r>
      <w:r>
        <w:rPr>
          <w:sz w:val="20"/>
          <w:szCs w:val="20"/>
          <w:color w:val="auto"/>
        </w:rPr>
        <w:tab/>
      </w: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8"/>
          <w:szCs w:val="18"/>
          <w:color w:val="auto"/>
        </w:rPr>
        <w:t>/s/ Rodney 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4709160</wp:posOffset>
            </wp:positionH>
            <wp:positionV relativeFrom="paragraph">
              <wp:posOffset>21590</wp:posOffset>
            </wp:positionV>
            <wp:extent cx="24917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91740" cy="8255"/>
                    </a:xfrm>
                    <a:prstGeom prst="rect">
                      <a:avLst/>
                    </a:prstGeom>
                    <a:noFill/>
                  </pic:spPr>
                </pic:pic>
              </a:graphicData>
            </a:graphic>
          </wp:anchor>
        </w:drawing>
      </w:r>
    </w:p>
    <w:p>
      <w:pPr>
        <w:spacing w:after="0" w:line="18"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9"/>
          <w:szCs w:val="19"/>
          <w:color w:val="auto"/>
        </w:rPr>
        <w:t>Rodney M. Smith</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Executive Vice President, Chief Financial Officer</w:t>
      </w:r>
    </w:p>
    <w:p>
      <w:pPr>
        <w:ind w:left="9300"/>
        <w:spacing w:after="0"/>
        <w:rPr>
          <w:sz w:val="20"/>
          <w:szCs w:val="20"/>
          <w:color w:val="auto"/>
        </w:rPr>
      </w:pPr>
      <w:r>
        <w:rPr>
          <w:rFonts w:ascii="Times New Roman" w:cs="Times New Roman" w:eastAsia="Times New Roman" w:hAnsi="Times New Roman"/>
          <w:sz w:val="19"/>
          <w:szCs w:val="19"/>
          <w:color w:val="auto"/>
        </w:rPr>
        <w:t>Treasurer</w:t>
      </w:r>
    </w:p>
    <w:sectPr>
      <w:pgSz w:w="11900" w:h="16838" w:orient="portrait"/>
      <w:cols w:equalWidth="0" w:num="1">
        <w:col w:w="11340"/>
      </w:cols>
      <w:pgMar w:left="320" w:top="7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2025-09-24T15:51:11Z</dcterms:created>
  <dcterms:modified xsi:type="dcterms:W3CDTF">2025-09-24T15:51:11Z</dcterms:modified>
</cp:coreProperties>
</file>