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31359dfwp.htm"/>
      <w:bookmarkStart w:id="1" w:name="ksd131359dfwp"/>
      <w:bookmarkEnd w:id="0"/>
      <w:bookmarkEnd w:id="1"/>
      <w:r>
        <w:rPr>
          <w:rFonts w:ascii="Times New Roman" w:hAnsi="Times New Roman"/>
          <w:b/>
          <w:sz w:val="20"/>
        </w:rPr>
        <w:t xml:space="preserve">Issuer Free Writing Prospectus </w:t>
      </w:r>
    </w:p>
    <w:p>
      <w:pPr>
        <w:pStyle w:val="TextBody"/>
        <w:bidi w:val="0"/>
        <w:spacing w:before="0" w:after="0"/>
        <w:jc w:val="right"/>
        <w:rPr>
          <w:rFonts w:ascii="Times New Roman" w:hAnsi="Times New Roman"/>
          <w:b/>
          <w:sz w:val="20"/>
        </w:rPr>
      </w:pPr>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333-287714 </w:t>
      </w:r>
    </w:p>
    <w:p>
      <w:pPr>
        <w:pStyle w:val="TextBody"/>
        <w:bidi w:val="0"/>
        <w:spacing w:before="240" w:after="0"/>
        <w:jc w:val="center"/>
        <w:rPr>
          <w:rFonts w:ascii="Times New Roman" w:hAnsi="Times New Roman"/>
          <w:b/>
          <w:sz w:val="20"/>
        </w:rPr>
      </w:pPr>
      <w:r>
        <w:rPr>
          <w:rFonts w:ascii="Times New Roman" w:hAnsi="Times New Roman"/>
          <w:b/>
          <w:sz w:val="20"/>
        </w:rPr>
        <w:t xml:space="preserve">Final Term Sheet </w:t>
      </w:r>
    </w:p>
    <w:p>
      <w:pPr>
        <w:pStyle w:val="TextBody"/>
        <w:bidi w:val="0"/>
        <w:spacing w:before="240" w:after="0"/>
        <w:jc w:val="center"/>
        <w:rPr>
          <w:rFonts w:ascii="Times New Roman" w:hAnsi="Times New Roman"/>
          <w:b/>
          <w:sz w:val="20"/>
        </w:rPr>
      </w:pPr>
      <w:r>
        <w:rPr>
          <w:rFonts w:ascii="Times New Roman" w:hAnsi="Times New Roman"/>
          <w:b/>
          <w:sz w:val="20"/>
        </w:rPr>
        <w:t xml:space="preserve">AMERICAN TOWER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September 9,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5"/>
        <w:gridCol w:w="123"/>
        <w:gridCol w:w="7107"/>
      </w:tblGrid>
      <w:tr>
        <w:trPr/>
        <w:tc>
          <w:tcPr>
            <w:tcW w:w="2975"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07" w:type="dxa"/>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Issuer:</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283"/>
              <w:jc w:val="left"/>
              <w:rPr/>
            </w:pPr>
            <w:r>
              <w:rPr/>
              <w:t>American Tower Corporation (“AMT”)</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Coupon:</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5.300% Senior Notes due 2031 (the “2031 Notes”)</w:t>
            </w:r>
          </w:p>
          <w:p>
            <w:pPr>
              <w:pStyle w:val="TableContents"/>
              <w:bidi w:val="0"/>
              <w:spacing w:before="0" w:after="0"/>
              <w:jc w:val="left"/>
              <w:rPr>
                <w:rFonts w:ascii="Times New Roman" w:hAnsi="Times New Roman"/>
                <w:sz w:val="20"/>
              </w:rPr>
            </w:pPr>
            <w:r>
              <w:rPr>
                <w:rFonts w:ascii="Times New Roman" w:hAnsi="Times New Roman"/>
                <w:sz w:val="20"/>
              </w:rPr>
              <w:t>5.560% Senior Notes due 2033 (the “2033 Notes”)</w:t>
            </w:r>
          </w:p>
          <w:p>
            <w:pPr>
              <w:pStyle w:val="TableContents"/>
              <w:bidi w:val="0"/>
              <w:spacing w:before="0" w:after="20"/>
              <w:jc w:val="left"/>
              <w:rPr>
                <w:rFonts w:ascii="Times New Roman" w:hAnsi="Times New Roman"/>
                <w:sz w:val="20"/>
              </w:rPr>
            </w:pPr>
            <w:r>
              <w:rPr>
                <w:rFonts w:ascii="Times New Roman" w:hAnsi="Times New Roman"/>
                <w:sz w:val="20"/>
              </w:rPr>
              <w:t>5.750% Senior Notes due 2036 (the “2036 Notes”)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Principal Amount:</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2031 Notes: $500,000,000</w:t>
            </w:r>
          </w:p>
          <w:p>
            <w:pPr>
              <w:pStyle w:val="TableContents"/>
              <w:bidi w:val="0"/>
              <w:spacing w:before="0" w:after="0"/>
              <w:jc w:val="left"/>
              <w:rPr>
                <w:rFonts w:ascii="Times New Roman" w:hAnsi="Times New Roman"/>
                <w:sz w:val="20"/>
              </w:rPr>
            </w:pPr>
            <w:r>
              <w:rPr>
                <w:rFonts w:ascii="Times New Roman" w:hAnsi="Times New Roman"/>
                <w:sz w:val="20"/>
              </w:rPr>
              <w:t>2033 Notes: $500,000,000</w:t>
            </w:r>
          </w:p>
          <w:p>
            <w:pPr>
              <w:pStyle w:val="TableContents"/>
              <w:bidi w:val="0"/>
              <w:spacing w:before="0" w:after="20"/>
              <w:jc w:val="left"/>
              <w:rPr>
                <w:rFonts w:ascii="Times New Roman" w:hAnsi="Times New Roman"/>
                <w:sz w:val="20"/>
              </w:rPr>
            </w:pPr>
            <w:r>
              <w:rPr>
                <w:rFonts w:ascii="Times New Roman" w:hAnsi="Times New Roman"/>
                <w:sz w:val="20"/>
              </w:rPr>
              <w:t>2036 Notes: $600,000,000</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Maturity Date:</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2031 Notes: September 15, 2031</w:t>
            </w:r>
          </w:p>
          <w:p>
            <w:pPr>
              <w:pStyle w:val="TableContents"/>
              <w:bidi w:val="0"/>
              <w:spacing w:before="0" w:after="0"/>
              <w:jc w:val="left"/>
              <w:rPr>
                <w:rFonts w:ascii="Times New Roman" w:hAnsi="Times New Roman"/>
                <w:sz w:val="20"/>
              </w:rPr>
            </w:pPr>
            <w:r>
              <w:rPr>
                <w:rFonts w:ascii="Times New Roman" w:hAnsi="Times New Roman"/>
                <w:sz w:val="20"/>
              </w:rPr>
              <w:t>2033 Notes: September 15, 2033</w:t>
            </w:r>
          </w:p>
          <w:p>
            <w:pPr>
              <w:pStyle w:val="TableContents"/>
              <w:bidi w:val="0"/>
              <w:spacing w:before="0" w:after="20"/>
              <w:jc w:val="left"/>
              <w:rPr>
                <w:rFonts w:ascii="Times New Roman" w:hAnsi="Times New Roman"/>
                <w:sz w:val="20"/>
              </w:rPr>
            </w:pPr>
            <w:r>
              <w:rPr>
                <w:rFonts w:ascii="Times New Roman" w:hAnsi="Times New Roman"/>
                <w:sz w:val="20"/>
              </w:rPr>
              <w:t>2036 Notes: September 15, 2036</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Benchmark Treasury:</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2031 Notes: 4.375% due August 31, 2031</w:t>
            </w:r>
          </w:p>
          <w:p>
            <w:pPr>
              <w:pStyle w:val="TableContents"/>
              <w:bidi w:val="0"/>
              <w:spacing w:before="0" w:after="0"/>
              <w:jc w:val="left"/>
              <w:rPr>
                <w:rFonts w:ascii="Times New Roman" w:hAnsi="Times New Roman"/>
                <w:sz w:val="20"/>
              </w:rPr>
            </w:pPr>
            <w:r>
              <w:rPr>
                <w:rFonts w:ascii="Times New Roman" w:hAnsi="Times New Roman"/>
                <w:sz w:val="20"/>
              </w:rPr>
              <w:t>2033 Notes: 4.500% due August 31, 2033</w:t>
            </w:r>
          </w:p>
          <w:p>
            <w:pPr>
              <w:pStyle w:val="TableContents"/>
              <w:bidi w:val="0"/>
              <w:spacing w:before="0" w:after="20"/>
              <w:jc w:val="left"/>
              <w:rPr>
                <w:rFonts w:ascii="Times New Roman" w:hAnsi="Times New Roman"/>
                <w:sz w:val="20"/>
              </w:rPr>
            </w:pPr>
            <w:r>
              <w:rPr>
                <w:rFonts w:ascii="Times New Roman" w:hAnsi="Times New Roman"/>
                <w:sz w:val="20"/>
              </w:rPr>
              <w:t>2036 Notes: 4.625% due August 15, 2036</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Benchmark Treasury Price and Yield:</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2031 Notes: 98-30 ¼; 4.615%</w:t>
            </w:r>
          </w:p>
          <w:p>
            <w:pPr>
              <w:pStyle w:val="TableContents"/>
              <w:bidi w:val="0"/>
              <w:spacing w:before="0" w:after="0"/>
              <w:jc w:val="left"/>
              <w:rPr>
                <w:rFonts w:ascii="Times New Roman" w:hAnsi="Times New Roman"/>
                <w:sz w:val="20"/>
              </w:rPr>
            </w:pPr>
            <w:r>
              <w:rPr>
                <w:rFonts w:ascii="Times New Roman" w:hAnsi="Times New Roman"/>
                <w:sz w:val="20"/>
              </w:rPr>
              <w:t>2033 Notes: 98-22 ¾; 4.719%</w:t>
            </w:r>
          </w:p>
          <w:p>
            <w:pPr>
              <w:pStyle w:val="TableContents"/>
              <w:bidi w:val="0"/>
              <w:spacing w:before="0" w:after="20"/>
              <w:jc w:val="left"/>
              <w:rPr>
                <w:rFonts w:ascii="Times New Roman" w:hAnsi="Times New Roman"/>
                <w:sz w:val="20"/>
              </w:rPr>
            </w:pPr>
            <w:r>
              <w:rPr>
                <w:rFonts w:ascii="Times New Roman" w:hAnsi="Times New Roman"/>
                <w:sz w:val="20"/>
              </w:rPr>
              <w:t>2036 Notes: 98-11; 4.837%</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Spread to Benchmark Treasury:</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2031 Notes: T + 75 basis points</w:t>
            </w:r>
          </w:p>
          <w:p>
            <w:pPr>
              <w:pStyle w:val="TableContents"/>
              <w:bidi w:val="0"/>
              <w:spacing w:before="0" w:after="0"/>
              <w:jc w:val="left"/>
              <w:rPr>
                <w:rFonts w:ascii="Times New Roman" w:hAnsi="Times New Roman"/>
                <w:sz w:val="20"/>
              </w:rPr>
            </w:pPr>
            <w:r>
              <w:rPr>
                <w:rFonts w:ascii="Times New Roman" w:hAnsi="Times New Roman"/>
                <w:sz w:val="20"/>
              </w:rPr>
              <w:t>2033 Notes: T + 88 basis points</w:t>
            </w:r>
          </w:p>
          <w:p>
            <w:pPr>
              <w:pStyle w:val="TableContents"/>
              <w:bidi w:val="0"/>
              <w:spacing w:before="0" w:after="20"/>
              <w:jc w:val="left"/>
              <w:rPr>
                <w:rFonts w:ascii="Times New Roman" w:hAnsi="Times New Roman"/>
                <w:sz w:val="20"/>
              </w:rPr>
            </w:pPr>
            <w:r>
              <w:rPr>
                <w:rFonts w:ascii="Times New Roman" w:hAnsi="Times New Roman"/>
                <w:sz w:val="20"/>
              </w:rPr>
              <w:t>2036 Notes: T + 98 basis points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Yield to Maturity:</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2031 Notes: 5.365%</w:t>
            </w:r>
          </w:p>
          <w:p>
            <w:pPr>
              <w:pStyle w:val="TableContents"/>
              <w:bidi w:val="0"/>
              <w:spacing w:before="0" w:after="0"/>
              <w:jc w:val="left"/>
              <w:rPr>
                <w:rFonts w:ascii="Times New Roman" w:hAnsi="Times New Roman"/>
                <w:sz w:val="20"/>
              </w:rPr>
            </w:pPr>
            <w:r>
              <w:rPr>
                <w:rFonts w:ascii="Times New Roman" w:hAnsi="Times New Roman"/>
                <w:sz w:val="20"/>
              </w:rPr>
              <w:t>2033 Notes: 5.599%</w:t>
            </w:r>
          </w:p>
          <w:p>
            <w:pPr>
              <w:pStyle w:val="TableContents"/>
              <w:bidi w:val="0"/>
              <w:spacing w:before="0" w:after="20"/>
              <w:jc w:val="left"/>
              <w:rPr>
                <w:rFonts w:ascii="Times New Roman" w:hAnsi="Times New Roman"/>
                <w:sz w:val="20"/>
              </w:rPr>
            </w:pPr>
            <w:r>
              <w:rPr>
                <w:rFonts w:ascii="Times New Roman" w:hAnsi="Times New Roman"/>
                <w:sz w:val="20"/>
              </w:rPr>
              <w:t>2036 Notes: 5.817%</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Price to Public:</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2031 Notes: 99.718%</w:t>
            </w:r>
          </w:p>
          <w:p>
            <w:pPr>
              <w:pStyle w:val="TableContents"/>
              <w:bidi w:val="0"/>
              <w:spacing w:before="0" w:after="0"/>
              <w:jc w:val="left"/>
              <w:rPr>
                <w:rFonts w:ascii="Times New Roman" w:hAnsi="Times New Roman"/>
                <w:sz w:val="20"/>
              </w:rPr>
            </w:pPr>
            <w:r>
              <w:rPr>
                <w:rFonts w:ascii="Times New Roman" w:hAnsi="Times New Roman"/>
                <w:sz w:val="20"/>
              </w:rPr>
              <w:t>2033 Notes: 99.776%</w:t>
            </w:r>
          </w:p>
          <w:p>
            <w:pPr>
              <w:pStyle w:val="TableContents"/>
              <w:bidi w:val="0"/>
              <w:spacing w:before="0" w:after="20"/>
              <w:jc w:val="left"/>
              <w:rPr>
                <w:rFonts w:ascii="Times New Roman" w:hAnsi="Times New Roman"/>
                <w:sz w:val="20"/>
              </w:rPr>
            </w:pPr>
            <w:r>
              <w:rPr>
                <w:rFonts w:ascii="Times New Roman" w:hAnsi="Times New Roman"/>
                <w:sz w:val="20"/>
              </w:rPr>
              <w:t>2036 Notes: 99.497%</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Ratings(1):</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283"/>
              <w:jc w:val="left"/>
              <w:rPr/>
            </w:pPr>
            <w:r>
              <w:rPr/>
              <w:t>Baa2 (Stable) / BBB+ (Stable) / BBB+ (Stable) (Moody’s / S&amp;P / Fitch)</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Interest Payment Dates:</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2031 Notes: Semi-annually on March 15 and September 15 of each year, commencing on March 15, 2027</w:t>
            </w:r>
          </w:p>
          <w:p>
            <w:pPr>
              <w:pStyle w:val="TableContents"/>
              <w:bidi w:val="0"/>
              <w:spacing w:before="0" w:after="0"/>
              <w:jc w:val="left"/>
              <w:rPr>
                <w:rFonts w:ascii="Times New Roman" w:hAnsi="Times New Roman"/>
                <w:sz w:val="20"/>
              </w:rPr>
            </w:pPr>
            <w:r>
              <w:rPr>
                <w:rFonts w:ascii="Times New Roman" w:hAnsi="Times New Roman"/>
                <w:sz w:val="20"/>
              </w:rPr>
              <w:t>2033 Notes: Semi-annually on March 15 and September 15 of each year, commencing on March 15, 2027</w:t>
            </w:r>
          </w:p>
          <w:p>
            <w:pPr>
              <w:pStyle w:val="TableContents"/>
              <w:bidi w:val="0"/>
              <w:spacing w:before="0" w:after="20"/>
              <w:jc w:val="left"/>
              <w:rPr>
                <w:rFonts w:ascii="Times New Roman" w:hAnsi="Times New Roman"/>
                <w:sz w:val="20"/>
              </w:rPr>
            </w:pPr>
            <w:r>
              <w:rPr>
                <w:rFonts w:ascii="Times New Roman" w:hAnsi="Times New Roman"/>
                <w:sz w:val="20"/>
              </w:rPr>
              <w:t>2036 Notes: Semi-annually on March 15 and September 15 of each year, commencing on March 15, 2027</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Make-whole Call:</w:t>
            </w:r>
          </w:p>
        </w:tc>
        <w:tc>
          <w:tcPr>
            <w:tcW w:w="123"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0"/>
              <w:jc w:val="left"/>
              <w:rPr>
                <w:rFonts w:ascii="Times New Roman" w:hAnsi="Times New Roman"/>
                <w:sz w:val="20"/>
              </w:rPr>
            </w:pPr>
            <w:r>
              <w:rPr>
                <w:rFonts w:ascii="Times New Roman" w:hAnsi="Times New Roman"/>
                <w:sz w:val="20"/>
              </w:rPr>
              <w:t>2031 Notes: Prior to August 15, 2031 (one month prior to their maturity date), at greater of par and make-whole at discount rate of Treasury plus 15 basis points</w:t>
            </w:r>
          </w:p>
          <w:p>
            <w:pPr>
              <w:pStyle w:val="TableContents"/>
              <w:bidi w:val="0"/>
              <w:spacing w:before="0" w:after="0"/>
              <w:jc w:val="left"/>
              <w:rPr>
                <w:rFonts w:ascii="Times New Roman" w:hAnsi="Times New Roman"/>
                <w:sz w:val="20"/>
              </w:rPr>
            </w:pPr>
            <w:r>
              <w:rPr>
                <w:rFonts w:ascii="Times New Roman" w:hAnsi="Times New Roman"/>
                <w:sz w:val="20"/>
              </w:rPr>
              <w:t>2033 Notes: Prior to July 15, 2033 (two months prior to their maturity date), at greater of par and make-whole at discount rate of Treasury plus 15 basis points</w:t>
            </w:r>
          </w:p>
          <w:p>
            <w:pPr>
              <w:pStyle w:val="TableContents"/>
              <w:bidi w:val="0"/>
              <w:spacing w:before="0" w:after="20"/>
              <w:jc w:val="left"/>
              <w:rPr>
                <w:rFonts w:ascii="Times New Roman" w:hAnsi="Times New Roman"/>
                <w:sz w:val="20"/>
              </w:rPr>
            </w:pPr>
            <w:r>
              <w:rPr>
                <w:rFonts w:ascii="Times New Roman" w:hAnsi="Times New Roman"/>
                <w:sz w:val="20"/>
              </w:rPr>
              <w:t>2036 Notes: Prior to June 15, 2036 (three months prior to their maturity date), at greater of par and make-whole at discount rate of Treasury plus 15 basis points</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2975"/>
        <w:gridCol w:w="120"/>
        <w:gridCol w:w="7110"/>
      </w:tblGrid>
      <w:tr>
        <w:trPr/>
        <w:tc>
          <w:tcPr>
            <w:tcW w:w="29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10"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Par Call:</w:t>
            </w:r>
          </w:p>
        </w:tc>
        <w:tc>
          <w:tcPr>
            <w:tcW w:w="120"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0"/>
              <w:jc w:val="left"/>
              <w:rPr>
                <w:rFonts w:ascii="Times New Roman" w:hAnsi="Times New Roman"/>
                <w:sz w:val="20"/>
              </w:rPr>
            </w:pPr>
            <w:r>
              <w:rPr>
                <w:rFonts w:ascii="Times New Roman" w:hAnsi="Times New Roman"/>
                <w:sz w:val="20"/>
              </w:rPr>
              <w:t>2031 Notes: At any time on or after August 15, 2031 (one month prior to their maturity date)</w:t>
            </w:r>
          </w:p>
          <w:p>
            <w:pPr>
              <w:pStyle w:val="TableContents"/>
              <w:bidi w:val="0"/>
              <w:spacing w:before="0" w:after="0"/>
              <w:jc w:val="left"/>
              <w:rPr>
                <w:rFonts w:ascii="Times New Roman" w:hAnsi="Times New Roman"/>
                <w:sz w:val="20"/>
              </w:rPr>
            </w:pPr>
            <w:r>
              <w:rPr>
                <w:rFonts w:ascii="Times New Roman" w:hAnsi="Times New Roman"/>
                <w:sz w:val="20"/>
              </w:rPr>
              <w:t>2033 Notes: At any time on or after July 15, 2033 (two months prior to their maturity date)</w:t>
            </w:r>
          </w:p>
          <w:p>
            <w:pPr>
              <w:pStyle w:val="TableContents"/>
              <w:bidi w:val="0"/>
              <w:spacing w:before="0" w:after="20"/>
              <w:jc w:val="left"/>
              <w:rPr>
                <w:rFonts w:ascii="Times New Roman" w:hAnsi="Times New Roman"/>
                <w:sz w:val="20"/>
              </w:rPr>
            </w:pPr>
            <w:r>
              <w:rPr>
                <w:rFonts w:ascii="Times New Roman" w:hAnsi="Times New Roman"/>
                <w:sz w:val="20"/>
              </w:rPr>
              <w:t>2036 Notes: At any time on or after June 15, 2036 (three months prior to their maturity date)</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Trade Date:</w:t>
            </w:r>
          </w:p>
        </w:tc>
        <w:tc>
          <w:tcPr>
            <w:tcW w:w="120"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283"/>
              <w:jc w:val="left"/>
              <w:rPr/>
            </w:pPr>
            <w:r>
              <w:rPr/>
              <w:t>September 9, 2026</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Settlement Date(2):</w:t>
            </w:r>
          </w:p>
        </w:tc>
        <w:tc>
          <w:tcPr>
            <w:tcW w:w="120"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283"/>
              <w:jc w:val="left"/>
              <w:rPr/>
            </w:pPr>
            <w:r>
              <w:rPr/>
              <w:t>September 14, 2026 (T+3)</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CUSIP/ISIN:</w:t>
            </w:r>
          </w:p>
        </w:tc>
        <w:tc>
          <w:tcPr>
            <w:tcW w:w="120"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0"/>
              <w:jc w:val="left"/>
              <w:rPr>
                <w:rFonts w:ascii="Times New Roman" w:hAnsi="Times New Roman"/>
                <w:sz w:val="20"/>
              </w:rPr>
            </w:pPr>
            <w:r>
              <w:rPr>
                <w:rFonts w:ascii="Times New Roman" w:hAnsi="Times New Roman"/>
                <w:sz w:val="20"/>
              </w:rPr>
              <w:t>2031 Notes: 03027XCT5 / US03027XCT54</w:t>
            </w:r>
          </w:p>
          <w:p>
            <w:pPr>
              <w:pStyle w:val="TableContents"/>
              <w:bidi w:val="0"/>
              <w:spacing w:before="0" w:after="0"/>
              <w:jc w:val="left"/>
              <w:rPr>
                <w:rFonts w:ascii="Times New Roman" w:hAnsi="Times New Roman"/>
                <w:sz w:val="20"/>
              </w:rPr>
            </w:pPr>
            <w:r>
              <w:rPr>
                <w:rFonts w:ascii="Times New Roman" w:hAnsi="Times New Roman"/>
                <w:sz w:val="20"/>
              </w:rPr>
              <w:t>2033 Notes: 03027XCU2 / US03027XCU28</w:t>
            </w:r>
          </w:p>
          <w:p>
            <w:pPr>
              <w:pStyle w:val="TableContents"/>
              <w:bidi w:val="0"/>
              <w:spacing w:before="0" w:after="20"/>
              <w:jc w:val="left"/>
              <w:rPr>
                <w:rFonts w:ascii="Times New Roman" w:hAnsi="Times New Roman"/>
                <w:sz w:val="20"/>
              </w:rPr>
            </w:pPr>
            <w:r>
              <w:rPr>
                <w:rFonts w:ascii="Times New Roman" w:hAnsi="Times New Roman"/>
                <w:sz w:val="20"/>
              </w:rPr>
              <w:t>2036 Notes: 03027XCV0 / US03027XCV01</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Use of Proceeds:</w:t>
            </w:r>
          </w:p>
        </w:tc>
        <w:tc>
          <w:tcPr>
            <w:tcW w:w="120"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283"/>
              <w:jc w:val="left"/>
              <w:rPr/>
            </w:pPr>
            <w:r>
              <w:rPr/>
              <w:t>We intend to use the net proceeds from this offering to repay $600.0 million aggregate principal amount of the 1.450% Notes, to repay existing indebtedness under the 2021 Multicurrency Credit Facility, and for general corporate purposes.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Capitalization:</w:t>
            </w:r>
          </w:p>
        </w:tc>
        <w:tc>
          <w:tcPr>
            <w:tcW w:w="120"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283"/>
              <w:jc w:val="left"/>
              <w:rPr/>
            </w:pPr>
            <w:r>
              <w:rPr/>
              <w:t>The “as adjusted” column in the “Capitalization” section of the Preliminary Prospectus Supplement gives effect to the receipt of approximately $1,579.9 million in net proceeds, after deducting discounts and commissions payable to the underwriters and estimated expenses payable by us, and the use of $600.0 million to repay the 1.450% Notes, $700.0 million to repay existing indebtedness under the 2021 Multicurrency Credit Facility and approximately $279.9 million for general corporate purposes.</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Joint Book-Running Managers:</w:t>
            </w:r>
          </w:p>
        </w:tc>
        <w:tc>
          <w:tcPr>
            <w:tcW w:w="120"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J.P. Morgan Securities LLC </w:t>
              <w:br/>
              <w:t>BofA Securities, Inc.</w:t>
            </w:r>
          </w:p>
          <w:p>
            <w:pPr>
              <w:pStyle w:val="TableContents"/>
              <w:bidi w:val="0"/>
              <w:spacing w:before="0" w:after="0"/>
              <w:jc w:val="left"/>
              <w:rPr>
                <w:rFonts w:ascii="Times New Roman" w:hAnsi="Times New Roman"/>
                <w:sz w:val="20"/>
              </w:rPr>
            </w:pPr>
            <w:r>
              <w:rPr>
                <w:rFonts w:ascii="Times New Roman" w:hAnsi="Times New Roman"/>
                <w:sz w:val="20"/>
              </w:rPr>
              <w:t>Citigroup Global Markets Inc.</w:t>
            </w:r>
          </w:p>
          <w:p>
            <w:pPr>
              <w:pStyle w:val="TableContents"/>
              <w:bidi w:val="0"/>
              <w:spacing w:before="0" w:after="0"/>
              <w:jc w:val="left"/>
              <w:rPr>
                <w:rFonts w:ascii="Times New Roman" w:hAnsi="Times New Roman"/>
                <w:sz w:val="20"/>
              </w:rPr>
            </w:pPr>
            <w:r>
              <w:rPr>
                <w:rFonts w:ascii="Times New Roman" w:hAnsi="Times New Roman"/>
                <w:sz w:val="20"/>
              </w:rPr>
              <w:t>Morgan Stanley &amp; Co. LLC</w:t>
            </w:r>
          </w:p>
          <w:p>
            <w:pPr>
              <w:pStyle w:val="TableContents"/>
              <w:bidi w:val="0"/>
              <w:spacing w:before="0" w:after="20"/>
              <w:jc w:val="left"/>
              <w:rPr>
                <w:rFonts w:ascii="Times New Roman" w:hAnsi="Times New Roman"/>
                <w:sz w:val="20"/>
              </w:rPr>
            </w:pPr>
            <w:r>
              <w:rPr>
                <w:rFonts w:ascii="Times New Roman" w:hAnsi="Times New Roman"/>
                <w:sz w:val="20"/>
              </w:rPr>
              <w:t>Scotia Capital (USA) Inc.</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Senior Co-Managers:</w:t>
            </w:r>
          </w:p>
        </w:tc>
        <w:tc>
          <w:tcPr>
            <w:tcW w:w="120"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0"/>
              <w:jc w:val="left"/>
              <w:rPr>
                <w:rFonts w:ascii="Times New Roman" w:hAnsi="Times New Roman"/>
                <w:sz w:val="20"/>
              </w:rPr>
            </w:pPr>
            <w:r>
              <w:rPr>
                <w:rFonts w:ascii="Times New Roman" w:hAnsi="Times New Roman"/>
                <w:sz w:val="20"/>
              </w:rPr>
              <w:t>BBVA Securities Inc.</w:t>
            </w:r>
          </w:p>
          <w:p>
            <w:pPr>
              <w:pStyle w:val="TableContents"/>
              <w:bidi w:val="0"/>
              <w:spacing w:before="0" w:after="0"/>
              <w:jc w:val="left"/>
              <w:rPr>
                <w:rFonts w:ascii="Times New Roman" w:hAnsi="Times New Roman"/>
                <w:sz w:val="20"/>
              </w:rPr>
            </w:pPr>
            <w:r>
              <w:rPr>
                <w:rFonts w:ascii="Times New Roman" w:hAnsi="Times New Roman"/>
                <w:sz w:val="20"/>
              </w:rPr>
              <w:t>Chatham Financial Securities LLC</w:t>
            </w:r>
          </w:p>
          <w:p>
            <w:pPr>
              <w:pStyle w:val="TableContents"/>
              <w:bidi w:val="0"/>
              <w:spacing w:before="0" w:after="0"/>
              <w:jc w:val="left"/>
              <w:rPr>
                <w:rFonts w:ascii="Times New Roman" w:hAnsi="Times New Roman"/>
                <w:sz w:val="20"/>
              </w:rPr>
            </w:pPr>
            <w:r>
              <w:rPr>
                <w:rFonts w:ascii="Times New Roman" w:hAnsi="Times New Roman"/>
                <w:sz w:val="20"/>
              </w:rPr>
              <w:t>ING Financial Markets LLC</w:t>
            </w:r>
          </w:p>
          <w:p>
            <w:pPr>
              <w:pStyle w:val="TableContents"/>
              <w:bidi w:val="0"/>
              <w:spacing w:before="0" w:after="0"/>
              <w:jc w:val="left"/>
              <w:rPr>
                <w:rFonts w:ascii="Times New Roman" w:hAnsi="Times New Roman"/>
                <w:sz w:val="20"/>
              </w:rPr>
            </w:pPr>
            <w:r>
              <w:rPr>
                <w:rFonts w:ascii="Times New Roman" w:hAnsi="Times New Roman"/>
                <w:sz w:val="20"/>
              </w:rPr>
              <w:t>Mizuho Securities USA LLC</w:t>
            </w:r>
          </w:p>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0"/>
              <w:jc w:val="left"/>
              <w:rPr>
                <w:rFonts w:ascii="Times New Roman" w:hAnsi="Times New Roman"/>
                <w:sz w:val="20"/>
              </w:rPr>
            </w:pPr>
            <w:r>
              <w:rPr>
                <w:rFonts w:ascii="Times New Roman" w:hAnsi="Times New Roman"/>
                <w:sz w:val="20"/>
              </w:rPr>
              <w:t>SMBC Nikko Securities America, Inc.</w:t>
            </w:r>
          </w:p>
          <w:p>
            <w:pPr>
              <w:pStyle w:val="TableContents"/>
              <w:bidi w:val="0"/>
              <w:spacing w:before="0" w:after="0"/>
              <w:jc w:val="left"/>
              <w:rPr>
                <w:rFonts w:ascii="Times New Roman" w:hAnsi="Times New Roman"/>
                <w:sz w:val="20"/>
              </w:rPr>
            </w:pPr>
            <w:r>
              <w:rPr>
                <w:rFonts w:ascii="Times New Roman" w:hAnsi="Times New Roman"/>
                <w:sz w:val="20"/>
              </w:rPr>
              <w:t>TD Securities (USA) LLC</w:t>
            </w:r>
          </w:p>
          <w:p>
            <w:pPr>
              <w:pStyle w:val="TableContents"/>
              <w:bidi w:val="0"/>
              <w:spacing w:before="0" w:after="20"/>
              <w:jc w:val="left"/>
              <w:rPr>
                <w:rFonts w:ascii="Times New Roman" w:hAnsi="Times New Roman"/>
                <w:sz w:val="20"/>
              </w:rPr>
            </w:pPr>
            <w:r>
              <w:rPr>
                <w:rFonts w:ascii="Times New Roman" w:hAnsi="Times New Roman"/>
                <w:sz w:val="20"/>
              </w:rPr>
              <w:t>U.S. Bancorp Investments, Inc.</w:t>
            </w:r>
          </w:p>
        </w:tc>
      </w:tr>
      <w:tr>
        <w:trPr>
          <w:trHeight w:val="120" w:hRule="atLeast"/>
        </w:trPr>
        <w:tc>
          <w:tcPr>
            <w:tcW w:w="2975" w:type="dxa"/>
            <w:tcBorders/>
            <w:vAlign w:val="center"/>
          </w:tcPr>
          <w:p>
            <w:pPr>
              <w:pStyle w:val="TableContents"/>
              <w:bidi w:val="0"/>
              <w:spacing w:before="0" w:after="283"/>
              <w:jc w:val="left"/>
              <w:rPr>
                <w:sz w:val="4"/>
                <w:szCs w:val="4"/>
              </w:rPr>
            </w:pPr>
            <w:r>
              <w:rPr>
                <w:sz w:val="4"/>
                <w:szCs w:val="4"/>
              </w:rPr>
            </w:r>
          </w:p>
        </w:tc>
        <w:tc>
          <w:tcPr>
            <w:tcW w:w="7230" w:type="dxa"/>
            <w:gridSpan w:val="2"/>
            <w:tcBorders/>
            <w:vAlign w:val="center"/>
          </w:tcPr>
          <w:p>
            <w:pPr>
              <w:pStyle w:val="TableContents"/>
              <w:bidi w:val="0"/>
              <w:spacing w:before="0" w:after="283"/>
              <w:jc w:val="left"/>
              <w:rPr>
                <w:sz w:val="4"/>
                <w:szCs w:val="4"/>
              </w:rPr>
            </w:pPr>
            <w:r>
              <w:rPr>
                <w:sz w:val="4"/>
                <w:szCs w:val="4"/>
              </w:rPr>
            </w:r>
          </w:p>
        </w:tc>
      </w:tr>
      <w:tr>
        <w:trPr/>
        <w:tc>
          <w:tcPr>
            <w:tcW w:w="2975" w:type="dxa"/>
            <w:tcBorders/>
          </w:tcPr>
          <w:p>
            <w:pPr>
              <w:pStyle w:val="TableContents"/>
              <w:bidi w:val="0"/>
              <w:spacing w:before="0" w:after="283"/>
              <w:jc w:val="left"/>
              <w:rPr/>
            </w:pPr>
            <w:r>
              <w:rPr/>
              <w:t>Co-Managers:</w:t>
            </w:r>
          </w:p>
        </w:tc>
        <w:tc>
          <w:tcPr>
            <w:tcW w:w="120" w:type="dxa"/>
            <w:tcBorders/>
            <w:vAlign w:val="bottom"/>
          </w:tcPr>
          <w:p>
            <w:pPr>
              <w:pStyle w:val="TableContents"/>
              <w:bidi w:val="0"/>
              <w:spacing w:before="0" w:after="283"/>
              <w:jc w:val="left"/>
              <w:rPr/>
            </w:pPr>
            <w:r>
              <w:rPr/>
              <w:t>  </w:t>
            </w:r>
          </w:p>
        </w:tc>
        <w:tc>
          <w:tcPr>
            <w:tcW w:w="7110" w:type="dxa"/>
            <w:tcBorders/>
          </w:tcPr>
          <w:p>
            <w:pPr>
              <w:pStyle w:val="TableContents"/>
              <w:bidi w:val="0"/>
              <w:spacing w:before="0" w:after="0"/>
              <w:jc w:val="left"/>
              <w:rPr>
                <w:rFonts w:ascii="Times New Roman" w:hAnsi="Times New Roman"/>
                <w:sz w:val="20"/>
              </w:rPr>
            </w:pPr>
            <w:r>
              <w:rPr>
                <w:rFonts w:ascii="Times New Roman" w:hAnsi="Times New Roman"/>
                <w:sz w:val="20"/>
              </w:rPr>
              <w:t>BNP Paribas Securities Corp.</w:t>
            </w:r>
          </w:p>
          <w:p>
            <w:pPr>
              <w:pStyle w:val="TableContents"/>
              <w:bidi w:val="0"/>
              <w:spacing w:before="0" w:after="0"/>
              <w:jc w:val="left"/>
              <w:rPr>
                <w:rFonts w:ascii="Times New Roman" w:hAnsi="Times New Roman"/>
                <w:sz w:val="20"/>
              </w:rPr>
            </w:pPr>
            <w:r>
              <w:rPr>
                <w:rFonts w:ascii="Times New Roman" w:hAnsi="Times New Roman"/>
                <w:sz w:val="20"/>
              </w:rPr>
              <w:t>Credit Agricole Securities (USA) Inc.</w:t>
            </w:r>
          </w:p>
          <w:p>
            <w:pPr>
              <w:pStyle w:val="TableContents"/>
              <w:bidi w:val="0"/>
              <w:spacing w:before="0" w:after="20"/>
              <w:jc w:val="left"/>
              <w:rPr>
                <w:rFonts w:ascii="Times New Roman" w:hAnsi="Times New Roman"/>
                <w:sz w:val="20"/>
              </w:rPr>
            </w:pPr>
            <w:r>
              <w:rPr>
                <w:rFonts w:ascii="Times New Roman" w:hAnsi="Times New Roman"/>
                <w:sz w:val="20"/>
              </w:rPr>
              <w:t>The Standard Bank of South Africa Limited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securities ratings have been provided by Moody’s, S&amp;P and Fitch. None of these ratings is a recommendation to buy, sell or hold these securities. Each rating may be subject to revision or withdrawal at any time, and should be evaluated independently of any other rating.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expect that the delivery of the notes will be made against payment on September 14, 2026, which is the third business day following the date of this Final Term Sheet (this settlement cycle being referred to as “T+3”). Under Rule 15c6-1 of the Securities Exchange Act of 1934, as amended, trades in the secondary market generally are required to settle in one business day, unless the parties to the trade expressly agree otherwise. Accordingly, purchasers who wish to trade the notes prior to their date of delivery may be required, by virtue of the fact that the notes initially will settle in T+3, to specify an alternate settlement cycle at the time of any such trade to prevent a failed settlement and should consult their own advisors.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information in this Final Term Sheet supplements the Preliminary Prospectus Supplement dated September 9, 2026 of AMT (the “Preliminary Prospectus Supplement”) and supersedes the information in the Preliminary Prospectus Supplement to the extent inconsistent with the information in the Preliminary Prospectus Supplement. Defined terms used and not defined herein have the meaning ascribed to them in the Preliminary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Standard Bank of South Africa Limited and any other non-U.S. registered broker-dealer will not effect any offers or sales of any notes in the United States unless it is through one or more U.S. registered broker-dealers as permitted by the regulations of FINRA. </w:t>
      </w:r>
    </w:p>
    <w:p>
      <w:pPr>
        <w:pStyle w:val="TextBody"/>
        <w:bidi w:val="0"/>
        <w:spacing w:before="240" w:after="0"/>
        <w:jc w:val="left"/>
        <w:rPr>
          <w:rFonts w:ascii="Times New Roman" w:hAnsi="Times New Roman"/>
          <w:sz w:val="20"/>
        </w:rPr>
      </w:pPr>
      <w:r>
        <w:rPr>
          <w:rFonts w:ascii="Times New Roman" w:hAnsi="Times New Roman"/>
          <w:sz w:val="20"/>
        </w:rPr>
        <w:t xml:space="preserve">AMT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the joint book-running managers can arrange to send you the prospectus if you request it by calling J.P. Morgan Securities LLC collect at 1-212-834-4533; BofA Securities, Inc. toll-free at 1-800-294-1322; Citigroup Global Markets Inc. toll-free at 1-800-831-9146; Morgan Stanley &amp; Co. LLC toll-free at 1-866-718-1649; or Scotia Capital (USA) Inc. toll-free at 1-800-372-3930.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1006</Words>
  <Characters>5343</Characters>
  <CharactersWithSpaces>6313</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