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26,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American Tower Corporation</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65-0723837</w:t>
      </w:r>
    </w:p>
    <w:p>
      <w:pPr>
        <w:spacing w:after="0" w:line="20" w:lineRule="exact"/>
        <w:rPr>
          <w:sz w:val="24"/>
          <w:szCs w:val="24"/>
          <w:color w:val="auto"/>
        </w:rPr>
      </w:pPr>
    </w:p>
    <w:p>
      <w:pPr>
        <w:sectPr>
          <w:pgSz w:w="11900" w:h="16838" w:orient="portrait"/>
          <w:cols w:equalWidth="0" w:num="2">
            <w:col w:w="7100" w:space="720"/>
            <w:col w:w="3020"/>
          </w:cols>
          <w:pgMar w:left="500" w:top="224" w:right="559" w:bottom="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2">
            <w:col w:w="6980" w:space="720"/>
            <w:col w:w="3140"/>
          </w:cols>
          <w:pgMar w:left="500" w:top="224" w:right="559" w:bottom="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Berkeley Street</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840"/>
          </w:cols>
          <w:pgMar w:left="500" w:top="224" w:right="559" w:bottom="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Tower Corporation 2026 Equity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Steven O. Vondran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Tower Corporation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Berkeley Street</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375-7500</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Ruth T. Dowling</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Administrative Officer, General Counsel and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Tower Corporation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Berkeley Street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 (617) 375-7500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Fax: (617) 375-7575</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J. Albano</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 (212) 225-2000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Fax: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18"/>
          <w:szCs w:val="18"/>
          <w:color w:val="auto"/>
        </w:rPr>
        <w:t>☐</w:t>
      </w:r>
    </w:p>
    <w:p>
      <w:pPr>
        <w:sectPr>
          <w:pgSz w:w="11900" w:h="16838" w:orient="portrait"/>
          <w:cols w:equalWidth="0" w:num="1">
            <w:col w:w="10840"/>
          </w:cols>
          <w:pgMar w:left="500" w:top="224" w:right="559" w:bottom="0" w:gutter="0" w:footer="0" w:header="0"/>
          <w:type w:val="continuous"/>
        </w:sectPr>
      </w:pPr>
    </w:p>
    <w:bookmarkStart w:id="1" w:name="page2"/>
    <w:bookmarkEnd w:id="1"/>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318135</wp:posOffset>
            </wp:positionH>
            <wp:positionV relativeFrom="page">
              <wp:posOffset>233045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275590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with the Securities and Exchange Commission (the “Commission”) for the purpose of registering 12,000,000 shares of common stock, par value $0.01 per share (“Common Stock”) of American Tower Corporation (the “Registrant”) to be offered and sold with respect to future awards under the American Tower Corporation 2026 Equity Incentive Plan (the “Plan”) as a result of the adoption of the Plan, which was approved by the Registrant’s stockholders at the Registrant’s annual meeting of stockholders held on May 20, 2026.</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 Item 2. Registrant Information and Employee Plan Annual Information</w:t>
      </w:r>
    </w:p>
    <w:p>
      <w:pPr>
        <w:spacing w:after="0" w:line="11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information specified in Items 1 and 2 of Part I of Form S-8 is omitted from this filing in accordance with the provisions of Rule 428 under the Securities Act and the introductory note to Part I of Form S-8. The documents containing the information specified in Part I will be delivered to the respective participants in the Plan covered by this Registration Statement, as required by Rule 428(b)(1) of the Securities Act. Such documents are not being filed with the Commission either as part of this Registration Statement or as prospectuses or prospectus supplements pursuant to Rule 424 of the Securities Act. Such documents and the documents incorporated by reference in this Registration Statement pursuant to Item 3 of Part II hereof, taken together, constitute a prospectus that meets the requirements of Section 10(a) of the Securities Act.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Exchange Act, and in accordance therewith files reports, proxy statements and other information with the Commission. The following documents (other than portions of those document furnished or otherwise not deemed filed), which are on file with the Commission, are incorporated in this Registration Statement by reference and shall be deemed to be a part hereof:</w:t>
      </w:r>
    </w:p>
    <w:p>
      <w:pPr>
        <w:spacing w:after="0" w:line="89" w:lineRule="exact"/>
        <w:rPr>
          <w:sz w:val="20"/>
          <w:szCs w:val="20"/>
          <w:color w:val="auto"/>
        </w:rPr>
      </w:pPr>
    </w:p>
    <w:p>
      <w:pPr>
        <w:ind w:left="960" w:hanging="53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as filed with the Commission on February 24, 2026;</w:t>
      </w:r>
    </w:p>
    <w:p>
      <w:pPr>
        <w:sectPr>
          <w:pgSz w:w="11900" w:h="16838" w:orient="portrait"/>
          <w:cols w:equalWidth="0" w:num="1">
            <w:col w:w="10840"/>
          </w:cols>
          <w:pgMar w:left="500" w:top="264" w:right="559" w:bottom="1440" w:gutter="0" w:footer="0" w:header="0"/>
        </w:sectPr>
      </w:pPr>
    </w:p>
    <w:bookmarkStart w:id="3" w:name="page4"/>
    <w:bookmarkEnd w:id="3"/>
    <w:p>
      <w:pPr>
        <w:ind w:left="960" w:right="200" w:hanging="539"/>
        <w:spacing w:after="0" w:line="27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as filed with the Commission on April 28, 2026;</w:t>
      </w:r>
    </w:p>
    <w:p>
      <w:pPr>
        <w:spacing w:after="0" w:line="69" w:lineRule="exact"/>
        <w:rPr>
          <w:rFonts w:ascii="Times New Roman" w:cs="Times New Roman" w:eastAsia="Times New Roman" w:hAnsi="Times New Roman"/>
          <w:sz w:val="18"/>
          <w:szCs w:val="18"/>
          <w:color w:val="auto"/>
        </w:rPr>
      </w:pPr>
    </w:p>
    <w:p>
      <w:pPr>
        <w:ind w:left="960" w:right="80" w:hanging="539"/>
        <w:spacing w:after="0" w:line="277" w:lineRule="auto"/>
        <w:tabs>
          <w:tab w:leader="none" w:pos="96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as filed with the Commission on </w:t>
      </w:r>
      <w:hyperlink r:id="rId21">
        <w:r>
          <w:rPr>
            <w:rFonts w:ascii="Times New Roman" w:cs="Times New Roman" w:eastAsia="Times New Roman" w:hAnsi="Times New Roman"/>
            <w:sz w:val="18"/>
            <w:szCs w:val="18"/>
            <w:u w:val="single" w:color="auto"/>
            <w:color w:val="0000EE"/>
          </w:rPr>
          <w:t>January 28, 2026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January 29,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March 10,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May 19,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000000"/>
        </w:rPr>
        <w:t>;</w:t>
      </w:r>
    </w:p>
    <w:p>
      <w:pPr>
        <w:spacing w:after="0" w:line="69" w:lineRule="exact"/>
        <w:rPr>
          <w:rFonts w:ascii="Times New Roman" w:cs="Times New Roman" w:eastAsia="Times New Roman" w:hAnsi="Times New Roman"/>
          <w:sz w:val="18"/>
          <w:szCs w:val="18"/>
          <w:color w:val="0000EE"/>
        </w:rPr>
      </w:pPr>
    </w:p>
    <w:p>
      <w:pPr>
        <w:ind w:left="960" w:right="400" w:hanging="539"/>
        <w:spacing w:after="0" w:line="277" w:lineRule="auto"/>
        <w:tabs>
          <w:tab w:leader="none" w:pos="96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Registrant’s Common Stock, par value $0.01 per share, contained in the Registrant’s Registration Statement on </w:t>
      </w:r>
      <w:hyperlink r:id="rId29">
        <w:r>
          <w:rPr>
            <w:rFonts w:ascii="Times New Roman" w:cs="Times New Roman" w:eastAsia="Times New Roman" w:hAnsi="Times New Roman"/>
            <w:sz w:val="18"/>
            <w:szCs w:val="18"/>
            <w:u w:val="single" w:color="auto"/>
            <w:color w:val="0000EE"/>
          </w:rPr>
          <w:t>Form S-3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filed with the Commission on June 2, 2025; and</w:t>
      </w:r>
    </w:p>
    <w:p>
      <w:pPr>
        <w:spacing w:after="0" w:line="69" w:lineRule="exact"/>
        <w:rPr>
          <w:rFonts w:ascii="Times New Roman" w:cs="Times New Roman" w:eastAsia="Times New Roman" w:hAnsi="Times New Roman"/>
          <w:sz w:val="18"/>
          <w:szCs w:val="18"/>
          <w:color w:val="0000EE"/>
        </w:rPr>
      </w:pPr>
    </w:p>
    <w:p>
      <w:pPr>
        <w:ind w:left="960" w:right="240" w:hanging="539"/>
        <w:spacing w:after="0" w:line="27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under Section 13(a) or 15(d) of the Exchange Act since the end of the fiscal year covered by the Annual Report referred to above.</w:t>
      </w:r>
    </w:p>
    <w:p>
      <w:pPr>
        <w:spacing w:after="0" w:line="163" w:lineRule="exact"/>
        <w:rPr>
          <w:rFonts w:ascii="Times New Roman" w:cs="Times New Roman" w:eastAsia="Times New Roman" w:hAnsi="Times New Roman"/>
          <w:sz w:val="18"/>
          <w:szCs w:val="18"/>
          <w:color w:val="0000EE"/>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addition to the foregoing, all documents subsequently filed with the Commission by the Registrant pursuant to Sections 13(a), 13(c), 14 and 15(d) of the Exchange Act prior to the filing of a post-effective amendment to this Registration Statement indicating that all of the securities offered hereunder have been sold or deregistering all securities then remaining unsold, shall be deemed to be incorporated by reference in this Registration Statement and to be part hereof from the date of filing of such documents (excluding information furnished but not filed in any Current Report on Form 8-K, including the related exhibits). Any statement contained in a document incorporated or deemed to be incorporated by reference in this Registration Statement shall be deemed to be modified or superseded for purposes of this Registration Statement to the extent that a statement contained herein or in any subsequently filed document that is or is deemed to be also incorporated by reference herein modifies or supersedes such statement. Any statement so modified or superseded shall not be deemed, except as so modified or superseded, to constitute a part of this Registration Statement.</w:t>
      </w:r>
    </w:p>
    <w:p>
      <w:pPr>
        <w:spacing w:after="0" w:line="280"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rFonts w:ascii="Times New Roman" w:cs="Times New Roman" w:eastAsia="Times New Roman" w:hAnsi="Times New Roman"/>
          <w:sz w:val="18"/>
          <w:szCs w:val="18"/>
          <w:color w:val="0000EE"/>
        </w:rPr>
      </w:pPr>
    </w:p>
    <w:p>
      <w:pPr>
        <w:spacing w:after="0" w:line="250"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3" w:lineRule="exact"/>
        <w:rPr>
          <w:rFonts w:ascii="Times New Roman" w:cs="Times New Roman" w:eastAsia="Times New Roman" w:hAnsi="Times New Roman"/>
          <w:sz w:val="18"/>
          <w:szCs w:val="18"/>
          <w:color w:val="0000EE"/>
        </w:rPr>
      </w:pPr>
    </w:p>
    <w:p>
      <w:pPr>
        <w:spacing w:after="0" w:line="252" w:lineRule="auto"/>
        <w:rPr>
          <w:sz w:val="20"/>
          <w:szCs w:val="20"/>
          <w:color w:val="auto"/>
        </w:rPr>
      </w:pPr>
      <w:r>
        <w:rPr>
          <w:rFonts w:ascii="Times New Roman" w:cs="Times New Roman" w:eastAsia="Times New Roman" w:hAnsi="Times New Roman"/>
          <w:sz w:val="18"/>
          <w:szCs w:val="18"/>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w:t>
      </w:r>
    </w:p>
    <w:p>
      <w:pPr>
        <w:sectPr>
          <w:pgSz w:w="11900" w:h="16838" w:orient="portrait"/>
          <w:cols w:equalWidth="0" w:num="1">
            <w:col w:w="10880"/>
          </w:cols>
          <w:pgMar w:left="500" w:top="268" w:right="51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expenses which the Court of Chancery or such other court shall deem proper. Subsection (d) of Section 145 of the DGCL provides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145 of the DGCL further provides that to the extent a present or former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and that such expenses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that any indemnification and advancement of expenses provided by, or granted pursuant to, Section 145 of the DGCL shall not be deemed exclusive of any other rights to which the indemnified party may be entitled; that any indemnification and advancement of expenses provided by, or granted pursuant to, Section 145 shall, unless otherwise provided when authorized or ratified, continue as to a person who has ceased to be a director, officer, employee or agent and shall inure to the benefit of such person’s heirs, executors and administrators; and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liabilities under Section 145.</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Section 102(b)(7) of the DGCL provides that a certificate of incorporation may contain a provision eliminating or limiting the personal liability of a director or certain officers to the corporation or its stockholders for monetary damages for breach of fiduciary duty as a director or officer, provided that such provision shall not eliminate or limit the liability of a director or officer (i) for any breach of the director’s or officer’s duty of loyalty to the corporation or its stockholders, (ii) for acts or omissions not in good faith or which involve intentional misconduct or a knowing violation of law, (iii) under Section 174 of the DGCL, or (iv) for any transaction from which the director or officer derived an improper personal benefit.</w:t>
      </w:r>
    </w:p>
    <w:p>
      <w:pPr>
        <w:spacing w:after="0" w:line="1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Article Seven of the Registrant’s Certificate of Incorporation provides that the Registrant will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by reason of the fact that he, or a person for whom he is the legal representative, is or was a director, officer, or employee of the Registrant or is or was serving at the request of the Registrant as a director, officer, partner, member, trustee, employee or agent of another corporation, partnership, joint venture, limited liability company, trust, or other enterprise or nonprofit entity against all liability, losses, expenses (including attorneys’ fees), judgments, fines, and amounts paid in settlement actually and reasonably incurred by such indemnitee. Notwithstanding the preceding sentence, except for proceedings to enforce rights set forth in Article Seven, the Registrant will be required under its Certificate of Incorporation to indemnify, or pay or reimburse expenses, to any director, officer, employee or other person in connection with a proceeding (or part thereof) commenced by such indemnitee only if the commencement of such proceeding (or part thereof) by the indemnitee was authorized by the Registrant’s board of directors. Expenses (including attorneys’ fees) incurred by a current officer or director of the Registrant in defending any civil, criminal, administrative or investigative action, suit or proceeding for which such officer or director may be entitled to indemnification under the Registrant’s Certificate of Incorporation shall be paid or reimbursed in advance of the final disposition of such matter upon receipt of an undertaking by such director or officer to repay such amount unless it is determined that such person is entitled to be indemnified by the Registrant under Article Seven.</w:t>
      </w:r>
    </w:p>
    <w:p>
      <w:pPr>
        <w:sectPr>
          <w:pgSz w:w="11900" w:h="16838" w:orient="portrait"/>
          <w:cols w:equalWidth="0" w:num="1">
            <w:col w:w="10880"/>
          </w:cols>
          <w:pgMar w:left="500" w:top="268"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Delaware law, directors of the Registrant will remain liable for the following:</w:t>
      </w:r>
    </w:p>
    <w:p>
      <w:pPr>
        <w:spacing w:after="0" w:line="127" w:lineRule="exact"/>
        <w:rPr>
          <w:sz w:val="20"/>
          <w:szCs w:val="20"/>
          <w:color w:val="auto"/>
        </w:rPr>
      </w:pPr>
    </w:p>
    <w:p>
      <w:pPr>
        <w:ind w:left="960" w:hanging="4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involving intentional misconduct or a knowing violation of law;</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stock repurchases or redemptions that are unlawful under Delaware law; and</w:t>
      </w:r>
    </w:p>
    <w:p>
      <w:pPr>
        <w:spacing w:after="0" w:line="126"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the director receives an improper personal benefit.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Registrant has purchased directors’ and officers’ liability insurance which would indemnify its directors and officers against damages arising out of certain kinds of claims which might be made against them based on their negligent acts or omissions while acting in their capacity as such.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the exhibits included as part of this Registration Statement is set forth in the Exhibit Index and is hereby incorporated by reference herein.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1" w:lineRule="exact"/>
        <w:rPr>
          <w:sz w:val="20"/>
          <w:szCs w:val="20"/>
          <w:color w:val="auto"/>
        </w:rPr>
      </w:pPr>
    </w:p>
    <w:p>
      <w:pPr>
        <w:ind w:left="960" w:hanging="539"/>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940" w:hanging="530"/>
        <w:spacing w:after="0"/>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jc w:val="both"/>
        <w:ind w:left="1940" w:right="340" w:hanging="530"/>
        <w:spacing w:after="0" w:line="262" w:lineRule="auto"/>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3" w:lineRule="exact"/>
        <w:rPr>
          <w:rFonts w:ascii="Times New Roman" w:cs="Times New Roman" w:eastAsia="Times New Roman" w:hAnsi="Times New Roman"/>
          <w:sz w:val="18"/>
          <w:szCs w:val="18"/>
          <w:color w:val="auto"/>
        </w:rPr>
      </w:pPr>
    </w:p>
    <w:p>
      <w:pPr>
        <w:ind w:left="1940" w:right="400" w:hanging="530"/>
        <w:spacing w:after="0" w:line="277" w:lineRule="auto"/>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7" w:lineRule="exact"/>
        <w:rPr>
          <w:sz w:val="20"/>
          <w:szCs w:val="20"/>
          <w:color w:val="auto"/>
        </w:rPr>
      </w:pPr>
    </w:p>
    <w:p>
      <w:pPr>
        <w:ind w:left="980" w:right="40" w:firstLine="397"/>
        <w:spacing w:after="0" w:line="262" w:lineRule="auto"/>
        <w:rPr>
          <w:sz w:val="20"/>
          <w:szCs w:val="20"/>
          <w:color w:val="auto"/>
        </w:rPr>
      </w:pPr>
      <w:r>
        <w:rPr>
          <w:rFonts w:ascii="Times New Roman" w:cs="Times New Roman" w:eastAsia="Times New Roman" w:hAnsi="Times New Roman"/>
          <w:sz w:val="18"/>
          <w:szCs w:val="18"/>
          <w:color w:val="auto"/>
        </w:rPr>
        <w:t>provided, however, that paragraphs (i) and (ii)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4" w:lineRule="exact"/>
        <w:rPr>
          <w:sz w:val="20"/>
          <w:szCs w:val="20"/>
          <w:color w:val="auto"/>
        </w:rPr>
      </w:pPr>
    </w:p>
    <w:p>
      <w:pPr>
        <w:ind w:left="1400" w:right="120" w:hanging="431"/>
        <w:spacing w:after="0" w:line="26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8"/>
          <w:szCs w:val="18"/>
          <w:color w:val="auto"/>
        </w:rPr>
      </w:pPr>
    </w:p>
    <w:p>
      <w:pPr>
        <w:ind w:left="1400" w:right="100" w:hanging="431"/>
        <w:spacing w:after="0" w:line="277"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960" w:hanging="539"/>
        <w:spacing w:after="0" w:line="25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820"/>
          </w:cols>
          <w:pgMar w:left="500" w:top="268" w:right="579" w:bottom="1440" w:gutter="0" w:footer="0" w:header="0"/>
        </w:sectPr>
      </w:pPr>
    </w:p>
    <w:bookmarkStart w:id="6" w:name="page7"/>
    <w:bookmarkEnd w:id="6"/>
    <w:p>
      <w:pPr>
        <w:ind w:left="960" w:right="40" w:hanging="539"/>
        <w:spacing w:after="0" w:line="268"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60" w:type="dxa"/>
            <w:vAlign w:val="bottom"/>
            <w:gridSpan w:val="9"/>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60" w:type="dxa"/>
            <w:vAlign w:val="bottom"/>
            <w:gridSpan w:val="9"/>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20" w:type="dxa"/>
            <w:vAlign w:val="bottom"/>
          </w:tcPr>
          <w:p>
            <w:pPr>
              <w:spacing w:after="0"/>
              <w:rPr>
                <w:sz w:val="23"/>
                <w:szCs w:val="23"/>
                <w:color w:val="auto"/>
              </w:rPr>
            </w:pPr>
          </w:p>
        </w:tc>
        <w:tc>
          <w:tcPr>
            <w:tcW w:w="6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Restated Certificate of Incorporation of the Registrant as filed with the Secretary of State of</w:t>
              </w:r>
            </w:hyperlink>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001-14195</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January 3, 2012</w:t>
            </w:r>
          </w:p>
        </w:tc>
        <w:tc>
          <w:tcPr>
            <w:tcW w:w="78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the State of Delaware, effective as of December 31, 2011</w:t>
              </w:r>
            </w:hyperlink>
          </w:p>
        </w:tc>
        <w:tc>
          <w:tcPr>
            <w:tcW w:w="246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120" w:type="dxa"/>
            <w:vAlign w:val="bottom"/>
          </w:tcPr>
          <w:p>
            <w:pPr>
              <w:spacing w:after="0"/>
              <w:rPr>
                <w:sz w:val="24"/>
                <w:szCs w:val="24"/>
                <w:color w:val="auto"/>
              </w:rPr>
            </w:pPr>
          </w:p>
        </w:tc>
        <w:tc>
          <w:tcPr>
            <w:tcW w:w="5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Amended and Restated By-Laws of the Registrant, effective as of January 3, 2025</w:t>
              </w:r>
            </w:hyperlink>
          </w:p>
        </w:tc>
        <w:tc>
          <w:tcPr>
            <w:tcW w:w="6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001-14195</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78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20" w:type="dxa"/>
            <w:vAlign w:val="bottom"/>
          </w:tcPr>
          <w:p>
            <w:pPr>
              <w:spacing w:after="0"/>
              <w:rPr>
                <w:sz w:val="24"/>
                <w:szCs w:val="24"/>
                <w:color w:val="auto"/>
              </w:rPr>
            </w:pPr>
          </w:p>
        </w:tc>
        <w:tc>
          <w:tcPr>
            <w:tcW w:w="41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American Tower Corporation 2026 Equity Incentive Plan</w:t>
              </w:r>
            </w:hyperlink>
          </w:p>
        </w:tc>
        <w:tc>
          <w:tcPr>
            <w:tcW w:w="24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001-14195</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78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20" w:type="dxa"/>
            <w:vAlign w:val="bottom"/>
          </w:tcPr>
          <w:p>
            <w:pPr>
              <w:spacing w:after="0"/>
              <w:rPr>
                <w:sz w:val="24"/>
                <w:szCs w:val="24"/>
                <w:color w:val="auto"/>
              </w:rPr>
            </w:pPr>
          </w:p>
        </w:tc>
        <w:tc>
          <w:tcPr>
            <w:tcW w:w="6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Cleary Gottlieb Steen &amp; Hamilton LLP</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6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in Exhibit 5.1 to this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40" w:type="dxa"/>
            <w:vAlign w:val="bottom"/>
            <w:tcBorders>
              <w:top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Registration Statement)</w:t>
            </w:r>
          </w:p>
        </w:tc>
        <w:tc>
          <w:tcPr>
            <w:tcW w:w="70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6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Deloitte &amp; Touche LLP</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6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58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7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55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840"/>
          </w:cols>
          <w:pgMar w:left="500" w:top="268" w:right="5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6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May 26,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AMERICAN TOWER CORPORATION</w:t>
      </w:r>
    </w:p>
    <w:p>
      <w:pPr>
        <w:spacing w:after="0" w:line="224"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0"/>
                <w:szCs w:val="20"/>
                <w:color w:val="auto"/>
              </w:rPr>
            </w:pPr>
          </w:p>
        </w:tc>
        <w:tc>
          <w:tcPr>
            <w:tcW w:w="40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 Steven O. Vondran</w:t>
            </w:r>
          </w:p>
        </w:tc>
      </w:tr>
      <w:tr>
        <w:trPr>
          <w:trHeight w:val="198"/>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Steven O. Vondran</w:t>
            </w:r>
          </w:p>
        </w:tc>
      </w:tr>
      <w:tr>
        <w:trPr>
          <w:trHeight w:val="237"/>
        </w:trPr>
        <w:tc>
          <w:tcPr>
            <w:tcW w:w="300" w:type="dxa"/>
            <w:vAlign w:val="bottom"/>
          </w:tcPr>
          <w:p>
            <w:pPr>
              <w:spacing w:after="0"/>
              <w:rPr>
                <w:sz w:val="20"/>
                <w:szCs w:val="20"/>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bl>
    <w:p>
      <w:pPr>
        <w:sectPr>
          <w:pgSz w:w="11900" w:h="16838" w:orient="portrait"/>
          <w:cols w:equalWidth="0" w:num="1">
            <w:col w:w="10900"/>
          </w:cols>
          <w:pgMar w:left="500" w:top="264" w:right="4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We, the undersigned officers and directors of American Tower Corporation, hereby severally constitute and appoint Steven O. Vondran and Ruth T. Dowling and each of them singly, our true and lawful attorneys with full power to any of them, and to each of them singly, to sign for us and in our names in the capacities indicated below the Registration Statement on Form S-8 filed herewith and any and all pre-effective and post-effective amendments to said Registration Statement and any related registration statements filed pursuant to Rule 462(b), and to file the same, with exhibits thereto and other documents in connection therewith, and generally to do all such things in our name and behalf in our capacities as officers and directors to enable American Tower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900"/>
          </w:cols>
          <w:pgMar w:left="500" w:top="264" w:right="499" w:bottom="1440" w:gutter="0" w:footer="0" w:header="0"/>
        </w:sectPr>
      </w:pPr>
    </w:p>
    <w:p>
      <w:pPr>
        <w:spacing w:after="0" w:line="18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629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 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Steven O. Vondran</w:t>
      </w:r>
    </w:p>
    <w:p>
      <w:pPr>
        <w:spacing w:after="0" w:line="22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Rodney M. Smith</w:t>
      </w:r>
    </w:p>
    <w:p>
      <w:pPr>
        <w:spacing w:after="0" w:line="22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Paul Blanchett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Paul Blanchett</w:t>
      </w:r>
    </w:p>
    <w:p>
      <w:pPr>
        <w:spacing w:after="0" w:line="22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Pamela D. A. Reeve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629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Pamela D. A. Reeve</w:t>
      </w:r>
    </w:p>
    <w:p>
      <w:pPr>
        <w:spacing w:after="0" w:line="22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Kelly C. Chambliss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Kelly C. Chambliss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Teresa H.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Teresa H. Clarke</w:t>
      </w:r>
    </w:p>
    <w:p>
      <w:pPr>
        <w:spacing w:after="0" w:line="2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 Kenneth R.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Kenneth R. Frank</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Rajesh Kalathur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Rajesh Kalathur</w:t>
      </w:r>
    </w:p>
    <w:p>
      <w:pPr>
        <w:spacing w:after="0" w:line="22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Grace D.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629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Grace D. Lieblein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9"/>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President and Chief Executive Officer (Principal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3"/>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740" w:type="dxa"/>
            <w:vAlign w:val="bottom"/>
          </w:tcPr>
          <w:p>
            <w:pPr>
              <w:spacing w:after="0"/>
              <w:rPr>
                <w:sz w:val="20"/>
                <w:szCs w:val="20"/>
                <w:color w:val="auto"/>
              </w:rPr>
            </w:pPr>
          </w:p>
        </w:tc>
      </w:tr>
      <w:tr>
        <w:trPr>
          <w:trHeight w:val="435"/>
        </w:trPr>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3"/>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740" w:type="dxa"/>
            <w:vAlign w:val="bottom"/>
          </w:tcPr>
          <w:p>
            <w:pPr>
              <w:spacing w:after="0"/>
              <w:rPr>
                <w:sz w:val="20"/>
                <w:szCs w:val="20"/>
                <w:color w:val="auto"/>
              </w:rPr>
            </w:pPr>
          </w:p>
        </w:tc>
      </w:tr>
      <w:tr>
        <w:trPr>
          <w:trHeight w:val="435"/>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Senior Vice President, Chief Accounting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3"/>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740" w:type="dxa"/>
            <w:vAlign w:val="bottom"/>
          </w:tcPr>
          <w:p>
            <w:pPr>
              <w:spacing w:after="0"/>
              <w:rPr>
                <w:sz w:val="20"/>
                <w:szCs w:val="20"/>
                <w:color w:val="auto"/>
              </w:rPr>
            </w:pPr>
          </w:p>
        </w:tc>
      </w:tr>
      <w:tr>
        <w:trPr>
          <w:trHeight w:val="454"/>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Chairperson,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668"/>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668"/>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668"/>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668"/>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668"/>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bl>
    <w:p>
      <w:pPr>
        <w:sectPr>
          <w:pgSz w:w="11900" w:h="16838" w:orient="portrait"/>
          <w:cols w:equalWidth="0" w:num="2">
            <w:col w:w="3540" w:space="720"/>
            <w:col w:w="6640"/>
          </w:cols>
          <w:pgMar w:left="500" w:top="264" w:right="499" w:bottom="1440" w:gutter="0" w:footer="0" w:header="0"/>
          <w:type w:val="continuous"/>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/s/ Craig Macnab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15875</wp:posOffset>
            </wp:positionV>
            <wp:extent cx="2629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Craig Macnab</w:t>
      </w:r>
    </w:p>
    <w:p>
      <w:pPr>
        <w:spacing w:after="0" w:line="224"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color w:val="auto"/>
        </w:rPr>
        <w:t>/s/ Neville R.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15875</wp:posOffset>
            </wp:positionV>
            <wp:extent cx="2629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9"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Neville R. Ray</w:t>
      </w:r>
    </w:p>
    <w:p>
      <w:pPr>
        <w:spacing w:after="0" w:line="224"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7"/>
          <w:szCs w:val="17"/>
          <w:color w:val="auto"/>
        </w:rPr>
        <w:t>/s/ Eugene F.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23495</wp:posOffset>
            </wp:positionV>
            <wp:extent cx="2629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1"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Eugene F. Reilly</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 Bruce L.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23495</wp:posOffset>
            </wp:positionV>
            <wp:extent cx="2629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Bruce L. Tanner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66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66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66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May 26,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-1653540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ectPr>
          <w:pgSz w:w="11900" w:h="16838" w:orient="portrait"/>
          <w:cols w:equalWidth="0" w:num="2">
            <w:col w:w="4700" w:space="720"/>
            <w:col w:w="4160"/>
          </w:cols>
          <w:pgMar w:left="1440" w:top="482" w:right="8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171450</wp:posOffset>
            </wp:positionV>
            <wp:extent cx="5691505" cy="1433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5691505" cy="143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Writer’s Direct Dial: +1 212 225 2342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ljanzen@cgsh.com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Berkeley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American Tower Corporation 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acted as counsel to American Tower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today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of the following shares of the Company’s common stock, par value $0.01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12,000,000 Shares that will be available for future issuance under the American Tower 2026 Equity Incentive Plan, as amended (the “</w:t>
      </w:r>
      <w:r>
        <w:rPr>
          <w:rFonts w:ascii="Times New Roman" w:cs="Times New Roman" w:eastAsia="Times New Roman" w:hAnsi="Times New Roman"/>
          <w:sz w:val="18"/>
          <w:szCs w:val="18"/>
          <w:u w:val="single" w:color="auto"/>
          <w:color w:val="auto"/>
        </w:rPr>
        <w:t>American Tower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have participated in the preparation of the Registration Statement and have reviewed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w:t>
      </w:r>
    </w:p>
    <w:p>
      <w:pPr>
        <w:spacing w:after="0" w:line="182"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Shares have been duly authorized by all necessary corporate action of the Company and, when issued in accordance with the terms of the American Tower Plan at prices not less than the par value thereof, will be validly issued, fully paid and non-assessable.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1637665</wp:posOffset>
            </wp:positionH>
            <wp:positionV relativeFrom="paragraph">
              <wp:posOffset>168910</wp:posOffset>
            </wp:positionV>
            <wp:extent cx="3647440" cy="194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3647440" cy="194945"/>
                    </a:xfrm>
                    <a:prstGeom prst="rect">
                      <a:avLst/>
                    </a:prstGeom>
                    <a:noFill/>
                  </pic:spPr>
                </pic:pic>
              </a:graphicData>
            </a:graphic>
          </wp:anchor>
        </w:drawing>
      </w:r>
    </w:p>
    <w:p>
      <w:pPr>
        <w:sectPr>
          <w:pgSz w:w="11900" w:h="16838" w:orient="portrait"/>
          <w:cols w:equalWidth="0" w:num="1">
            <w:col w:w="10900"/>
          </w:cols>
          <w:pgMar w:left="500" w:top="117" w:right="499" w:bottom="1440" w:gutter="0" w:footer="0" w:header="0"/>
        </w:sectPr>
      </w:pPr>
    </w:p>
    <w:bookmarkStart w:id="11" w:name="page12"/>
    <w:bookmarkEnd w:id="11"/>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We hereby consent to the use of this opinion as a part (Exhibit 5.1) of the Registration Statement.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to make any investigations, as to any legal developments or factual matters arising subsequent to the date hereof that might affect the opinion expressed herein.</w:t>
      </w:r>
    </w:p>
    <w:p>
      <w:pPr>
        <w:spacing w:after="0" w:line="19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CLEARY GOTTLIEB STEEN &amp;</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HAMILTON LLP</w:t>
      </w:r>
    </w:p>
    <w:p>
      <w:pPr>
        <w:spacing w:after="0" w:line="215" w:lineRule="exact"/>
        <w:rPr>
          <w:sz w:val="20"/>
          <w:szCs w:val="20"/>
          <w:color w:val="auto"/>
        </w:rPr>
      </w:pPr>
    </w:p>
    <w:p>
      <w:pPr>
        <w:ind w:left="6540"/>
        <w:spacing w:after="0"/>
        <w:tabs>
          <w:tab w:leader="none" w:pos="8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Janzen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Lesley Janzen, a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Corporation, p. 2</w:t>
      </w:r>
    </w:p>
    <w:p>
      <w:pPr>
        <w:sectPr>
          <w:pgSz w:w="11900" w:h="16838" w:orient="portrait"/>
          <w:cols w:equalWidth="0" w:num="1">
            <w:col w:w="10720"/>
          </w:cols>
          <w:pgMar w:left="500" w:top="268" w:right="6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1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24, 2026 relating to the financial statements of American Tower Corporation and the effectiveness of American Tower Corporation’s internal control over financial reporting, appearing in the Annual Report on Form 10-K of American Tower Corporation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0900"/>
          </w:cols>
          <w:pgMar w:left="500" w:top="117" w:right="499" w:bottom="1440" w:gutter="0" w:footer="0" w:header="0"/>
        </w:sectPr>
      </w:pPr>
    </w:p>
    <w:bookmarkStart w:id="13" w:name="page14"/>
    <w:bookmarkEnd w:id="13"/>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AMERICAN TOWER CORP /MA/</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40" w:type="dxa"/>
            <w:vAlign w:val="bottom"/>
            <w:vMerge w:val="restart"/>
            <w:shd w:val="clear" w:color="auto" w:fill="9ADAF6"/>
          </w:tcPr>
          <w:p>
            <w:pPr>
              <w:ind w:left="1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6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18"/>
                <w:szCs w:val="18"/>
                <w:color w:val="auto"/>
              </w:rPr>
            </w:pPr>
          </w:p>
        </w:tc>
        <w:tc>
          <w:tcPr>
            <w:tcW w:w="16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3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shd w:val="clear" w:color="auto" w:fill="9ADAF6"/>
          </w:tcPr>
          <w:p>
            <w:pPr>
              <w:ind w:left="200"/>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4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40" w:type="dxa"/>
            <w:vAlign w:val="bottom"/>
          </w:tcPr>
          <w:p>
            <w:pPr>
              <w:spacing w:after="0"/>
              <w:rPr>
                <w:sz w:val="23"/>
                <w:szCs w:val="23"/>
                <w:color w:val="auto"/>
              </w:rPr>
            </w:pPr>
          </w:p>
        </w:tc>
        <w:tc>
          <w:tcPr>
            <w:tcW w:w="16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6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for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10"/>
                <w:szCs w:val="1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11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12,000,000</w:t>
            </w:r>
          </w:p>
        </w:tc>
        <w:tc>
          <w:tcPr>
            <w:tcW w:w="20" w:type="dxa"/>
            <w:vAlign w:val="bottom"/>
          </w:tcPr>
          <w:p>
            <w:pPr>
              <w:spacing w:after="0"/>
              <w:rPr>
                <w:sz w:val="10"/>
                <w:szCs w:val="10"/>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$ 174.21</w:t>
            </w:r>
          </w:p>
        </w:tc>
        <w:tc>
          <w:tcPr>
            <w:tcW w:w="40" w:type="dxa"/>
            <w:vAlign w:val="bottom"/>
          </w:tcPr>
          <w:p>
            <w:pPr>
              <w:spacing w:after="0"/>
              <w:rPr>
                <w:sz w:val="10"/>
                <w:szCs w:val="10"/>
                <w:color w:val="auto"/>
              </w:rPr>
            </w:pPr>
          </w:p>
        </w:tc>
        <w:tc>
          <w:tcPr>
            <w:tcW w:w="16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$ 288,700.81</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2,090,520,000.00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American</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Tower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Corporation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2026</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$ 288,700.81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2,090,520,000.00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$ 288,700.81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60" w:hanging="225"/>
        <w:spacing w:after="0"/>
        <w:tabs>
          <w:tab w:leader="none" w:pos="800" w:val="left"/>
        </w:tabs>
        <w:numPr>
          <w:ilvl w:val="0"/>
          <w:numId w:val="8"/>
        </w:numPr>
        <w:rPr>
          <w:rFonts w:ascii="Arial" w:cs="Arial" w:eastAsia="Arial" w:hAnsi="Arial"/>
          <w:sz w:val="27"/>
          <w:szCs w:val="27"/>
          <w:color w:val="auto"/>
          <w:vertAlign w:val="superscript"/>
        </w:rPr>
      </w:pPr>
      <w:r>
        <w:rPr>
          <w:rFonts w:ascii="Arial" w:cs="Arial" w:eastAsia="Arial" w:hAnsi="Arial"/>
          <w:sz w:val="21"/>
          <w:szCs w:val="21"/>
          <w:color w:val="auto"/>
        </w:rPr>
        <w:t>(1) As to the information listed in the "Amount Registered" column, pursuant to Rule 416(c) under the Securities Act, this Registration Statement also covers an indeterminate amount of interests to be offered or sold pursuant to the employee benefit plan described herein. (2) The 12,000,000 shares of Common Stock listed in the "Amount Registered" column represent 12,000,000 shares of Common Stock available for future grants under the Plan. (3) The price listed in the "Proposed Maximum Offering Price Per Unit" column is estimated solely for the purpose of calculating the registration fee in accordance with Rules 457(c) and 457(h) of the Securities Act, and based upon the average of the high and low selling prices of the Common Stock of the Registrant on May 18, 2026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209550</wp:posOffset>
            </wp:positionV>
            <wp:extent cx="6387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3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jpeg"/><Relationship Id="rId55" Type="http://schemas.openxmlformats.org/officeDocument/2006/relationships/image" Target="media/image34.jpe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18" Type="http://schemas.openxmlformats.org/officeDocument/2006/relationships/hyperlink" Target="http://www.sec.gov/ix?doc=/Archives/edgar/data/1053507/000105350726000035/amt-20251231.htm" TargetMode="External"/><Relationship Id="rId20" Type="http://schemas.openxmlformats.org/officeDocument/2006/relationships/hyperlink" Target="http://www.sec.gov/ix?doc=/Archives/edgar/data/1053507/000105350726000099/amt-20260331.htm" TargetMode="External"/><Relationship Id="rId21" Type="http://schemas.openxmlformats.org/officeDocument/2006/relationships/hyperlink" Target="http://www.sec.gov/ix?doc=/Archives/edgar/data/1053507/000105350726000026/amt-20260128.htm" TargetMode="External"/><Relationship Id="rId22" Type="http://schemas.openxmlformats.org/officeDocument/2006/relationships/hyperlink" Target="http://www.sec.gov/ix?doc=/Archives/edgar/data/1053507/000105350726000028/amt-20260126.htm" TargetMode="External"/><Relationship Id="rId23" Type="http://schemas.openxmlformats.org/officeDocument/2006/relationships/hyperlink" Target="http://www.sec.gov/ix?doc=/Archives/edgar/data/1053507/000105350726000038/amt-20260225.htm" TargetMode="External"/><Relationship Id="rId24" Type="http://schemas.openxmlformats.org/officeDocument/2006/relationships/hyperlink" Target="http://www.sec.gov/ix?doc=/Archives/edgar/data/1053507/000105350726000041/amt-20260305.htm" TargetMode="External"/><Relationship Id="rId25" Type="http://schemas.openxmlformats.org/officeDocument/2006/relationships/hyperlink" Target="http://www.sec.gov/ix?doc=/Archives/edgar/data/1053507/000105350726000048/amt-20260306.htm" TargetMode="External"/><Relationship Id="rId26" Type="http://schemas.openxmlformats.org/officeDocument/2006/relationships/hyperlink" Target="http://www.sec.gov/ix?doc=/Archives/edgar/data/1053507/000105350726000108/amt-20260507.htm" TargetMode="External"/><Relationship Id="rId27" Type="http://schemas.openxmlformats.org/officeDocument/2006/relationships/hyperlink" Target="http://www.sec.gov/ix?doc=/Archives/edgar/data/1053507/000105350726000111/amt-20260519.htm" TargetMode="External"/><Relationship Id="rId28" Type="http://schemas.openxmlformats.org/officeDocument/2006/relationships/hyperlink" Target="http://www.sec.gov/ix?doc=/Archives/edgar/data/1053507/000105350726000116/amt-20260520.htm" TargetMode="External"/><Relationship Id="rId29" Type="http://schemas.openxmlformats.org/officeDocument/2006/relationships/hyperlink" Target="http://www.sec.gov/Archives/edgar/data/1053507/000119312525132847/d948506ds3asr.htm" TargetMode="External"/><Relationship Id="rId33" Type="http://schemas.openxmlformats.org/officeDocument/2006/relationships/hyperlink" Target="http://www.sec.gov/Archives/edgar/data/1053507/000119312512000101/d273408dex31.htm" TargetMode="External"/><Relationship Id="rId34" Type="http://schemas.openxmlformats.org/officeDocument/2006/relationships/hyperlink" Target="http://www.sec.gov/Archives/edgar/data/1053507/000105350725000002/exhibit31.htm" TargetMode="External"/><Relationship Id="rId35" Type="http://schemas.openxmlformats.org/officeDocument/2006/relationships/hyperlink" Target="http://www.sec.gov/Archives/edgar/data/1053507/000105350726000116/exhibit101americantowerc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2026-05-26T15:43:57Z</dcterms:created>
  <dcterms:modified xsi:type="dcterms:W3CDTF">2026-05-26T15:43:57Z</dcterms:modified>
</cp:coreProperties>
</file>