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6192d8k.htm"/>
      <w:bookmarkStart w:id="1" w:name="ksd15619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14,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AMERICAN TOWER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001-14195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65-0723837</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222 Berkeley Street</w:t>
      </w:r>
    </w:p>
    <w:p>
      <w:pPr>
        <w:pStyle w:val="TextBody"/>
        <w:bidi w:val="0"/>
        <w:spacing w:before="0" w:after="0"/>
        <w:jc w:val="center"/>
        <w:rPr>
          <w:rFonts w:ascii="Times New Roman" w:hAnsi="Times New Roman"/>
          <w:b/>
          <w:sz w:val="20"/>
        </w:rPr>
      </w:pPr>
      <w:r>
        <w:rPr>
          <w:rFonts w:ascii="Times New Roman" w:hAnsi="Times New Roman"/>
          <w:b/>
          <w:sz w:val="20"/>
        </w:rPr>
        <w:t>Boston, Massachusetts 02116</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240" w:after="0"/>
        <w:jc w:val="center"/>
        <w:rPr>
          <w:rFonts w:ascii="Times New Roman" w:hAnsi="Times New Roman"/>
          <w:b/>
          <w:sz w:val="20"/>
        </w:rPr>
      </w:pPr>
      <w:r>
        <w:rPr>
          <w:rFonts w:ascii="Times New Roman" w:hAnsi="Times New Roman"/>
          <w:b/>
          <w:sz w:val="20"/>
        </w:rPr>
        <w:t>(617) 375-7500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6930" w:type="dxa"/>
        <w:jc w:val="left"/>
        <w:tblInd w:w="0" w:type="dxa"/>
        <w:tblLayout w:type="fixed"/>
        <w:tblCellMar>
          <w:top w:w="0" w:type="dxa"/>
          <w:left w:w="0" w:type="dxa"/>
          <w:bottom w:w="0" w:type="dxa"/>
          <w:right w:w="0" w:type="dxa"/>
        </w:tblCellMar>
      </w:tblPr>
      <w:tblGrid>
        <w:gridCol w:w="3110"/>
        <w:gridCol w:w="60"/>
        <w:gridCol w:w="1040"/>
        <w:gridCol w:w="60"/>
        <w:gridCol w:w="2660"/>
      </w:tblGrid>
      <w:tr>
        <w:trPr/>
        <w:tc>
          <w:tcPr>
            <w:tcW w:w="3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110"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AMT</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3110" w:type="dxa"/>
            <w:tcBorders/>
            <w:vAlign w:val="center"/>
          </w:tcPr>
          <w:p>
            <w:pPr>
              <w:pStyle w:val="TableContents"/>
              <w:bidi w:val="0"/>
              <w:spacing w:before="0" w:after="283"/>
              <w:jc w:val="center"/>
              <w:rPr/>
            </w:pPr>
            <w:r>
              <w:rPr/>
              <w:t>0.450% Senior Notes due 2027</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AMT 27C</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3110" w:type="dxa"/>
            <w:tcBorders/>
            <w:vAlign w:val="center"/>
          </w:tcPr>
          <w:p>
            <w:pPr>
              <w:pStyle w:val="TableContents"/>
              <w:bidi w:val="0"/>
              <w:spacing w:before="0" w:after="283"/>
              <w:jc w:val="center"/>
              <w:rPr/>
            </w:pPr>
            <w:r>
              <w:rPr/>
              <w:t>0.400% Senior Notes due 2027</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AMT 27D</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3110" w:type="dxa"/>
            <w:tcBorders/>
            <w:vAlign w:val="center"/>
          </w:tcPr>
          <w:p>
            <w:pPr>
              <w:pStyle w:val="TableContents"/>
              <w:bidi w:val="0"/>
              <w:spacing w:before="0" w:after="283"/>
              <w:jc w:val="center"/>
              <w:rPr/>
            </w:pPr>
            <w:r>
              <w:rPr/>
              <w:t>4.125% Senior Notes due 2027</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AMT 27F</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3110" w:type="dxa"/>
            <w:tcBorders/>
            <w:vAlign w:val="center"/>
          </w:tcPr>
          <w:p>
            <w:pPr>
              <w:pStyle w:val="TableContents"/>
              <w:bidi w:val="0"/>
              <w:spacing w:before="0" w:after="283"/>
              <w:jc w:val="center"/>
              <w:rPr/>
            </w:pPr>
            <w:r>
              <w:rPr/>
              <w:t>0.500% Senior Notes due 2028</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AMT 28A</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3110" w:type="dxa"/>
            <w:tcBorders/>
            <w:vAlign w:val="center"/>
          </w:tcPr>
          <w:p>
            <w:pPr>
              <w:pStyle w:val="TableContents"/>
              <w:bidi w:val="0"/>
              <w:spacing w:before="0" w:after="283"/>
              <w:jc w:val="center"/>
              <w:rPr/>
            </w:pPr>
            <w:r>
              <w:rPr/>
              <w:t>0.875% Senior Notes due 2029</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AMT 29B</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3110" w:type="dxa"/>
            <w:tcBorders/>
            <w:vAlign w:val="center"/>
          </w:tcPr>
          <w:p>
            <w:pPr>
              <w:pStyle w:val="TableContents"/>
              <w:bidi w:val="0"/>
              <w:spacing w:before="0" w:after="283"/>
              <w:jc w:val="center"/>
              <w:rPr/>
            </w:pPr>
            <w:r>
              <w:rPr/>
              <w:t>0.950% Senior Notes due 2030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AMT 30C</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3110" w:type="dxa"/>
            <w:tcBorders/>
            <w:vAlign w:val="center"/>
          </w:tcPr>
          <w:p>
            <w:pPr>
              <w:pStyle w:val="TableContents"/>
              <w:bidi w:val="0"/>
              <w:spacing w:before="0" w:after="283"/>
              <w:jc w:val="center"/>
              <w:rPr/>
            </w:pPr>
            <w:r>
              <w:rPr/>
              <w:t>3.900% Senior Notes due 2030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AMT 30D</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3110" w:type="dxa"/>
            <w:tcBorders/>
            <w:vAlign w:val="center"/>
          </w:tcPr>
          <w:p>
            <w:pPr>
              <w:pStyle w:val="TableContents"/>
              <w:bidi w:val="0"/>
              <w:spacing w:before="0" w:after="283"/>
              <w:jc w:val="center"/>
              <w:rPr/>
            </w:pPr>
            <w:r>
              <w:rPr/>
              <w:t>4.625% Senior Notes due 2031</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AMT 31B</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3110" w:type="dxa"/>
            <w:tcBorders/>
            <w:vAlign w:val="center"/>
          </w:tcPr>
          <w:p>
            <w:pPr>
              <w:pStyle w:val="TableContents"/>
              <w:bidi w:val="0"/>
              <w:spacing w:before="0" w:after="283"/>
              <w:jc w:val="center"/>
              <w:rPr/>
            </w:pPr>
            <w:r>
              <w:rPr/>
              <w:t>1.000% Senior Notes due 2032</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AMT 32</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3110" w:type="dxa"/>
            <w:tcBorders/>
            <w:vAlign w:val="center"/>
          </w:tcPr>
          <w:p>
            <w:pPr>
              <w:pStyle w:val="TableContents"/>
              <w:bidi w:val="0"/>
              <w:spacing w:before="0" w:after="283"/>
              <w:jc w:val="center"/>
              <w:rPr/>
            </w:pPr>
            <w:r>
              <w:rPr/>
              <w:t>3.625% Senior Notes due 2032</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AMT 32B</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3110" w:type="dxa"/>
            <w:tcBorders/>
            <w:vAlign w:val="center"/>
          </w:tcPr>
          <w:p>
            <w:pPr>
              <w:pStyle w:val="TableContents"/>
              <w:bidi w:val="0"/>
              <w:spacing w:before="0" w:after="283"/>
              <w:jc w:val="center"/>
              <w:rPr/>
            </w:pPr>
            <w:r>
              <w:rPr/>
              <w:t>1.250% Senior Notes due 2033</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AMT 33</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3110" w:type="dxa"/>
            <w:tcBorders/>
            <w:vAlign w:val="center"/>
          </w:tcPr>
          <w:p>
            <w:pPr>
              <w:pStyle w:val="TableContents"/>
              <w:bidi w:val="0"/>
              <w:spacing w:before="0" w:after="283"/>
              <w:jc w:val="center"/>
              <w:rPr/>
            </w:pPr>
            <w:r>
              <w:rPr/>
              <w:t>4.000% Senior Notes due 2033</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AMT 33D</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3110" w:type="dxa"/>
            <w:tcBorders/>
            <w:vAlign w:val="center"/>
          </w:tcPr>
          <w:p>
            <w:pPr>
              <w:pStyle w:val="TableContents"/>
              <w:bidi w:val="0"/>
              <w:spacing w:before="0" w:after="283"/>
              <w:jc w:val="center"/>
              <w:rPr/>
            </w:pPr>
            <w:r>
              <w:rPr/>
              <w:t>4.100% Senior Notes due 2034</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AMT 34A</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14, 2026, American Tower Corporation (the “Company”) completed a registered public offering of $500.0 million aggregate principal amount of its 5.300% senior unsecured notes due 2031 (the “2031 notes”), $500.0 million aggregate principal amount of its 5.560% senior unsecured notes due 2033 (the “2033 notes”) and $600.0 million aggregate principal amount of its 5.750% senior unsecured notes due 2036 (the “2036 notes” and, collectively with the 2031 notes and the 2033 notes, the “Notes”), which resulted in aggregate net proceeds to the Company of approximately $1,579.9 million, after deducting commissions and estimated expenses. The Company intends to use the net proceeds to repay $600.0 million aggregate principal amount of its 1.450% senior unsecured notes due 2026, to repay existing indebtedness under its $6.0 billion senior unsecured multicurrency revolving credit facility, as amended and restated in December 2021, as further amended, and for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issued the Notes under an indenture dated as of June 2, 2025 (the “Base Indenture”), as supplemented by a supplemental indenture dated as of September 14, 2026 (the “Supplemental Indenture No. 3” and, together with the Base Indenture, the “Indenture”), each between the Company and U.S. Bank Trust Company, National Association, as trustee (the “Trustee”). The following description of the Indenture is a summary and is qualified in its entirety by reference to the detailed provisions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2031 notes will mature on September 15, 2031 and bear interest at a rate of 5.300% per annum. The 2033 notes will mature on September 15, 2033 and bear interest at a rate of 5.560% per annum. The 2036 notes will mature on September 15, 2036 and bear interest at a rate of 5.750% per annum. Accrued and unpaid interest on the Notes will be payable in U.S. Dollars semi-annually in arrears on March 15 and September 15 of each year, beginning on March 15, 2027. Interest on the Notes will accrue from September 14, 2026 and will be computed on the basis of a 360-day year comprised of twelve 30-day months. The terms of the Indenture, among other things, limit (a) the Company’s ability to merge, consolidate or sell assets and (b) the Company’s and its subsidiaries’ abilities to incur liens. These covenants are subject to a number of exceptions, including that the Company and its subsidiaries may incur liens on assets, mortgages or other liens securing indebtedness, provided the aggregate amount of indebtedness secured by such liens shall not exceed 3.5x Adjusted EBITDA as defined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redeem the Notes at any time, in whole or in part, at its election at the applicable redemption price. If the Company redeems (a) the 2031 notes prior to August 15, 2031, (b) the 2033 notes prior to July 15, 2033 or (c) the 2036 notes prior to June 15, 2036, the Company shall pay a redemption price equal to 100% of the principal amount of the notes being redeemed plus a make-whole premium, together with accrued interest to the redemption date. If the Company redeems (a) the 2031 notes on or after August 15, 2031, (b) the 2033 notes on or after July 15, 2033 or (c) the 2036 notes on or after June 15, 2036, the Company shall pay a redemption price equal to 100% of the principal amount of the notes being redeemed plus accrued interest to the redemption date. In addition, if the Company undergoes a Change of Control and Ratings Decline, each as defined in the Indenture, the Company may be required to repurchase all of the Notes at a purchase price equal to 101% of the principal amount of the Notes, plus accrued and unpaid interest (including additional interest, if any), up to but not including the repurchase date.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each of the following is an event of default (“Event of Default”): (i) default for 30 days in payment of any interest due with respect to the Notes; (ii) default in payment of principal or premium, if any, on the Notes when due, at maturity, upon any redemption, by declaration or otherwise; (iii) failure by the Company to comply with covenants in the Indenture or Notes for 90 days after receiving notice; and (iv) certain events of bankruptcy or insolvency with respect to the Company or any of its Significant Subsidiaries, as defined in the Indenture. If any Event of Default arising under clause (iv) above occurs, the principal amount and accrued and unpaid interest on all the outstanding Notes will become due and payable immediately without further action or notice. If any other Event of Default occurs and is continuing, the Trustee or the holders of at least 25% in principal amount of the then outstanding Notes may declare the entire principal amount on all the outstanding Notes to be due and payable immediately.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is only a summary of certain provisions and is qualified in its entirety by the terms of the Base Indenture, as filed with the Securities and Exchange Commission on June 2, 2025 as an exhibit to the Company’s Registration Statement on Form S-3 (No. 333-287714), and the Supplemental Indenture No. 3, a copy of which is filed herewith as Exhibit 4.1, and incorporated by reference herein.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34"/>
        <w:gridCol w:w="9271"/>
      </w:tblGrid>
      <w:tr>
        <w:trPr/>
        <w:tc>
          <w:tcPr>
            <w:tcW w:w="934" w:type="dxa"/>
            <w:tcBorders/>
            <w:vAlign w:val="center"/>
          </w:tcPr>
          <w:p>
            <w:pPr>
              <w:pStyle w:val="TableContents"/>
              <w:bidi w:val="0"/>
              <w:spacing w:before="0" w:after="283"/>
              <w:jc w:val="left"/>
              <w:rPr>
                <w:b/>
              </w:rPr>
            </w:pPr>
            <w:r>
              <w:rPr>
                <w:b/>
              </w:rPr>
              <w:t>Item 2.03</w:t>
            </w:r>
          </w:p>
        </w:tc>
        <w:tc>
          <w:tcPr>
            <w:tcW w:w="927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Please refer to the discussion under Item 1.01 above, which is incorporated under this Item 2.03 by reference.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copy of the opinion of Cleary Gottlieb Steen &amp; Hamilton LLP relating to the legality of the issuance by the Company of the Notes is attached as Exhibit 5.1 hereto. </w:t>
      </w:r>
    </w:p>
    <w:p>
      <w:pPr>
        <w:pStyle w:val="TextBody"/>
        <w:bidi w:val="0"/>
        <w:spacing w:before="36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center"/>
              <w:rPr>
                <w:b/>
              </w:rPr>
            </w:pPr>
            <w:r>
              <w:rPr>
                <w:b/>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56192dex41.htm">
              <w:r>
                <w:rPr>
                  <w:rStyle w:val="InternetLink"/>
                </w:rPr>
                <w:t xml:space="preserve">Supplemental Indenture No. 3, dated as of September 14, 2026, by and between American Tower Corporation and U.S. Bank Trust Company, National Association, as trustee.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56192dex51.htm">
              <w:r>
                <w:rPr>
                  <w:rStyle w:val="InternetLink"/>
                </w:rPr>
                <w:t xml:space="preserve">Opinion of Cleary Gottlieb Steen &amp; Hamilton LLP.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56192dex51.htm">
              <w:r>
                <w:rPr>
                  <w:rStyle w:val="InternetLink"/>
                </w:rPr>
                <w:t xml:space="preserve">Consent of Cleary Gottlieb Steen &amp; Hamilton LLP (included in Exhibit 5.1 hereto).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9173" w:type="dxa"/>
        <w:jc w:val="left"/>
        <w:tblInd w:w="0" w:type="dxa"/>
        <w:tblLayout w:type="fixed"/>
        <w:tblCellMar>
          <w:top w:w="0" w:type="dxa"/>
          <w:left w:w="0" w:type="dxa"/>
          <w:bottom w:w="0" w:type="dxa"/>
          <w:right w:w="0" w:type="dxa"/>
        </w:tblCellMar>
      </w:tblPr>
      <w:tblGrid>
        <w:gridCol w:w="2510"/>
        <w:gridCol w:w="60"/>
        <w:gridCol w:w="23"/>
        <w:gridCol w:w="60"/>
        <w:gridCol w:w="365"/>
        <w:gridCol w:w="60"/>
        <w:gridCol w:w="6095"/>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9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20" w:type="dxa"/>
            <w:gridSpan w:val="3"/>
            <w:tcBorders/>
            <w:vAlign w:val="center"/>
          </w:tcPr>
          <w:p>
            <w:pPr>
              <w:pStyle w:val="TableContents"/>
              <w:bidi w:val="0"/>
              <w:spacing w:before="0" w:after="283"/>
              <w:jc w:val="left"/>
              <w:rPr/>
            </w:pPr>
            <w:r>
              <w:rPr/>
              <w:t>AMERICAN TOWER CORPORATION</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20"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(Registrant)</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6155"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14,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Rodney M. Smith</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bidi w:val="0"/>
              <w:spacing w:before="0" w:after="283"/>
              <w:jc w:val="center"/>
              <w:rPr/>
            </w:pPr>
            <w:r>
              <w:rPr/>
              <w:t>Rodney M. Smith</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bidi w:val="0"/>
              <w:spacing w:before="0" w:after="283"/>
              <w:jc w:val="center"/>
              <w:rPr/>
            </w:pPr>
            <w:r>
              <w:rPr/>
              <w:t>Executive Vice President, Chief Financial Officer and Treasurer</w:t>
            </w:r>
          </w:p>
        </w:tc>
      </w:tr>
    </w:tbl>
    <w:p>
      <w:pPr>
        <w:pStyle w:val="TextBody"/>
        <w:bidi w:val="0"/>
        <w:spacing w:before="0" w:after="0"/>
        <w:jc w:val="right"/>
        <w:rPr>
          <w:rFonts w:ascii="Times New Roman" w:hAnsi="Times New Roman"/>
          <w:b/>
          <w:sz w:val="20"/>
        </w:rPr>
      </w:pPr>
      <w:bookmarkStart w:id="2" w:name="d156192dex41.htm"/>
      <w:bookmarkStart w:id="3" w:name="ksd156192dex41"/>
      <w:bookmarkEnd w:id="2"/>
      <w:bookmarkEnd w:id="3"/>
      <w:r>
        <w:rPr>
          <w:rFonts w:ascii="Times New Roman" w:hAnsi="Times New Roman"/>
          <w:b/>
          <w:sz w:val="20"/>
        </w:rPr>
        <w:t xml:space="preserve">Exhibit 4.1 </w:t>
      </w:r>
      <w:r>
        <w:br w:type="page"/>
      </w:r>
    </w:p>
    <w:p>
      <w:pPr>
        <w:pStyle w:val="TextBody"/>
        <w:bidi w:val="0"/>
        <w:spacing w:before="480" w:after="0"/>
        <w:jc w:val="center"/>
        <w:rPr>
          <w:rFonts w:ascii="Times New Roman" w:hAnsi="Times New Roman"/>
          <w:sz w:val="20"/>
        </w:rPr>
      </w:pPr>
      <w:r>
        <w:rPr>
          <w:rFonts w:ascii="Times New Roman" w:hAnsi="Times New Roman"/>
          <w:sz w:val="20"/>
        </w:rPr>
        <w:t xml:space="preserve">AMERICAN TOWER CORPORATION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U.S. BANK TRUST COMPANY, NATIONAL ASSOCIATION </w:t>
      </w:r>
    </w:p>
    <w:p>
      <w:pPr>
        <w:pStyle w:val="TextBody"/>
        <w:bidi w:val="0"/>
        <w:spacing w:before="240" w:after="0"/>
        <w:jc w:val="center"/>
        <w:rPr>
          <w:rFonts w:ascii="Times New Roman" w:hAnsi="Times New Roman"/>
          <w:sz w:val="20"/>
        </w:rPr>
      </w:pPr>
      <w:r>
        <w:rPr>
          <w:rFonts w:ascii="Times New Roman" w:hAnsi="Times New Roman"/>
          <w:sz w:val="20"/>
        </w:rPr>
        <w:t xml:space="preserve">as Trustee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SUPPLEMENTAL INDENTURE NO. 3 </w:t>
      </w:r>
    </w:p>
    <w:p>
      <w:pPr>
        <w:pStyle w:val="TextBody"/>
        <w:bidi w:val="0"/>
        <w:spacing w:before="240" w:after="0"/>
        <w:jc w:val="center"/>
        <w:rPr>
          <w:rFonts w:ascii="Times New Roman" w:hAnsi="Times New Roman"/>
          <w:sz w:val="20"/>
        </w:rPr>
      </w:pPr>
      <w:r>
        <w:rPr>
          <w:rFonts w:ascii="Times New Roman" w:hAnsi="Times New Roman"/>
          <w:sz w:val="20"/>
        </w:rPr>
        <w:t xml:space="preserve">Dated as of September 14, 2026 </w:t>
      </w:r>
    </w:p>
    <w:p>
      <w:pPr>
        <w:pStyle w:val="TextBody"/>
        <w:bidi w:val="0"/>
        <w:spacing w:before="240" w:after="0"/>
        <w:jc w:val="center"/>
        <w:rPr>
          <w:rFonts w:ascii="Times New Roman" w:hAnsi="Times New Roman"/>
          <w:sz w:val="20"/>
        </w:rPr>
      </w:pPr>
      <w:r>
        <w:rPr>
          <w:rFonts w:ascii="Times New Roman" w:hAnsi="Times New Roman"/>
          <w:sz w:val="20"/>
        </w:rPr>
        <w:t xml:space="preserve">to </w:t>
      </w:r>
    </w:p>
    <w:p>
      <w:pPr>
        <w:pStyle w:val="TextBody"/>
        <w:bidi w:val="0"/>
        <w:spacing w:before="240" w:after="0"/>
        <w:jc w:val="center"/>
        <w:rPr>
          <w:rFonts w:ascii="Times New Roman" w:hAnsi="Times New Roman"/>
          <w:sz w:val="20"/>
        </w:rPr>
      </w:pPr>
      <w:r>
        <w:rPr>
          <w:rFonts w:ascii="Times New Roman" w:hAnsi="Times New Roman"/>
          <w:sz w:val="20"/>
        </w:rPr>
        <w:t xml:space="preserve">BASE 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June 2, 2025 </w:t>
      </w:r>
    </w:p>
    <w:p>
      <w:pPr>
        <w:pStyle w:val="TextBody"/>
        <w:bidi w:val="0"/>
        <w:spacing w:before="240" w:after="0"/>
        <w:jc w:val="center"/>
        <w:rPr>
          <w:rFonts w:ascii="Times New Roman" w:hAnsi="Times New Roman"/>
          <w:sz w:val="20"/>
        </w:rPr>
      </w:pPr>
      <w:r>
        <w:rPr>
          <w:rFonts w:ascii="Times New Roman" w:hAnsi="Times New Roman"/>
          <w:sz w:val="20"/>
        </w:rPr>
        <w:t xml:space="preserve">$1,600,000,000 Principal Amount </w:t>
      </w:r>
    </w:p>
    <w:p>
      <w:pPr>
        <w:pStyle w:val="TextBody"/>
        <w:bidi w:val="0"/>
        <w:spacing w:before="240" w:after="0"/>
        <w:jc w:val="center"/>
        <w:rPr>
          <w:rFonts w:ascii="Times New Roman" w:hAnsi="Times New Roman"/>
          <w:sz w:val="20"/>
        </w:rPr>
      </w:pPr>
      <w:r>
        <w:rPr>
          <w:rFonts w:ascii="Times New Roman" w:hAnsi="Times New Roman"/>
          <w:sz w:val="20"/>
        </w:rPr>
        <w:t xml:space="preserve">$500,000,000 5.300% SENIOR NOTES DUE 2031 </w:t>
      </w:r>
    </w:p>
    <w:p>
      <w:pPr>
        <w:pStyle w:val="TextBody"/>
        <w:bidi w:val="0"/>
        <w:spacing w:before="0" w:after="0"/>
        <w:jc w:val="center"/>
        <w:rPr>
          <w:rFonts w:ascii="Times New Roman" w:hAnsi="Times New Roman"/>
          <w:sz w:val="20"/>
        </w:rPr>
      </w:pPr>
      <w:r>
        <w:rPr>
          <w:rFonts w:ascii="Times New Roman" w:hAnsi="Times New Roman"/>
          <w:sz w:val="20"/>
        </w:rPr>
        <w:t xml:space="preserve">$500,000,000 5.560% SENIOR NOTES DUE 2033 </w:t>
      </w:r>
    </w:p>
    <w:p>
      <w:pPr>
        <w:pStyle w:val="TextBody"/>
        <w:bidi w:val="0"/>
        <w:spacing w:before="0" w:after="0"/>
        <w:jc w:val="center"/>
        <w:rPr>
          <w:rFonts w:ascii="Times New Roman" w:hAnsi="Times New Roman"/>
          <w:sz w:val="20"/>
        </w:rPr>
      </w:pPr>
      <w:r>
        <w:rPr>
          <w:rFonts w:ascii="Times New Roman" w:hAnsi="Times New Roman"/>
          <w:sz w:val="20"/>
        </w:rPr>
        <w:t xml:space="preserve">$600,000,000 5.750% SENIOR NOTES DUE 2036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69"/>
        <w:gridCol w:w="77"/>
        <w:gridCol w:w="8147"/>
        <w:gridCol w:w="134"/>
        <w:gridCol w:w="96"/>
        <w:gridCol w:w="419"/>
        <w:gridCol w:w="63"/>
      </w:tblGrid>
      <w:tr>
        <w:trPr/>
        <w:tc>
          <w:tcPr>
            <w:tcW w:w="1269"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8147"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269"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147"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49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 AND INCORPORATION BY REFERENCE</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1269" w:type="dxa"/>
            <w:tcBorders/>
            <w:vAlign w:val="center"/>
          </w:tcPr>
          <w:p>
            <w:pPr>
              <w:pStyle w:val="TableContents"/>
              <w:bidi w:val="0"/>
              <w:spacing w:before="0" w:after="283"/>
              <w:jc w:val="left"/>
              <w:rPr>
                <w:sz w:val="4"/>
                <w:szCs w:val="4"/>
              </w:rPr>
            </w:pPr>
            <w:r>
              <w:rPr>
                <w:sz w:val="4"/>
                <w:szCs w:val="4"/>
              </w:rPr>
            </w:r>
          </w:p>
        </w:tc>
        <w:tc>
          <w:tcPr>
            <w:tcW w:w="8224"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1269"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77" w:type="dxa"/>
            <w:tcBorders/>
            <w:vAlign w:val="bottom"/>
          </w:tcPr>
          <w:p>
            <w:pPr>
              <w:pStyle w:val="TableContents"/>
              <w:bidi w:val="0"/>
              <w:spacing w:before="0" w:after="283"/>
              <w:jc w:val="left"/>
              <w:rPr/>
            </w:pPr>
            <w:r>
              <w:rPr/>
              <w:t> </w:t>
            </w:r>
          </w:p>
        </w:tc>
        <w:tc>
          <w:tcPr>
            <w:tcW w:w="8147" w:type="dxa"/>
            <w:tcBorders/>
            <w:vAlign w:val="bottom"/>
          </w:tcPr>
          <w:p>
            <w:pPr>
              <w:pStyle w:val="TableContents"/>
              <w:bidi w:val="0"/>
              <w:spacing w:before="0" w:after="283"/>
              <w:jc w:val="left"/>
              <w:rPr/>
            </w:pPr>
            <w:r>
              <w:rPr/>
              <w:t>Definitions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1269" w:type="dxa"/>
            <w:tcBorders/>
            <w:vAlign w:val="center"/>
          </w:tcPr>
          <w:p>
            <w:pPr>
              <w:pStyle w:val="TableContents"/>
              <w:bidi w:val="0"/>
              <w:spacing w:before="0" w:after="283"/>
              <w:jc w:val="left"/>
              <w:rPr>
                <w:sz w:val="4"/>
                <w:szCs w:val="4"/>
              </w:rPr>
            </w:pPr>
            <w:r>
              <w:rPr>
                <w:sz w:val="4"/>
                <w:szCs w:val="4"/>
              </w:rPr>
            </w:r>
          </w:p>
        </w:tc>
        <w:tc>
          <w:tcPr>
            <w:tcW w:w="8224"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1269"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77" w:type="dxa"/>
            <w:tcBorders/>
            <w:vAlign w:val="bottom"/>
          </w:tcPr>
          <w:p>
            <w:pPr>
              <w:pStyle w:val="TableContents"/>
              <w:bidi w:val="0"/>
              <w:spacing w:before="0" w:after="283"/>
              <w:jc w:val="left"/>
              <w:rPr/>
            </w:pPr>
            <w:r>
              <w:rPr/>
              <w:t> </w:t>
            </w:r>
          </w:p>
        </w:tc>
        <w:tc>
          <w:tcPr>
            <w:tcW w:w="8147" w:type="dxa"/>
            <w:tcBorders/>
            <w:vAlign w:val="bottom"/>
          </w:tcPr>
          <w:p>
            <w:pPr>
              <w:pStyle w:val="TableContents"/>
              <w:bidi w:val="0"/>
              <w:spacing w:before="0" w:after="283"/>
              <w:jc w:val="left"/>
              <w:rPr/>
            </w:pPr>
            <w:r>
              <w:rPr/>
              <w:t>Incorporation by Reference of Trust Indenture Act.</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120" w:hRule="atLeast"/>
        </w:trPr>
        <w:tc>
          <w:tcPr>
            <w:tcW w:w="1269" w:type="dxa"/>
            <w:tcBorders/>
            <w:vAlign w:val="center"/>
          </w:tcPr>
          <w:p>
            <w:pPr>
              <w:pStyle w:val="TableContents"/>
              <w:bidi w:val="0"/>
              <w:spacing w:before="0" w:after="283"/>
              <w:jc w:val="left"/>
              <w:rPr>
                <w:sz w:val="4"/>
                <w:szCs w:val="4"/>
              </w:rPr>
            </w:pPr>
            <w:r>
              <w:rPr>
                <w:sz w:val="4"/>
                <w:szCs w:val="4"/>
              </w:rPr>
            </w:r>
          </w:p>
        </w:tc>
        <w:tc>
          <w:tcPr>
            <w:tcW w:w="8224"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1269"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77" w:type="dxa"/>
            <w:tcBorders/>
            <w:vAlign w:val="bottom"/>
          </w:tcPr>
          <w:p>
            <w:pPr>
              <w:pStyle w:val="TableContents"/>
              <w:bidi w:val="0"/>
              <w:spacing w:before="0" w:after="283"/>
              <w:jc w:val="left"/>
              <w:rPr/>
            </w:pPr>
            <w:r>
              <w:rPr/>
              <w:t> </w:t>
            </w:r>
          </w:p>
        </w:tc>
        <w:tc>
          <w:tcPr>
            <w:tcW w:w="8147" w:type="dxa"/>
            <w:tcBorders/>
            <w:vAlign w:val="bottom"/>
          </w:tcPr>
          <w:p>
            <w:pPr>
              <w:pStyle w:val="TableContents"/>
              <w:bidi w:val="0"/>
              <w:spacing w:before="0" w:after="283"/>
              <w:jc w:val="left"/>
              <w:rPr/>
            </w:pPr>
            <w:r>
              <w:rPr/>
              <w:t>Rules of Construction</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120" w:hRule="atLeast"/>
        </w:trPr>
        <w:tc>
          <w:tcPr>
            <w:tcW w:w="9493" w:type="dxa"/>
            <w:gridSpan w:val="3"/>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49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THE SECURITIES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1269" w:type="dxa"/>
            <w:tcBorders/>
            <w:vAlign w:val="center"/>
          </w:tcPr>
          <w:p>
            <w:pPr>
              <w:pStyle w:val="TableContents"/>
              <w:bidi w:val="0"/>
              <w:spacing w:before="0" w:after="283"/>
              <w:jc w:val="left"/>
              <w:rPr>
                <w:sz w:val="4"/>
                <w:szCs w:val="4"/>
              </w:rPr>
            </w:pPr>
            <w:r>
              <w:rPr>
                <w:sz w:val="4"/>
                <w:szCs w:val="4"/>
              </w:rPr>
            </w:r>
          </w:p>
        </w:tc>
        <w:tc>
          <w:tcPr>
            <w:tcW w:w="8224"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1269"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77" w:type="dxa"/>
            <w:tcBorders/>
            <w:vAlign w:val="bottom"/>
          </w:tcPr>
          <w:p>
            <w:pPr>
              <w:pStyle w:val="TableContents"/>
              <w:bidi w:val="0"/>
              <w:spacing w:before="0" w:after="283"/>
              <w:jc w:val="left"/>
              <w:rPr/>
            </w:pPr>
            <w:r>
              <w:rPr/>
              <w:t> </w:t>
            </w:r>
          </w:p>
        </w:tc>
        <w:tc>
          <w:tcPr>
            <w:tcW w:w="8147" w:type="dxa"/>
            <w:tcBorders/>
            <w:vAlign w:val="bottom"/>
          </w:tcPr>
          <w:p>
            <w:pPr>
              <w:pStyle w:val="TableContents"/>
              <w:bidi w:val="0"/>
              <w:spacing w:before="0" w:after="283"/>
              <w:jc w:val="left"/>
              <w:rPr/>
            </w:pPr>
            <w:r>
              <w:rPr/>
              <w:t>Form and Dating</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1269" w:type="dxa"/>
            <w:tcBorders/>
            <w:vAlign w:val="center"/>
          </w:tcPr>
          <w:p>
            <w:pPr>
              <w:pStyle w:val="TableContents"/>
              <w:bidi w:val="0"/>
              <w:spacing w:before="0" w:after="283"/>
              <w:jc w:val="left"/>
              <w:rPr>
                <w:sz w:val="4"/>
                <w:szCs w:val="4"/>
              </w:rPr>
            </w:pPr>
            <w:r>
              <w:rPr>
                <w:sz w:val="4"/>
                <w:szCs w:val="4"/>
              </w:rPr>
            </w:r>
          </w:p>
        </w:tc>
        <w:tc>
          <w:tcPr>
            <w:tcW w:w="8224"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1269"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77" w:type="dxa"/>
            <w:tcBorders/>
            <w:vAlign w:val="bottom"/>
          </w:tcPr>
          <w:p>
            <w:pPr>
              <w:pStyle w:val="TableContents"/>
              <w:bidi w:val="0"/>
              <w:spacing w:before="0" w:after="283"/>
              <w:jc w:val="left"/>
              <w:rPr/>
            </w:pPr>
            <w:r>
              <w:rPr/>
              <w:t> </w:t>
            </w:r>
          </w:p>
        </w:tc>
        <w:tc>
          <w:tcPr>
            <w:tcW w:w="8147" w:type="dxa"/>
            <w:tcBorders/>
            <w:vAlign w:val="bottom"/>
          </w:tcPr>
          <w:p>
            <w:pPr>
              <w:pStyle w:val="TableContents"/>
              <w:bidi w:val="0"/>
              <w:spacing w:before="0" w:after="283"/>
              <w:jc w:val="left"/>
              <w:rPr/>
            </w:pPr>
            <w:r>
              <w:rPr/>
              <w:t>Execution and Authentication of Securities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1269" w:type="dxa"/>
            <w:tcBorders/>
            <w:vAlign w:val="center"/>
          </w:tcPr>
          <w:p>
            <w:pPr>
              <w:pStyle w:val="TableContents"/>
              <w:bidi w:val="0"/>
              <w:spacing w:before="0" w:after="283"/>
              <w:jc w:val="left"/>
              <w:rPr>
                <w:sz w:val="4"/>
                <w:szCs w:val="4"/>
              </w:rPr>
            </w:pPr>
            <w:r>
              <w:rPr>
                <w:sz w:val="4"/>
                <w:szCs w:val="4"/>
              </w:rPr>
            </w:r>
          </w:p>
        </w:tc>
        <w:tc>
          <w:tcPr>
            <w:tcW w:w="8224"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1269"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77" w:type="dxa"/>
            <w:tcBorders/>
            <w:vAlign w:val="bottom"/>
          </w:tcPr>
          <w:p>
            <w:pPr>
              <w:pStyle w:val="TableContents"/>
              <w:bidi w:val="0"/>
              <w:spacing w:before="0" w:after="283"/>
              <w:jc w:val="left"/>
              <w:rPr/>
            </w:pPr>
            <w:r>
              <w:rPr/>
              <w:t> </w:t>
            </w:r>
          </w:p>
        </w:tc>
        <w:tc>
          <w:tcPr>
            <w:tcW w:w="8147" w:type="dxa"/>
            <w:tcBorders/>
            <w:vAlign w:val="bottom"/>
          </w:tcPr>
          <w:p>
            <w:pPr>
              <w:pStyle w:val="TableContents"/>
              <w:bidi w:val="0"/>
              <w:spacing w:before="0" w:after="283"/>
              <w:jc w:val="left"/>
              <w:rPr/>
            </w:pPr>
            <w:r>
              <w:rPr/>
              <w:t>Registrar and Paying Agent</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1269" w:type="dxa"/>
            <w:tcBorders/>
            <w:vAlign w:val="center"/>
          </w:tcPr>
          <w:p>
            <w:pPr>
              <w:pStyle w:val="TableContents"/>
              <w:bidi w:val="0"/>
              <w:spacing w:before="0" w:after="283"/>
              <w:jc w:val="left"/>
              <w:rPr>
                <w:sz w:val="4"/>
                <w:szCs w:val="4"/>
              </w:rPr>
            </w:pPr>
            <w:r>
              <w:rPr>
                <w:sz w:val="4"/>
                <w:szCs w:val="4"/>
              </w:rPr>
            </w:r>
          </w:p>
        </w:tc>
        <w:tc>
          <w:tcPr>
            <w:tcW w:w="8224"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1269"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77" w:type="dxa"/>
            <w:tcBorders/>
            <w:vAlign w:val="bottom"/>
          </w:tcPr>
          <w:p>
            <w:pPr>
              <w:pStyle w:val="TableContents"/>
              <w:bidi w:val="0"/>
              <w:spacing w:before="0" w:after="283"/>
              <w:jc w:val="left"/>
              <w:rPr/>
            </w:pPr>
            <w:r>
              <w:rPr/>
              <w:t> </w:t>
            </w:r>
          </w:p>
        </w:tc>
        <w:tc>
          <w:tcPr>
            <w:tcW w:w="8147" w:type="dxa"/>
            <w:tcBorders/>
            <w:vAlign w:val="bottom"/>
          </w:tcPr>
          <w:p>
            <w:pPr>
              <w:pStyle w:val="TableContents"/>
              <w:bidi w:val="0"/>
              <w:spacing w:before="0" w:after="283"/>
              <w:jc w:val="left"/>
              <w:rPr/>
            </w:pPr>
            <w:r>
              <w:rPr/>
              <w:t>Paying Agent to Hold Money in Trust</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1269" w:type="dxa"/>
            <w:tcBorders/>
            <w:vAlign w:val="center"/>
          </w:tcPr>
          <w:p>
            <w:pPr>
              <w:pStyle w:val="TableContents"/>
              <w:bidi w:val="0"/>
              <w:spacing w:before="0" w:after="283"/>
              <w:jc w:val="left"/>
              <w:rPr>
                <w:sz w:val="4"/>
                <w:szCs w:val="4"/>
              </w:rPr>
            </w:pPr>
            <w:r>
              <w:rPr>
                <w:sz w:val="4"/>
                <w:szCs w:val="4"/>
              </w:rPr>
            </w:r>
          </w:p>
        </w:tc>
        <w:tc>
          <w:tcPr>
            <w:tcW w:w="8224"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1269"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77" w:type="dxa"/>
            <w:tcBorders/>
            <w:vAlign w:val="bottom"/>
          </w:tcPr>
          <w:p>
            <w:pPr>
              <w:pStyle w:val="TableContents"/>
              <w:bidi w:val="0"/>
              <w:spacing w:before="0" w:after="283"/>
              <w:jc w:val="left"/>
              <w:rPr/>
            </w:pPr>
            <w:r>
              <w:rPr/>
              <w:t> </w:t>
            </w:r>
          </w:p>
        </w:tc>
        <w:tc>
          <w:tcPr>
            <w:tcW w:w="8147" w:type="dxa"/>
            <w:tcBorders/>
            <w:vAlign w:val="bottom"/>
          </w:tcPr>
          <w:p>
            <w:pPr>
              <w:pStyle w:val="TableContents"/>
              <w:bidi w:val="0"/>
              <w:spacing w:before="0" w:after="283"/>
              <w:jc w:val="left"/>
              <w:rPr/>
            </w:pPr>
            <w:r>
              <w:rPr/>
              <w:t>Transfer and Exchange</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1269" w:type="dxa"/>
            <w:tcBorders/>
            <w:vAlign w:val="center"/>
          </w:tcPr>
          <w:p>
            <w:pPr>
              <w:pStyle w:val="TableContents"/>
              <w:bidi w:val="0"/>
              <w:spacing w:before="0" w:after="283"/>
              <w:jc w:val="left"/>
              <w:rPr>
                <w:sz w:val="4"/>
                <w:szCs w:val="4"/>
              </w:rPr>
            </w:pPr>
            <w:r>
              <w:rPr>
                <w:sz w:val="4"/>
                <w:szCs w:val="4"/>
              </w:rPr>
            </w:r>
          </w:p>
        </w:tc>
        <w:tc>
          <w:tcPr>
            <w:tcW w:w="8224"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1269"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77" w:type="dxa"/>
            <w:tcBorders/>
            <w:vAlign w:val="bottom"/>
          </w:tcPr>
          <w:p>
            <w:pPr>
              <w:pStyle w:val="TableContents"/>
              <w:bidi w:val="0"/>
              <w:spacing w:before="0" w:after="283"/>
              <w:jc w:val="left"/>
              <w:rPr/>
            </w:pPr>
            <w:r>
              <w:rPr/>
              <w:t> </w:t>
            </w:r>
          </w:p>
        </w:tc>
        <w:tc>
          <w:tcPr>
            <w:tcW w:w="8147" w:type="dxa"/>
            <w:tcBorders/>
            <w:vAlign w:val="bottom"/>
          </w:tcPr>
          <w:p>
            <w:pPr>
              <w:pStyle w:val="TableContents"/>
              <w:bidi w:val="0"/>
              <w:spacing w:before="0" w:after="283"/>
              <w:jc w:val="left"/>
              <w:rPr/>
            </w:pPr>
            <w:r>
              <w:rPr/>
              <w:t>Outstanding Securities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1269" w:type="dxa"/>
            <w:tcBorders/>
            <w:vAlign w:val="center"/>
          </w:tcPr>
          <w:p>
            <w:pPr>
              <w:pStyle w:val="TableContents"/>
              <w:bidi w:val="0"/>
              <w:spacing w:before="0" w:after="283"/>
              <w:jc w:val="left"/>
              <w:rPr>
                <w:sz w:val="4"/>
                <w:szCs w:val="4"/>
              </w:rPr>
            </w:pPr>
            <w:r>
              <w:rPr>
                <w:sz w:val="4"/>
                <w:szCs w:val="4"/>
              </w:rPr>
            </w:r>
          </w:p>
        </w:tc>
        <w:tc>
          <w:tcPr>
            <w:tcW w:w="8224"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1269"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77" w:type="dxa"/>
            <w:tcBorders/>
            <w:vAlign w:val="bottom"/>
          </w:tcPr>
          <w:p>
            <w:pPr>
              <w:pStyle w:val="TableContents"/>
              <w:bidi w:val="0"/>
              <w:spacing w:before="0" w:after="283"/>
              <w:jc w:val="left"/>
              <w:rPr/>
            </w:pPr>
            <w:r>
              <w:rPr/>
              <w:t> </w:t>
            </w:r>
          </w:p>
        </w:tc>
        <w:tc>
          <w:tcPr>
            <w:tcW w:w="8147" w:type="dxa"/>
            <w:tcBorders/>
            <w:vAlign w:val="bottom"/>
          </w:tcPr>
          <w:p>
            <w:pPr>
              <w:pStyle w:val="TableContents"/>
              <w:bidi w:val="0"/>
              <w:spacing w:before="0" w:after="283"/>
              <w:jc w:val="left"/>
              <w:rPr/>
            </w:pPr>
            <w:r>
              <w:rPr/>
              <w:t>Interest Payment and Record Dates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1269" w:type="dxa"/>
            <w:tcBorders/>
            <w:vAlign w:val="center"/>
          </w:tcPr>
          <w:p>
            <w:pPr>
              <w:pStyle w:val="TableContents"/>
              <w:bidi w:val="0"/>
              <w:spacing w:before="0" w:after="283"/>
              <w:jc w:val="left"/>
              <w:rPr>
                <w:sz w:val="4"/>
                <w:szCs w:val="4"/>
              </w:rPr>
            </w:pPr>
            <w:r>
              <w:rPr>
                <w:sz w:val="4"/>
                <w:szCs w:val="4"/>
              </w:rPr>
            </w:r>
          </w:p>
        </w:tc>
        <w:tc>
          <w:tcPr>
            <w:tcW w:w="8224"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1269"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77" w:type="dxa"/>
            <w:tcBorders/>
            <w:vAlign w:val="bottom"/>
          </w:tcPr>
          <w:p>
            <w:pPr>
              <w:pStyle w:val="TableContents"/>
              <w:bidi w:val="0"/>
              <w:spacing w:before="0" w:after="283"/>
              <w:jc w:val="left"/>
              <w:rPr/>
            </w:pPr>
            <w:r>
              <w:rPr/>
              <w:t> </w:t>
            </w:r>
          </w:p>
        </w:tc>
        <w:tc>
          <w:tcPr>
            <w:tcW w:w="8147" w:type="dxa"/>
            <w:tcBorders/>
            <w:vAlign w:val="bottom"/>
          </w:tcPr>
          <w:p>
            <w:pPr>
              <w:pStyle w:val="TableContents"/>
              <w:bidi w:val="0"/>
              <w:spacing w:before="0" w:after="283"/>
              <w:jc w:val="left"/>
              <w:rPr/>
            </w:pPr>
            <w:r>
              <w:rPr/>
              <w:t>No Sinking Fund</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120" w:hRule="atLeast"/>
        </w:trPr>
        <w:tc>
          <w:tcPr>
            <w:tcW w:w="1269" w:type="dxa"/>
            <w:tcBorders/>
            <w:vAlign w:val="center"/>
          </w:tcPr>
          <w:p>
            <w:pPr>
              <w:pStyle w:val="TableContents"/>
              <w:bidi w:val="0"/>
              <w:spacing w:before="0" w:after="283"/>
              <w:jc w:val="left"/>
              <w:rPr>
                <w:sz w:val="4"/>
                <w:szCs w:val="4"/>
              </w:rPr>
            </w:pPr>
            <w:r>
              <w:rPr>
                <w:sz w:val="4"/>
                <w:szCs w:val="4"/>
              </w:rPr>
            </w:r>
          </w:p>
        </w:tc>
        <w:tc>
          <w:tcPr>
            <w:tcW w:w="8224"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1269"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77" w:type="dxa"/>
            <w:tcBorders/>
            <w:vAlign w:val="bottom"/>
          </w:tcPr>
          <w:p>
            <w:pPr>
              <w:pStyle w:val="TableContents"/>
              <w:bidi w:val="0"/>
              <w:spacing w:before="0" w:after="283"/>
              <w:jc w:val="left"/>
              <w:rPr/>
            </w:pPr>
            <w:r>
              <w:rPr/>
              <w:t> </w:t>
            </w:r>
          </w:p>
        </w:tc>
        <w:tc>
          <w:tcPr>
            <w:tcW w:w="8147" w:type="dxa"/>
            <w:tcBorders/>
            <w:vAlign w:val="bottom"/>
          </w:tcPr>
          <w:p>
            <w:pPr>
              <w:pStyle w:val="TableContents"/>
              <w:bidi w:val="0"/>
              <w:spacing w:before="0" w:after="283"/>
              <w:jc w:val="left"/>
              <w:rPr/>
            </w:pPr>
            <w:r>
              <w:rPr/>
              <w:t>Defaulted Interest</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120" w:hRule="atLeast"/>
        </w:trPr>
        <w:tc>
          <w:tcPr>
            <w:tcW w:w="1269" w:type="dxa"/>
            <w:tcBorders/>
            <w:vAlign w:val="center"/>
          </w:tcPr>
          <w:p>
            <w:pPr>
              <w:pStyle w:val="TableContents"/>
              <w:bidi w:val="0"/>
              <w:spacing w:before="0" w:after="283"/>
              <w:jc w:val="left"/>
              <w:rPr>
                <w:sz w:val="4"/>
                <w:szCs w:val="4"/>
              </w:rPr>
            </w:pPr>
            <w:r>
              <w:rPr>
                <w:sz w:val="4"/>
                <w:szCs w:val="4"/>
              </w:rPr>
            </w:r>
          </w:p>
        </w:tc>
        <w:tc>
          <w:tcPr>
            <w:tcW w:w="8224"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1269"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77" w:type="dxa"/>
            <w:tcBorders/>
            <w:vAlign w:val="bottom"/>
          </w:tcPr>
          <w:p>
            <w:pPr>
              <w:pStyle w:val="TableContents"/>
              <w:bidi w:val="0"/>
              <w:spacing w:before="0" w:after="283"/>
              <w:jc w:val="left"/>
              <w:rPr/>
            </w:pPr>
            <w:r>
              <w:rPr/>
              <w:t> </w:t>
            </w:r>
          </w:p>
        </w:tc>
        <w:tc>
          <w:tcPr>
            <w:tcW w:w="8147" w:type="dxa"/>
            <w:tcBorders/>
            <w:vAlign w:val="bottom"/>
          </w:tcPr>
          <w:p>
            <w:pPr>
              <w:pStyle w:val="TableContents"/>
              <w:bidi w:val="0"/>
              <w:spacing w:before="0" w:after="283"/>
              <w:jc w:val="left"/>
              <w:rPr/>
            </w:pPr>
            <w:r>
              <w:rPr/>
              <w:t>CUSIP and ISIN Numbers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120" w:hRule="atLeast"/>
        </w:trPr>
        <w:tc>
          <w:tcPr>
            <w:tcW w:w="1269" w:type="dxa"/>
            <w:tcBorders/>
            <w:vAlign w:val="center"/>
          </w:tcPr>
          <w:p>
            <w:pPr>
              <w:pStyle w:val="TableContents"/>
              <w:bidi w:val="0"/>
              <w:spacing w:before="0" w:after="283"/>
              <w:jc w:val="left"/>
              <w:rPr>
                <w:sz w:val="4"/>
                <w:szCs w:val="4"/>
              </w:rPr>
            </w:pPr>
            <w:r>
              <w:rPr>
                <w:sz w:val="4"/>
                <w:szCs w:val="4"/>
              </w:rPr>
            </w:r>
          </w:p>
        </w:tc>
        <w:tc>
          <w:tcPr>
            <w:tcW w:w="8224"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1269"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77" w:type="dxa"/>
            <w:tcBorders/>
            <w:vAlign w:val="bottom"/>
          </w:tcPr>
          <w:p>
            <w:pPr>
              <w:pStyle w:val="TableContents"/>
              <w:bidi w:val="0"/>
              <w:spacing w:before="0" w:after="283"/>
              <w:jc w:val="left"/>
              <w:rPr/>
            </w:pPr>
            <w:r>
              <w:rPr/>
              <w:t> </w:t>
            </w:r>
          </w:p>
        </w:tc>
        <w:tc>
          <w:tcPr>
            <w:tcW w:w="8147" w:type="dxa"/>
            <w:tcBorders/>
            <w:vAlign w:val="bottom"/>
          </w:tcPr>
          <w:p>
            <w:pPr>
              <w:pStyle w:val="TableContents"/>
              <w:bidi w:val="0"/>
              <w:spacing w:before="0" w:after="283"/>
              <w:jc w:val="left"/>
              <w:rPr/>
            </w:pPr>
            <w:r>
              <w:rPr/>
              <w:t>Global Securities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120" w:hRule="atLeast"/>
        </w:trPr>
        <w:tc>
          <w:tcPr>
            <w:tcW w:w="1269" w:type="dxa"/>
            <w:tcBorders/>
            <w:vAlign w:val="center"/>
          </w:tcPr>
          <w:p>
            <w:pPr>
              <w:pStyle w:val="TableContents"/>
              <w:bidi w:val="0"/>
              <w:spacing w:before="0" w:after="283"/>
              <w:jc w:val="left"/>
              <w:rPr>
                <w:sz w:val="4"/>
                <w:szCs w:val="4"/>
              </w:rPr>
            </w:pPr>
            <w:r>
              <w:rPr>
                <w:sz w:val="4"/>
                <w:szCs w:val="4"/>
              </w:rPr>
            </w:r>
          </w:p>
        </w:tc>
        <w:tc>
          <w:tcPr>
            <w:tcW w:w="8224"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1269"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77" w:type="dxa"/>
            <w:tcBorders/>
            <w:vAlign w:val="bottom"/>
          </w:tcPr>
          <w:p>
            <w:pPr>
              <w:pStyle w:val="TableContents"/>
              <w:bidi w:val="0"/>
              <w:spacing w:before="0" w:after="283"/>
              <w:jc w:val="left"/>
              <w:rPr/>
            </w:pPr>
            <w:r>
              <w:rPr/>
              <w:t> </w:t>
            </w:r>
          </w:p>
        </w:tc>
        <w:tc>
          <w:tcPr>
            <w:tcW w:w="8147" w:type="dxa"/>
            <w:tcBorders/>
            <w:vAlign w:val="bottom"/>
          </w:tcPr>
          <w:p>
            <w:pPr>
              <w:pStyle w:val="TableContents"/>
              <w:bidi w:val="0"/>
              <w:spacing w:before="0" w:after="283"/>
              <w:jc w:val="left"/>
              <w:rPr/>
            </w:pPr>
            <w:r>
              <w:rPr/>
              <w:t>Ranking</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120" w:hRule="atLeast"/>
        </w:trPr>
        <w:tc>
          <w:tcPr>
            <w:tcW w:w="1269" w:type="dxa"/>
            <w:tcBorders/>
            <w:vAlign w:val="center"/>
          </w:tcPr>
          <w:p>
            <w:pPr>
              <w:pStyle w:val="TableContents"/>
              <w:bidi w:val="0"/>
              <w:spacing w:before="0" w:after="283"/>
              <w:jc w:val="left"/>
              <w:rPr>
                <w:sz w:val="4"/>
                <w:szCs w:val="4"/>
              </w:rPr>
            </w:pPr>
            <w:r>
              <w:rPr>
                <w:sz w:val="4"/>
                <w:szCs w:val="4"/>
              </w:rPr>
            </w:r>
          </w:p>
        </w:tc>
        <w:tc>
          <w:tcPr>
            <w:tcW w:w="8224"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1269"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77" w:type="dxa"/>
            <w:tcBorders/>
            <w:vAlign w:val="bottom"/>
          </w:tcPr>
          <w:p>
            <w:pPr>
              <w:pStyle w:val="TableContents"/>
              <w:bidi w:val="0"/>
              <w:spacing w:before="0" w:after="283"/>
              <w:jc w:val="left"/>
              <w:rPr/>
            </w:pPr>
            <w:r>
              <w:rPr/>
              <w:t> </w:t>
            </w:r>
          </w:p>
        </w:tc>
        <w:tc>
          <w:tcPr>
            <w:tcW w:w="8147" w:type="dxa"/>
            <w:tcBorders/>
            <w:vAlign w:val="bottom"/>
          </w:tcPr>
          <w:p>
            <w:pPr>
              <w:pStyle w:val="TableContents"/>
              <w:bidi w:val="0"/>
              <w:spacing w:before="0" w:after="283"/>
              <w:jc w:val="left"/>
              <w:rPr/>
            </w:pPr>
            <w:r>
              <w:rPr/>
              <w:t>Additional Securities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120" w:hRule="atLeast"/>
        </w:trPr>
        <w:tc>
          <w:tcPr>
            <w:tcW w:w="9493" w:type="dxa"/>
            <w:gridSpan w:val="3"/>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49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OPTIONAL REDEMPTION; MANDATORY REDEMPTION</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1269" w:type="dxa"/>
            <w:tcBorders/>
            <w:vAlign w:val="center"/>
          </w:tcPr>
          <w:p>
            <w:pPr>
              <w:pStyle w:val="TableContents"/>
              <w:bidi w:val="0"/>
              <w:spacing w:before="0" w:after="283"/>
              <w:jc w:val="left"/>
              <w:rPr>
                <w:sz w:val="4"/>
                <w:szCs w:val="4"/>
              </w:rPr>
            </w:pPr>
            <w:r>
              <w:rPr>
                <w:sz w:val="4"/>
                <w:szCs w:val="4"/>
              </w:rPr>
            </w:r>
          </w:p>
        </w:tc>
        <w:tc>
          <w:tcPr>
            <w:tcW w:w="8224"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1269"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77" w:type="dxa"/>
            <w:tcBorders/>
            <w:vAlign w:val="bottom"/>
          </w:tcPr>
          <w:p>
            <w:pPr>
              <w:pStyle w:val="TableContents"/>
              <w:bidi w:val="0"/>
              <w:spacing w:before="0" w:after="283"/>
              <w:jc w:val="left"/>
              <w:rPr/>
            </w:pPr>
            <w:r>
              <w:rPr/>
              <w:t> </w:t>
            </w:r>
          </w:p>
        </w:tc>
        <w:tc>
          <w:tcPr>
            <w:tcW w:w="8147" w:type="dxa"/>
            <w:tcBorders/>
            <w:vAlign w:val="bottom"/>
          </w:tcPr>
          <w:p>
            <w:pPr>
              <w:pStyle w:val="TableContents"/>
              <w:bidi w:val="0"/>
              <w:spacing w:before="0" w:after="283"/>
              <w:jc w:val="left"/>
              <w:rPr/>
            </w:pPr>
            <w:r>
              <w:rPr/>
              <w:t>Notice to Trustee</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1269" w:type="dxa"/>
            <w:tcBorders/>
            <w:vAlign w:val="center"/>
          </w:tcPr>
          <w:p>
            <w:pPr>
              <w:pStyle w:val="TableContents"/>
              <w:bidi w:val="0"/>
              <w:spacing w:before="0" w:after="283"/>
              <w:jc w:val="left"/>
              <w:rPr>
                <w:sz w:val="4"/>
                <w:szCs w:val="4"/>
              </w:rPr>
            </w:pPr>
            <w:r>
              <w:rPr>
                <w:sz w:val="4"/>
                <w:szCs w:val="4"/>
              </w:rPr>
            </w:r>
          </w:p>
        </w:tc>
        <w:tc>
          <w:tcPr>
            <w:tcW w:w="8224"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1269"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77" w:type="dxa"/>
            <w:tcBorders/>
            <w:vAlign w:val="bottom"/>
          </w:tcPr>
          <w:p>
            <w:pPr>
              <w:pStyle w:val="TableContents"/>
              <w:bidi w:val="0"/>
              <w:spacing w:before="0" w:after="283"/>
              <w:jc w:val="left"/>
              <w:rPr/>
            </w:pPr>
            <w:r>
              <w:rPr/>
              <w:t> </w:t>
            </w:r>
          </w:p>
        </w:tc>
        <w:tc>
          <w:tcPr>
            <w:tcW w:w="8147" w:type="dxa"/>
            <w:tcBorders/>
            <w:vAlign w:val="bottom"/>
          </w:tcPr>
          <w:p>
            <w:pPr>
              <w:pStyle w:val="TableContents"/>
              <w:bidi w:val="0"/>
              <w:spacing w:before="0" w:after="283"/>
              <w:jc w:val="left"/>
              <w:rPr/>
            </w:pPr>
            <w:r>
              <w:rPr/>
              <w:t>Optional Redemption</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1269" w:type="dxa"/>
            <w:tcBorders/>
            <w:vAlign w:val="center"/>
          </w:tcPr>
          <w:p>
            <w:pPr>
              <w:pStyle w:val="TableContents"/>
              <w:bidi w:val="0"/>
              <w:spacing w:before="0" w:after="283"/>
              <w:jc w:val="left"/>
              <w:rPr>
                <w:sz w:val="4"/>
                <w:szCs w:val="4"/>
              </w:rPr>
            </w:pPr>
            <w:r>
              <w:rPr>
                <w:sz w:val="4"/>
                <w:szCs w:val="4"/>
              </w:rPr>
            </w:r>
          </w:p>
        </w:tc>
        <w:tc>
          <w:tcPr>
            <w:tcW w:w="8224"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1269"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77" w:type="dxa"/>
            <w:tcBorders/>
            <w:vAlign w:val="bottom"/>
          </w:tcPr>
          <w:p>
            <w:pPr>
              <w:pStyle w:val="TableContents"/>
              <w:bidi w:val="0"/>
              <w:spacing w:before="0" w:after="283"/>
              <w:jc w:val="left"/>
              <w:rPr/>
            </w:pPr>
            <w:r>
              <w:rPr/>
              <w:t> </w:t>
            </w:r>
          </w:p>
        </w:tc>
        <w:tc>
          <w:tcPr>
            <w:tcW w:w="8147" w:type="dxa"/>
            <w:tcBorders/>
            <w:vAlign w:val="bottom"/>
          </w:tcPr>
          <w:p>
            <w:pPr>
              <w:pStyle w:val="TableContents"/>
              <w:bidi w:val="0"/>
              <w:spacing w:before="0" w:after="283"/>
              <w:jc w:val="left"/>
              <w:rPr/>
            </w:pPr>
            <w:r>
              <w:rPr/>
              <w:t>Mandatory Redemption</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9493" w:type="dxa"/>
            <w:gridSpan w:val="3"/>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49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COVENANTS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1269" w:type="dxa"/>
            <w:tcBorders/>
            <w:vAlign w:val="center"/>
          </w:tcPr>
          <w:p>
            <w:pPr>
              <w:pStyle w:val="TableContents"/>
              <w:bidi w:val="0"/>
              <w:spacing w:before="0" w:after="283"/>
              <w:jc w:val="left"/>
              <w:rPr>
                <w:sz w:val="4"/>
                <w:szCs w:val="4"/>
              </w:rPr>
            </w:pPr>
            <w:r>
              <w:rPr>
                <w:sz w:val="4"/>
                <w:szCs w:val="4"/>
              </w:rPr>
            </w:r>
          </w:p>
        </w:tc>
        <w:tc>
          <w:tcPr>
            <w:tcW w:w="8224"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1269"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77" w:type="dxa"/>
            <w:tcBorders/>
            <w:vAlign w:val="bottom"/>
          </w:tcPr>
          <w:p>
            <w:pPr>
              <w:pStyle w:val="TableContents"/>
              <w:bidi w:val="0"/>
              <w:spacing w:before="0" w:after="283"/>
              <w:jc w:val="left"/>
              <w:rPr/>
            </w:pPr>
            <w:r>
              <w:rPr/>
              <w:t> </w:t>
            </w:r>
          </w:p>
        </w:tc>
        <w:tc>
          <w:tcPr>
            <w:tcW w:w="8147" w:type="dxa"/>
            <w:tcBorders/>
            <w:vAlign w:val="bottom"/>
          </w:tcPr>
          <w:p>
            <w:pPr>
              <w:pStyle w:val="TableContents"/>
              <w:bidi w:val="0"/>
              <w:spacing w:before="0" w:after="283"/>
              <w:jc w:val="left"/>
              <w:rPr/>
            </w:pPr>
            <w:r>
              <w:rPr/>
              <w:t>Additional Covenants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9493" w:type="dxa"/>
            <w:gridSpan w:val="3"/>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49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MISCELLANEOUS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1269" w:type="dxa"/>
            <w:tcBorders/>
            <w:vAlign w:val="center"/>
          </w:tcPr>
          <w:p>
            <w:pPr>
              <w:pStyle w:val="TableContents"/>
              <w:bidi w:val="0"/>
              <w:spacing w:before="0" w:after="283"/>
              <w:jc w:val="left"/>
              <w:rPr>
                <w:sz w:val="4"/>
                <w:szCs w:val="4"/>
              </w:rPr>
            </w:pPr>
            <w:r>
              <w:rPr>
                <w:sz w:val="4"/>
                <w:szCs w:val="4"/>
              </w:rPr>
            </w:r>
          </w:p>
        </w:tc>
        <w:tc>
          <w:tcPr>
            <w:tcW w:w="8224"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1269"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77" w:type="dxa"/>
            <w:tcBorders/>
            <w:vAlign w:val="bottom"/>
          </w:tcPr>
          <w:p>
            <w:pPr>
              <w:pStyle w:val="TableContents"/>
              <w:bidi w:val="0"/>
              <w:spacing w:before="0" w:after="283"/>
              <w:jc w:val="left"/>
              <w:rPr/>
            </w:pPr>
            <w:r>
              <w:rPr/>
              <w:t> </w:t>
            </w:r>
          </w:p>
        </w:tc>
        <w:tc>
          <w:tcPr>
            <w:tcW w:w="8147" w:type="dxa"/>
            <w:tcBorders/>
            <w:vAlign w:val="bottom"/>
          </w:tcPr>
          <w:p>
            <w:pPr>
              <w:pStyle w:val="TableContents"/>
              <w:bidi w:val="0"/>
              <w:spacing w:before="0" w:after="283"/>
              <w:jc w:val="left"/>
              <w:rPr/>
            </w:pPr>
            <w:r>
              <w:rPr/>
              <w:t>Conflict of Any Provision of Indenture with Trust Indenture Act.</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1269" w:type="dxa"/>
            <w:tcBorders/>
            <w:vAlign w:val="center"/>
          </w:tcPr>
          <w:p>
            <w:pPr>
              <w:pStyle w:val="TableContents"/>
              <w:bidi w:val="0"/>
              <w:spacing w:before="0" w:after="283"/>
              <w:jc w:val="left"/>
              <w:rPr>
                <w:sz w:val="4"/>
                <w:szCs w:val="4"/>
              </w:rPr>
            </w:pPr>
            <w:r>
              <w:rPr>
                <w:sz w:val="4"/>
                <w:szCs w:val="4"/>
              </w:rPr>
            </w:r>
          </w:p>
        </w:tc>
        <w:tc>
          <w:tcPr>
            <w:tcW w:w="8224"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1269"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77" w:type="dxa"/>
            <w:tcBorders/>
            <w:vAlign w:val="bottom"/>
          </w:tcPr>
          <w:p>
            <w:pPr>
              <w:pStyle w:val="TableContents"/>
              <w:bidi w:val="0"/>
              <w:spacing w:before="0" w:after="283"/>
              <w:jc w:val="left"/>
              <w:rPr/>
            </w:pPr>
            <w:r>
              <w:rPr/>
              <w:t> </w:t>
            </w:r>
          </w:p>
        </w:tc>
        <w:tc>
          <w:tcPr>
            <w:tcW w:w="8147" w:type="dxa"/>
            <w:tcBorders/>
            <w:vAlign w:val="bottom"/>
          </w:tcPr>
          <w:p>
            <w:pPr>
              <w:pStyle w:val="TableContents"/>
              <w:bidi w:val="0"/>
              <w:spacing w:before="0" w:after="283"/>
              <w:jc w:val="left"/>
              <w:rPr/>
            </w:pPr>
            <w:r>
              <w:rPr/>
              <w:t>Duplicate Originals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1269" w:type="dxa"/>
            <w:tcBorders/>
            <w:vAlign w:val="center"/>
          </w:tcPr>
          <w:p>
            <w:pPr>
              <w:pStyle w:val="TableContents"/>
              <w:bidi w:val="0"/>
              <w:spacing w:before="0" w:after="283"/>
              <w:jc w:val="left"/>
              <w:rPr>
                <w:sz w:val="4"/>
                <w:szCs w:val="4"/>
              </w:rPr>
            </w:pPr>
            <w:r>
              <w:rPr>
                <w:sz w:val="4"/>
                <w:szCs w:val="4"/>
              </w:rPr>
            </w:r>
          </w:p>
        </w:tc>
        <w:tc>
          <w:tcPr>
            <w:tcW w:w="8224"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1269"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77" w:type="dxa"/>
            <w:tcBorders/>
            <w:vAlign w:val="bottom"/>
          </w:tcPr>
          <w:p>
            <w:pPr>
              <w:pStyle w:val="TableContents"/>
              <w:bidi w:val="0"/>
              <w:spacing w:before="0" w:after="283"/>
              <w:jc w:val="left"/>
              <w:rPr/>
            </w:pPr>
            <w:r>
              <w:rPr/>
              <w:t> </w:t>
            </w:r>
          </w:p>
        </w:tc>
        <w:tc>
          <w:tcPr>
            <w:tcW w:w="8147" w:type="dxa"/>
            <w:tcBorders/>
            <w:vAlign w:val="bottom"/>
          </w:tcPr>
          <w:p>
            <w:pPr>
              <w:pStyle w:val="TableContents"/>
              <w:bidi w:val="0"/>
              <w:spacing w:before="0" w:after="283"/>
              <w:jc w:val="left"/>
              <w:rPr/>
            </w:pPr>
            <w:r>
              <w:rPr/>
              <w:t>New York Law to Govern</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1269" w:type="dxa"/>
            <w:tcBorders/>
            <w:vAlign w:val="center"/>
          </w:tcPr>
          <w:p>
            <w:pPr>
              <w:pStyle w:val="TableContents"/>
              <w:bidi w:val="0"/>
              <w:spacing w:before="0" w:after="283"/>
              <w:jc w:val="left"/>
              <w:rPr>
                <w:sz w:val="4"/>
                <w:szCs w:val="4"/>
              </w:rPr>
            </w:pPr>
            <w:r>
              <w:rPr>
                <w:sz w:val="4"/>
                <w:szCs w:val="4"/>
              </w:rPr>
            </w:r>
          </w:p>
        </w:tc>
        <w:tc>
          <w:tcPr>
            <w:tcW w:w="8224"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1269"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77" w:type="dxa"/>
            <w:tcBorders/>
            <w:vAlign w:val="bottom"/>
          </w:tcPr>
          <w:p>
            <w:pPr>
              <w:pStyle w:val="TableContents"/>
              <w:bidi w:val="0"/>
              <w:spacing w:before="0" w:after="283"/>
              <w:jc w:val="left"/>
              <w:rPr/>
            </w:pPr>
            <w:r>
              <w:rPr/>
              <w:t> </w:t>
            </w:r>
          </w:p>
        </w:tc>
        <w:tc>
          <w:tcPr>
            <w:tcW w:w="8147" w:type="dxa"/>
            <w:tcBorders/>
            <w:vAlign w:val="bottom"/>
          </w:tcPr>
          <w:p>
            <w:pPr>
              <w:pStyle w:val="TableContents"/>
              <w:bidi w:val="0"/>
              <w:spacing w:before="0" w:after="283"/>
              <w:jc w:val="left"/>
              <w:rPr/>
            </w:pPr>
            <w:r>
              <w:rPr/>
              <w:t>No Adverse Interpretation of Other Agreements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1269" w:type="dxa"/>
            <w:tcBorders/>
            <w:vAlign w:val="center"/>
          </w:tcPr>
          <w:p>
            <w:pPr>
              <w:pStyle w:val="TableContents"/>
              <w:bidi w:val="0"/>
              <w:spacing w:before="0" w:after="283"/>
              <w:jc w:val="left"/>
              <w:rPr>
                <w:sz w:val="4"/>
                <w:szCs w:val="4"/>
              </w:rPr>
            </w:pPr>
            <w:r>
              <w:rPr>
                <w:sz w:val="4"/>
                <w:szCs w:val="4"/>
              </w:rPr>
            </w:r>
          </w:p>
        </w:tc>
        <w:tc>
          <w:tcPr>
            <w:tcW w:w="8224"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1269" w:type="dxa"/>
            <w:tcBorders/>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77" w:type="dxa"/>
            <w:tcBorders/>
            <w:vAlign w:val="bottom"/>
          </w:tcPr>
          <w:p>
            <w:pPr>
              <w:pStyle w:val="TableContents"/>
              <w:bidi w:val="0"/>
              <w:spacing w:before="0" w:after="283"/>
              <w:jc w:val="left"/>
              <w:rPr/>
            </w:pPr>
            <w:r>
              <w:rPr/>
              <w:t> </w:t>
            </w:r>
          </w:p>
        </w:tc>
        <w:tc>
          <w:tcPr>
            <w:tcW w:w="8147" w:type="dxa"/>
            <w:tcBorders/>
            <w:vAlign w:val="bottom"/>
          </w:tcPr>
          <w:p>
            <w:pPr>
              <w:pStyle w:val="TableContents"/>
              <w:bidi w:val="0"/>
              <w:spacing w:before="0" w:after="283"/>
              <w:jc w:val="left"/>
              <w:rPr/>
            </w:pPr>
            <w:r>
              <w:rPr/>
              <w:t>Successors and Assigns of Company Bound by Supplemental Indenture</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1269" w:type="dxa"/>
            <w:tcBorders/>
            <w:vAlign w:val="center"/>
          </w:tcPr>
          <w:p>
            <w:pPr>
              <w:pStyle w:val="TableContents"/>
              <w:bidi w:val="0"/>
              <w:spacing w:before="0" w:after="283"/>
              <w:jc w:val="left"/>
              <w:rPr>
                <w:sz w:val="4"/>
                <w:szCs w:val="4"/>
              </w:rPr>
            </w:pPr>
            <w:r>
              <w:rPr>
                <w:sz w:val="4"/>
                <w:szCs w:val="4"/>
              </w:rPr>
            </w:r>
          </w:p>
        </w:tc>
        <w:tc>
          <w:tcPr>
            <w:tcW w:w="8224"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1269" w:type="dxa"/>
            <w:tcBorders/>
          </w:tcPr>
          <w:p>
            <w:pPr>
              <w:pStyle w:val="TableContents"/>
              <w:bidi w:val="0"/>
              <w:spacing w:before="0" w:after="0"/>
              <w:jc w:val="left"/>
              <w:rPr>
                <w:rFonts w:ascii="Times New Roman" w:hAnsi="Times New Roman"/>
                <w:sz w:val="20"/>
              </w:rPr>
            </w:pPr>
            <w:r>
              <w:rPr>
                <w:rFonts w:ascii="Times New Roman" w:hAnsi="Times New Roman"/>
                <w:sz w:val="20"/>
              </w:rPr>
              <w:t>Section 5.06.</w:t>
            </w:r>
          </w:p>
        </w:tc>
        <w:tc>
          <w:tcPr>
            <w:tcW w:w="77" w:type="dxa"/>
            <w:tcBorders/>
            <w:vAlign w:val="bottom"/>
          </w:tcPr>
          <w:p>
            <w:pPr>
              <w:pStyle w:val="TableContents"/>
              <w:bidi w:val="0"/>
              <w:spacing w:before="0" w:after="283"/>
              <w:jc w:val="left"/>
              <w:rPr/>
            </w:pPr>
            <w:r>
              <w:rPr/>
              <w:t> </w:t>
            </w:r>
          </w:p>
        </w:tc>
        <w:tc>
          <w:tcPr>
            <w:tcW w:w="8147" w:type="dxa"/>
            <w:tcBorders/>
            <w:vAlign w:val="bottom"/>
          </w:tcPr>
          <w:p>
            <w:pPr>
              <w:pStyle w:val="TableContents"/>
              <w:bidi w:val="0"/>
              <w:spacing w:before="0" w:after="283"/>
              <w:jc w:val="left"/>
              <w:rPr/>
            </w:pPr>
            <w:r>
              <w:rPr/>
              <w:t>Severability</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1269" w:type="dxa"/>
            <w:tcBorders/>
            <w:vAlign w:val="center"/>
          </w:tcPr>
          <w:p>
            <w:pPr>
              <w:pStyle w:val="TableContents"/>
              <w:bidi w:val="0"/>
              <w:spacing w:before="0" w:after="283"/>
              <w:jc w:val="left"/>
              <w:rPr>
                <w:sz w:val="4"/>
                <w:szCs w:val="4"/>
              </w:rPr>
            </w:pPr>
            <w:r>
              <w:rPr>
                <w:sz w:val="4"/>
                <w:szCs w:val="4"/>
              </w:rPr>
            </w:r>
          </w:p>
        </w:tc>
        <w:tc>
          <w:tcPr>
            <w:tcW w:w="8224"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1269" w:type="dxa"/>
            <w:tcBorders/>
          </w:tcPr>
          <w:p>
            <w:pPr>
              <w:pStyle w:val="TableContents"/>
              <w:bidi w:val="0"/>
              <w:spacing w:before="0" w:after="0"/>
              <w:jc w:val="left"/>
              <w:rPr>
                <w:rFonts w:ascii="Times New Roman" w:hAnsi="Times New Roman"/>
                <w:sz w:val="20"/>
              </w:rPr>
            </w:pPr>
            <w:r>
              <w:rPr>
                <w:rFonts w:ascii="Times New Roman" w:hAnsi="Times New Roman"/>
                <w:sz w:val="20"/>
              </w:rPr>
              <w:t>Section 5.07.</w:t>
            </w:r>
          </w:p>
        </w:tc>
        <w:tc>
          <w:tcPr>
            <w:tcW w:w="77" w:type="dxa"/>
            <w:tcBorders/>
            <w:vAlign w:val="bottom"/>
          </w:tcPr>
          <w:p>
            <w:pPr>
              <w:pStyle w:val="TableContents"/>
              <w:bidi w:val="0"/>
              <w:spacing w:before="0" w:after="283"/>
              <w:jc w:val="left"/>
              <w:rPr/>
            </w:pPr>
            <w:r>
              <w:rPr/>
              <w:t> </w:t>
            </w:r>
          </w:p>
        </w:tc>
        <w:tc>
          <w:tcPr>
            <w:tcW w:w="8147" w:type="dxa"/>
            <w:tcBorders/>
            <w:vAlign w:val="bottom"/>
          </w:tcPr>
          <w:p>
            <w:pPr>
              <w:pStyle w:val="TableContents"/>
              <w:bidi w:val="0"/>
              <w:spacing w:before="0" w:after="283"/>
              <w:jc w:val="left"/>
              <w:rPr/>
            </w:pPr>
            <w:r>
              <w:rPr/>
              <w:t>Effect of Headings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rPr>
      </w:pPr>
      <w:r>
        <w:rPr>
          <w:rFonts w:ascii="Times New Roman" w:hAnsi="Times New Roman"/>
          <w:sz w:val="20"/>
        </w:rPr>
        <w:t xml:space="preserve">Exhibit A-1 — Form of Global Security for the 2031 Notes </w:t>
      </w:r>
    </w:p>
    <w:p>
      <w:pPr>
        <w:pStyle w:val="TextBody"/>
        <w:bidi w:val="0"/>
        <w:spacing w:before="0" w:after="0"/>
        <w:jc w:val="left"/>
        <w:rPr>
          <w:rFonts w:ascii="Times New Roman" w:hAnsi="Times New Roman"/>
          <w:sz w:val="20"/>
        </w:rPr>
      </w:pPr>
      <w:r>
        <w:rPr>
          <w:rFonts w:ascii="Times New Roman" w:hAnsi="Times New Roman"/>
          <w:sz w:val="20"/>
        </w:rPr>
        <w:t xml:space="preserve">Exhibit A-2 — Form of Global Security for the 2033 Notes </w:t>
      </w:r>
    </w:p>
    <w:p>
      <w:pPr>
        <w:pStyle w:val="TextBody"/>
        <w:bidi w:val="0"/>
        <w:spacing w:before="0" w:after="0"/>
        <w:jc w:val="left"/>
        <w:rPr>
          <w:rFonts w:ascii="Times New Roman" w:hAnsi="Times New Roman"/>
          <w:sz w:val="20"/>
        </w:rPr>
      </w:pPr>
      <w:r>
        <w:rPr>
          <w:rFonts w:ascii="Times New Roman" w:hAnsi="Times New Roman"/>
          <w:sz w:val="20"/>
        </w:rPr>
        <w:t xml:space="preserve">Exhibit A-3 — Form of Global Security for the 2036 Notes </w:t>
      </w:r>
    </w:p>
    <w:p>
      <w:pPr>
        <w:pStyle w:val="TextBody"/>
        <w:bidi w:val="0"/>
        <w:spacing w:before="0" w:after="0"/>
        <w:jc w:val="left"/>
        <w:rPr>
          <w:rFonts w:ascii="Times New Roman" w:hAnsi="Times New Roman"/>
          <w:sz w:val="20"/>
        </w:rPr>
      </w:pPr>
      <w:r>
        <w:rPr>
          <w:rFonts w:ascii="Times New Roman" w:hAnsi="Times New Roman"/>
          <w:sz w:val="20"/>
        </w:rPr>
        <w:t xml:space="preserve">Exhibit B — Form of Legend for Global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SUPPLEMENTAL INDENTURE NO. 3</w:t>
      </w:r>
      <w:r>
        <w:rPr>
          <w:rFonts w:ascii="Times New Roman" w:hAnsi="Times New Roman"/>
          <w:sz w:val="20"/>
        </w:rPr>
        <w:t xml:space="preserve"> (the “</w:t>
      </w:r>
      <w:r>
        <w:rPr>
          <w:rFonts w:ascii="Times New Roman" w:hAnsi="Times New Roman"/>
          <w:b/>
          <w:sz w:val="20"/>
        </w:rPr>
        <w:t>Supplemental Indenture</w:t>
      </w:r>
      <w:r>
        <w:rPr>
          <w:rFonts w:ascii="Times New Roman" w:hAnsi="Times New Roman"/>
          <w:sz w:val="20"/>
        </w:rPr>
        <w:t>”), dated as of September 14, 2026, between American Tower Corporation, a Delaware corporation (the “</w:t>
      </w:r>
      <w:r>
        <w:rPr>
          <w:rFonts w:ascii="Times New Roman" w:hAnsi="Times New Roman"/>
          <w:b/>
          <w:sz w:val="20"/>
        </w:rPr>
        <w:t>Company</w:t>
      </w:r>
      <w:r>
        <w:rPr>
          <w:rFonts w:ascii="Times New Roman" w:hAnsi="Times New Roman"/>
          <w:sz w:val="20"/>
        </w:rPr>
        <w:t>”), and U.S. Bank Trust Company, National Association, a national banking association, as trustee (the “</w:t>
      </w:r>
      <w:r>
        <w:rPr>
          <w:rFonts w:ascii="Times New Roman" w:hAnsi="Times New Roman"/>
          <w:b/>
          <w:sz w:val="20"/>
        </w:rPr>
        <w:t>Trustee</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WITNESSETH THAT: </w:t>
      </w:r>
    </w:p>
    <w:p>
      <w:pPr>
        <w:pStyle w:val="TextBody"/>
        <w:bidi w:val="0"/>
        <w:spacing w:before="240" w:after="0"/>
        <w:jc w:val="left"/>
        <w:rPr>
          <w:rFonts w:ascii="Times New Roman" w:hAnsi="Times New Roman"/>
          <w:sz w:val="20"/>
        </w:rPr>
      </w:pPr>
      <w:r>
        <w:rPr>
          <w:rFonts w:ascii="Times New Roman" w:hAnsi="Times New Roman"/>
          <w:sz w:val="20"/>
        </w:rPr>
        <w:t>WHEREAS, the Company and the Trustee have executed and delivered a base indenture, dated as of June 2, 2025 (the “</w:t>
      </w:r>
      <w:r>
        <w:rPr>
          <w:rFonts w:ascii="Times New Roman" w:hAnsi="Times New Roman"/>
          <w:b/>
          <w:sz w:val="20"/>
        </w:rPr>
        <w:t>Base Indenture</w:t>
      </w:r>
      <w:r>
        <w:rPr>
          <w:rFonts w:ascii="Times New Roman" w:hAnsi="Times New Roman"/>
          <w:sz w:val="20"/>
        </w:rPr>
        <w:t>,” and, together with this Supplemental Indenture, as amended, supplemented or otherwise modified from time to time, the “</w:t>
      </w:r>
      <w:r>
        <w:rPr>
          <w:rFonts w:ascii="Times New Roman" w:hAnsi="Times New Roman"/>
          <w:b/>
          <w:sz w:val="20"/>
        </w:rPr>
        <w:t>Indenture</w:t>
      </w:r>
      <w:r>
        <w:rPr>
          <w:rFonts w:ascii="Times New Roman" w:hAnsi="Times New Roman"/>
          <w:sz w:val="20"/>
        </w:rPr>
        <w:t xml:space="preserve">”) to provide for the future issuance of the Company’s senior debt securities to be issued from time to time in one or more series; </w:t>
      </w:r>
    </w:p>
    <w:p>
      <w:pPr>
        <w:pStyle w:val="TextBody"/>
        <w:bidi w:val="0"/>
        <w:spacing w:before="240" w:after="0"/>
        <w:jc w:val="left"/>
        <w:rPr>
          <w:rFonts w:ascii="Times New Roman" w:hAnsi="Times New Roman"/>
          <w:sz w:val="20"/>
        </w:rPr>
      </w:pPr>
      <w:r>
        <w:rPr>
          <w:rFonts w:ascii="Times New Roman" w:hAnsi="Times New Roman"/>
          <w:sz w:val="20"/>
        </w:rPr>
        <w:t>WHEREAS, pursuant to the terms of the Base Indenture, the Company desires to provide for the establishment of three series of its Securities, to be titled as its “5.300% Senior Notes due 2031” (the “</w:t>
      </w:r>
      <w:r>
        <w:rPr>
          <w:rFonts w:ascii="Times New Roman" w:hAnsi="Times New Roman"/>
          <w:b/>
          <w:sz w:val="20"/>
        </w:rPr>
        <w:t>2031 Notes</w:t>
      </w:r>
      <w:r>
        <w:rPr>
          <w:rFonts w:ascii="Times New Roman" w:hAnsi="Times New Roman"/>
          <w:sz w:val="20"/>
        </w:rPr>
        <w:t>”), “5.560% Senior Notes due 2033” (the “</w:t>
      </w:r>
      <w:r>
        <w:rPr>
          <w:rFonts w:ascii="Times New Roman" w:hAnsi="Times New Roman"/>
          <w:b/>
          <w:sz w:val="20"/>
        </w:rPr>
        <w:t>2033 Notes</w:t>
      </w:r>
      <w:r>
        <w:rPr>
          <w:rFonts w:ascii="Times New Roman" w:hAnsi="Times New Roman"/>
          <w:sz w:val="20"/>
        </w:rPr>
        <w:t>”) and “5.750% Senior Notes due 2036” (the “</w:t>
      </w:r>
      <w:r>
        <w:rPr>
          <w:rFonts w:ascii="Times New Roman" w:hAnsi="Times New Roman"/>
          <w:b/>
          <w:sz w:val="20"/>
        </w:rPr>
        <w:t>2036 Notes</w:t>
      </w:r>
      <w:r>
        <w:rPr>
          <w:rFonts w:ascii="Times New Roman" w:hAnsi="Times New Roman"/>
          <w:sz w:val="20"/>
        </w:rPr>
        <w:t xml:space="preserve">”), the form and substance of such Securities and the terms, provisions and conditions thereof to be set forth as provided in the Indenture; and </w:t>
      </w:r>
    </w:p>
    <w:p>
      <w:pPr>
        <w:pStyle w:val="TextBody"/>
        <w:bidi w:val="0"/>
        <w:spacing w:before="240" w:after="0"/>
        <w:jc w:val="left"/>
        <w:rPr>
          <w:rFonts w:ascii="Times New Roman" w:hAnsi="Times New Roman"/>
          <w:sz w:val="20"/>
        </w:rPr>
      </w:pPr>
      <w:r>
        <w:rPr>
          <w:rFonts w:ascii="Times New Roman" w:hAnsi="Times New Roman"/>
          <w:sz w:val="20"/>
        </w:rPr>
        <w:t xml:space="preserve">WHEREAS, all acts and requirements necessary to make this Supplemental Indenture, when executed and delivered by the parties hereto, the legal, valid and binding obligation of the Company, in accordance with its terms, have been done. </w:t>
      </w:r>
    </w:p>
    <w:p>
      <w:pPr>
        <w:pStyle w:val="TextBody"/>
        <w:bidi w:val="0"/>
        <w:spacing w:before="480" w:after="0"/>
        <w:jc w:val="center"/>
        <w:rPr>
          <w:rFonts w:ascii="Times New Roman" w:hAnsi="Times New Roman"/>
          <w:b/>
          <w:sz w:val="20"/>
        </w:rPr>
      </w:pPr>
      <w:r>
        <w:rPr>
          <w:rFonts w:ascii="Times New Roman" w:hAnsi="Times New Roman"/>
          <w:b/>
          <w:sz w:val="20"/>
        </w:rPr>
        <w:t xml:space="preserve">NOW, THEREFORE: </w:t>
      </w:r>
    </w:p>
    <w:p>
      <w:pPr>
        <w:pStyle w:val="TextBody"/>
        <w:bidi w:val="0"/>
        <w:spacing w:before="240" w:after="0"/>
        <w:jc w:val="left"/>
        <w:rPr>
          <w:rFonts w:ascii="Times New Roman" w:hAnsi="Times New Roman"/>
          <w:sz w:val="20"/>
        </w:rPr>
      </w:pPr>
      <w:r>
        <w:rPr>
          <w:rFonts w:ascii="Times New Roman" w:hAnsi="Times New Roman"/>
          <w:sz w:val="20"/>
        </w:rPr>
        <w:t xml:space="preserve">Each party agrees as follows for the benefit of the other party and for the equal and ratable benefit of the Holders of the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DEFINITIONS AND INCORPORATION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1.01. DEFINITIONS. </w:t>
      </w:r>
    </w:p>
    <w:p>
      <w:pPr>
        <w:pStyle w:val="TextBody"/>
        <w:bidi w:val="0"/>
        <w:spacing w:before="120" w:after="0"/>
        <w:jc w:val="left"/>
        <w:rPr>
          <w:rFonts w:ascii="Times New Roman" w:hAnsi="Times New Roman"/>
          <w:sz w:val="20"/>
        </w:rPr>
      </w:pPr>
      <w:r>
        <w:rPr>
          <w:rFonts w:ascii="Times New Roman" w:hAnsi="Times New Roman"/>
          <w:sz w:val="20"/>
        </w:rPr>
        <w:t xml:space="preserve">Capitalized terms used herein without definition shall have the respective meanings ascribed to them in the Base Indenture. The following definitions supplement, and, to the extent inconsistent with, replace the definitions in Article I of the Base Indenture: </w:t>
      </w:r>
    </w:p>
    <w:p>
      <w:pPr>
        <w:pStyle w:val="TextBody"/>
        <w:bidi w:val="0"/>
        <w:spacing w:before="240" w:after="0"/>
        <w:jc w:val="left"/>
        <w:rPr/>
      </w:pPr>
      <w:r>
        <w:rPr/>
        <w:t>“</w:t>
      </w:r>
      <w:r>
        <w:rPr>
          <w:rFonts w:ascii="Times New Roman" w:hAnsi="Times New Roman"/>
          <w:b/>
          <w:sz w:val="20"/>
        </w:rPr>
        <w:t>Additional Security Board Resolution</w:t>
      </w:r>
      <w:r>
        <w:rPr>
          <w:rFonts w:ascii="Times New Roman" w:hAnsi="Times New Roman"/>
          <w:sz w:val="20"/>
        </w:rPr>
        <w:t xml:space="preserve">” means resolutions duly adopted by the Board of Directors of the Company and delivered to the Trustee in an Officers’ Certificate providing for issuance of Additional Securities. </w:t>
      </w:r>
    </w:p>
    <w:p>
      <w:pPr>
        <w:pStyle w:val="TextBody"/>
        <w:bidi w:val="0"/>
        <w:spacing w:before="240" w:after="0"/>
        <w:jc w:val="left"/>
        <w:rPr/>
      </w:pPr>
      <w:r>
        <w:rPr/>
        <w:t>“</w:t>
      </w:r>
      <w:r>
        <w:rPr>
          <w:rFonts w:ascii="Times New Roman" w:hAnsi="Times New Roman"/>
          <w:b/>
          <w:sz w:val="20"/>
        </w:rPr>
        <w:t>Additional Security Supplemental Indenture</w:t>
      </w:r>
      <w:r>
        <w:rPr>
          <w:rFonts w:ascii="Times New Roman" w:hAnsi="Times New Roman"/>
          <w:sz w:val="20"/>
        </w:rPr>
        <w:t xml:space="preserve">” means a supplement to this Indenture duly executed and delivered by the Company and the Trustee pursuant to Article 7 of the Base Indenture. </w:t>
      </w:r>
    </w:p>
    <w:p>
      <w:pPr>
        <w:pStyle w:val="TextBody"/>
        <w:bidi w:val="0"/>
        <w:spacing w:before="240" w:after="0"/>
        <w:jc w:val="left"/>
        <w:rPr/>
      </w:pPr>
      <w:r>
        <w:rPr/>
        <w:t>“</w:t>
      </w:r>
      <w:r>
        <w:rPr>
          <w:rFonts w:ascii="Times New Roman" w:hAnsi="Times New Roman"/>
          <w:b/>
          <w:sz w:val="20"/>
        </w:rPr>
        <w:t>Additional Securities</w:t>
      </w:r>
      <w:r>
        <w:rPr>
          <w:rFonts w:ascii="Times New Roman" w:hAnsi="Times New Roman"/>
          <w:sz w:val="20"/>
        </w:rPr>
        <w:t xml:space="preserve">” means the Company’s Securities originally issued hereunder after the Issue Date pursuant to Section 2.13 hereof, except for Securities authenticated and delivered upon registration of, transfer of, or in exchange for, or in lieu of other Securities pursuant to Section 3.07, 3.09, 7.05 or 9.06 of the Base Indenture, or 4.01(b) hereof, as specified in the relevant Additional Security Board Resolutions or Additional Security Supplemental Indenture issued therefor in accordance with this Indenture. </w:t>
      </w:r>
    </w:p>
    <w:p>
      <w:pPr>
        <w:pStyle w:val="TextBody"/>
        <w:bidi w:val="0"/>
        <w:spacing w:before="240" w:after="0"/>
        <w:jc w:val="left"/>
        <w:rPr/>
      </w:pPr>
      <w:r>
        <w:rPr/>
        <w:t>“</w:t>
      </w:r>
      <w:r>
        <w:rPr>
          <w:rFonts w:ascii="Times New Roman" w:hAnsi="Times New Roman"/>
          <w:b/>
          <w:sz w:val="20"/>
        </w:rPr>
        <w:t>Adjusted EBITDA</w:t>
      </w:r>
      <w:r>
        <w:rPr>
          <w:rFonts w:ascii="Times New Roman" w:hAnsi="Times New Roman"/>
          <w:sz w:val="20"/>
        </w:rPr>
        <w:t xml:space="preserve">” means, for the 12-month period preceding the calculation date, for the Company and its Subsidiaries on a consolidated basis in accordance with GAAP, the sum of (a) Net Income, plus (b) to the extent deducted in determining Net Income, the sum of (i) Interest Expense, (ii) income tax expense, including, without limitation, taxes paid or accrued based on income, profits or capital, including state, franchise and similar taxes and foreign withholding taxes, (iii) depreciation and amortization (including, without limitation, amortization of goodwill and other intangible assets), (iv) extraordinary losses and non-recurring non-cash charges and expenses, (v) all other non-cash charges, expenses and interest (including, without limitation, any non-cash losses in respect of Commodity Agreements, Currency Agreements or Interest Rate Agreements, non-cash impairment charges, non-cash valuation charges for stock option grants or vesting of restricted stock awards or any other non-cash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compensation charges, and losses from the early extinguishment of Indebtedness) and (vi) non-recurring charges and expenses, restructuring charges, transaction expenses (including, without limitation, transaction expenses incurred in connection with any merger or acquisition) and underwriters’ fees or discounts, and severance and retention payments in connection with any merger or acquisition, in each case for such period, less extraordinary gains and cash payments (not otherwise deducted in determining net income) made during such period with respect to non-cash charges that were added back in a prior period;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(I) with respect to any Person that became a Subsidiary, or was merged with or consolidated into the Company or any Subsidiary, during such period, or any acquisition by the Company or any Subsidiary of the assets of any Person during such period, “Adjusted EBITDA” shall, at the option of the Company in respect of any or all of the foregoing, also include the Adjusted EBITDA of such Person or attributable to such assets, as applicable, during such period as if such acquisition, merger or consolidation had occurred on the first day of such period and (II) with respect to any Person that has ceased to be a Subsidiary during such period, or any material assets of the Company or any Subsidiary sold or otherwise disposed of by the Company or any Subsidiary during such period, “Adjusted EBITDA” shall exclude the Adjusted EBITDA of such Person or attributable to such assets, as applicable, during such period as if such sale or disposition of such Subsidiary or such assets had occurred on the first day of such period. </w:t>
      </w:r>
    </w:p>
    <w:p>
      <w:pPr>
        <w:pStyle w:val="TextBody"/>
        <w:bidi w:val="0"/>
        <w:spacing w:before="240" w:after="0"/>
        <w:jc w:val="left"/>
        <w:rPr/>
      </w:pPr>
      <w:r>
        <w:rPr/>
        <w:t>“</w:t>
      </w:r>
      <w:r>
        <w:rPr>
          <w:rFonts w:ascii="Times New Roman" w:hAnsi="Times New Roman"/>
          <w:b/>
          <w:sz w:val="20"/>
        </w:rPr>
        <w:t>Beneficial Owner</w:t>
      </w:r>
      <w:r>
        <w:rPr>
          <w:rFonts w:ascii="Times New Roman" w:hAnsi="Times New Roman"/>
          <w:sz w:val="20"/>
        </w:rPr>
        <w:t xml:space="preserve">”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upon the occurrence of a subsequent condition. The terms “Beneficially Owns” and “Beneficially Owned” have a corresponding meaning. </w:t>
      </w:r>
    </w:p>
    <w:p>
      <w:pPr>
        <w:pStyle w:val="TextBody"/>
        <w:bidi w:val="0"/>
        <w:spacing w:before="240" w:after="0"/>
        <w:jc w:val="left"/>
        <w:rPr/>
      </w:pPr>
      <w:r>
        <w:rPr/>
        <w:t>“</w:t>
      </w:r>
      <w:r>
        <w:rPr>
          <w:rFonts w:ascii="Times New Roman" w:hAnsi="Times New Roman"/>
          <w:b/>
          <w:sz w:val="20"/>
        </w:rPr>
        <w:t>Capital Lease Obligation</w:t>
      </w:r>
      <w:r>
        <w:rPr>
          <w:rFonts w:ascii="Times New Roman" w:hAnsi="Times New Roman"/>
          <w:sz w:val="20"/>
        </w:rPr>
        <w:t xml:space="preserve">” means, at the time any determination is to be made, the amount of the liability in respect of a capital lease that would at that time be required to be capitalized on a balance sheet in accordance with GAAP. </w:t>
      </w:r>
    </w:p>
    <w:p>
      <w:pPr>
        <w:pStyle w:val="TextBody"/>
        <w:bidi w:val="0"/>
        <w:spacing w:before="240" w:after="0"/>
        <w:jc w:val="left"/>
        <w:rPr/>
      </w:pPr>
      <w:r>
        <w:rPr/>
        <w:t>“</w:t>
      </w:r>
      <w:r>
        <w:rPr>
          <w:rFonts w:ascii="Times New Roman" w:hAnsi="Times New Roman"/>
          <w:b/>
          <w:sz w:val="20"/>
        </w:rPr>
        <w:t>Capital Stock</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in the case of a corporation, corporate stock; </w:t>
      </w:r>
    </w:p>
    <w:p>
      <w:pPr>
        <w:pStyle w:val="TextBody"/>
        <w:bidi w:val="0"/>
        <w:spacing w:before="120" w:after="0"/>
        <w:jc w:val="left"/>
        <w:rPr>
          <w:rFonts w:ascii="Times New Roman" w:hAnsi="Times New Roman"/>
          <w:sz w:val="20"/>
        </w:rPr>
      </w:pPr>
      <w:r>
        <w:rPr>
          <w:rFonts w:ascii="Times New Roman" w:hAnsi="Times New Roman"/>
          <w:sz w:val="20"/>
        </w:rPr>
        <w:t xml:space="preserve">(2) in the case of an association or business entity, any and all shares, interests, participations, rights or other equivalents (however designated) of corporate stock; </w:t>
      </w:r>
    </w:p>
    <w:p>
      <w:pPr>
        <w:pStyle w:val="TextBody"/>
        <w:bidi w:val="0"/>
        <w:spacing w:before="120" w:after="0"/>
        <w:jc w:val="left"/>
        <w:rPr>
          <w:rFonts w:ascii="Times New Roman" w:hAnsi="Times New Roman"/>
          <w:sz w:val="20"/>
        </w:rPr>
      </w:pPr>
      <w:r>
        <w:rPr>
          <w:rFonts w:ascii="Times New Roman" w:hAnsi="Times New Roman"/>
          <w:sz w:val="20"/>
        </w:rPr>
        <w:t xml:space="preserve">(3) in the case of a partnership or limited liability company, partnership or membership interests (whether general or limited); and </w:t>
      </w:r>
    </w:p>
    <w:p>
      <w:pPr>
        <w:pStyle w:val="TextBody"/>
        <w:bidi w:val="0"/>
        <w:spacing w:before="120" w:after="0"/>
        <w:jc w:val="left"/>
        <w:rPr>
          <w:rFonts w:ascii="Times New Roman" w:hAnsi="Times New Roman"/>
          <w:sz w:val="20"/>
        </w:rPr>
      </w:pPr>
      <w:r>
        <w:rPr>
          <w:rFonts w:ascii="Times New Roman" w:hAnsi="Times New Roman"/>
          <w:sz w:val="20"/>
        </w:rPr>
        <w:t xml:space="preserve">(4) any other interest or participation that confers on a Person the right to receive a share of the profits and losses of, or distributions of assets of, the issuing Person. </w:t>
      </w:r>
    </w:p>
    <w:p>
      <w:pPr>
        <w:pStyle w:val="TextBody"/>
        <w:bidi w:val="0"/>
        <w:spacing w:before="240" w:after="0"/>
        <w:jc w:val="left"/>
        <w:rPr/>
      </w:pPr>
      <w:r>
        <w:rPr/>
        <w:t>“</w:t>
      </w:r>
      <w:r>
        <w:rPr>
          <w:rFonts w:ascii="Times New Roman" w:hAnsi="Times New Roman"/>
          <w:b/>
          <w:sz w:val="20"/>
        </w:rPr>
        <w:t>Change of Control</w:t>
      </w:r>
      <w:r>
        <w:rPr>
          <w:rFonts w:ascii="Times New Roman" w:hAnsi="Times New Roman"/>
          <w:sz w:val="20"/>
        </w:rPr>
        <w:t xml:space="preserve">” means the occurrence of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the adoption of a plan relating to the liquidation or dissolution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(2) any “person,” as such term is used in Section 13(d)(3) of the Exchange Act, becomes the Beneficial Owner, directly or indirectly, of more than 50% of the voting power of the Voting Stock of the Company; provided that a transaction in which the Company becomes a Subsidiary of another Person shall not constitute a Change of Control if (a) the stockholders of the Company immediately prior to such transaction Beneficially Own, directly or indirectly through one or more intermediaries, 50% or more of the voting power of the outstanding Voting Stock of such other Person of whom the Company is a Subsidiary immediately following such transaction and (b) immediately following such transaction no person (as defined above) other than such other Person, Beneficially Owns, directly or indirectly, more than 50% of the voting power of the Voting Stock of the Company; or </w:t>
      </w:r>
    </w:p>
    <w:p>
      <w:pPr>
        <w:pStyle w:val="TextBody"/>
        <w:bidi w:val="0"/>
        <w:spacing w:before="120" w:after="0"/>
        <w:jc w:val="left"/>
        <w:rPr>
          <w:rFonts w:ascii="Times New Roman" w:hAnsi="Times New Roman"/>
          <w:sz w:val="20"/>
        </w:rPr>
      </w:pPr>
      <w:r>
        <w:rPr>
          <w:rFonts w:ascii="Times New Roman" w:hAnsi="Times New Roman"/>
          <w:sz w:val="20"/>
        </w:rPr>
        <w:t xml:space="preserve">(3) the first day on which a majority of the members of the Board of Directors of the Company are not Continuing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Change of Control Offer</w:t>
      </w:r>
      <w:r>
        <w:rPr>
          <w:rFonts w:ascii="Times New Roman" w:hAnsi="Times New Roman"/>
          <w:sz w:val="20"/>
        </w:rPr>
        <w:t xml:space="preserve">” has the meaning set forth in Section 4.01(b). </w:t>
      </w:r>
    </w:p>
    <w:p>
      <w:pPr>
        <w:pStyle w:val="TextBody"/>
        <w:bidi w:val="0"/>
        <w:spacing w:before="240" w:after="0"/>
        <w:jc w:val="left"/>
        <w:rPr/>
      </w:pPr>
      <w:r>
        <w:rPr/>
        <w:t>“</w:t>
      </w:r>
      <w:r>
        <w:rPr>
          <w:rFonts w:ascii="Times New Roman" w:hAnsi="Times New Roman"/>
          <w:b/>
          <w:sz w:val="20"/>
        </w:rPr>
        <w:t>Change of Control Payment</w:t>
      </w:r>
      <w:r>
        <w:rPr>
          <w:rFonts w:ascii="Times New Roman" w:hAnsi="Times New Roman"/>
          <w:sz w:val="20"/>
        </w:rPr>
        <w:t xml:space="preserve">” has the meaning set forth in Section 4.01(b). </w:t>
      </w:r>
    </w:p>
    <w:p>
      <w:pPr>
        <w:pStyle w:val="TextBody"/>
        <w:bidi w:val="0"/>
        <w:spacing w:before="240" w:after="0"/>
        <w:jc w:val="left"/>
        <w:rPr/>
      </w:pPr>
      <w:r>
        <w:rPr/>
        <w:t>“</w:t>
      </w:r>
      <w:r>
        <w:rPr>
          <w:rFonts w:ascii="Times New Roman" w:hAnsi="Times New Roman"/>
          <w:b/>
          <w:sz w:val="20"/>
        </w:rPr>
        <w:t>Change of Control Payment Date</w:t>
      </w:r>
      <w:r>
        <w:rPr>
          <w:rFonts w:ascii="Times New Roman" w:hAnsi="Times New Roman"/>
          <w:sz w:val="20"/>
        </w:rPr>
        <w:t xml:space="preserve">” has the meaning set forth in Section 4.01(b). </w:t>
      </w:r>
    </w:p>
    <w:p>
      <w:pPr>
        <w:pStyle w:val="TextBody"/>
        <w:bidi w:val="0"/>
        <w:spacing w:before="240" w:after="0"/>
        <w:jc w:val="left"/>
        <w:rPr/>
      </w:pPr>
      <w:r>
        <w:rPr/>
        <w:t>“</w:t>
      </w:r>
      <w:r>
        <w:rPr>
          <w:rFonts w:ascii="Times New Roman" w:hAnsi="Times New Roman"/>
          <w:b/>
          <w:sz w:val="20"/>
        </w:rPr>
        <w:t>Change of Control Triggering Event</w:t>
      </w:r>
      <w:r>
        <w:rPr>
          <w:rFonts w:ascii="Times New Roman" w:hAnsi="Times New Roman"/>
          <w:sz w:val="20"/>
        </w:rPr>
        <w:t xml:space="preserve">” means the occurrence of both a Change of Control and a Ratings Decline (as defined below). </w:t>
      </w:r>
    </w:p>
    <w:p>
      <w:pPr>
        <w:pStyle w:val="TextBody"/>
        <w:bidi w:val="0"/>
        <w:spacing w:before="240" w:after="0"/>
        <w:jc w:val="left"/>
        <w:rPr/>
      </w:pPr>
      <w:r>
        <w:rPr/>
        <w:t>“</w:t>
      </w:r>
      <w:r>
        <w:rPr>
          <w:rFonts w:ascii="Times New Roman" w:hAnsi="Times New Roman"/>
          <w:b/>
          <w:sz w:val="20"/>
        </w:rPr>
        <w:t>Commodity Agreement</w:t>
      </w:r>
      <w:r>
        <w:rPr>
          <w:rFonts w:ascii="Times New Roman" w:hAnsi="Times New Roman"/>
          <w:sz w:val="20"/>
        </w:rPr>
        <w:t xml:space="preserve">” of any Person means any commodity forward contract, commodity swap agreement, commodity option agreement or other similar agreement or arrangement to which such Person is a party. </w:t>
      </w:r>
    </w:p>
    <w:p>
      <w:pPr>
        <w:pStyle w:val="TextBody"/>
        <w:bidi w:val="0"/>
        <w:spacing w:before="240" w:after="0"/>
        <w:jc w:val="left"/>
        <w:rPr/>
      </w:pPr>
      <w:r>
        <w:rPr/>
        <w:t>“</w:t>
      </w:r>
      <w:r>
        <w:rPr>
          <w:rFonts w:ascii="Times New Roman" w:hAnsi="Times New Roman"/>
          <w:b/>
          <w:sz w:val="20"/>
        </w:rPr>
        <w:t>Continuing Directors</w:t>
      </w:r>
      <w:r>
        <w:rPr>
          <w:rFonts w:ascii="Times New Roman" w:hAnsi="Times New Roman"/>
          <w:sz w:val="20"/>
        </w:rPr>
        <w:t xml:space="preserve">” means a director who either was a member of the Company’s Board of Directors on the Issue Date or who becomes a member of the Company’s Board of Directors subsequent to the Issue Date and whose appointment, election or nomination for election by the Company’s stockholders is duly approved by a majority of the Continuing Directors on the Company’s Board of Directors at the time of such approval, either by specific vote or by approval of the proxy statement issued by the Company on behalf of the Company’s Board of Directors in which such individual is named as nominee for director. Solely for purposes of this definition, the term “Board of Directors” shall be defined without regard to the words “or any authorized committee of the Board of Directors of such Person or any officer of such Person duly authorized by the Board of Directors of such Person to take a specific action” in such definition. </w:t>
      </w:r>
    </w:p>
    <w:p>
      <w:pPr>
        <w:pStyle w:val="TextBody"/>
        <w:bidi w:val="0"/>
        <w:spacing w:before="240" w:after="0"/>
        <w:jc w:val="left"/>
        <w:rPr/>
      </w:pPr>
      <w:r>
        <w:rPr/>
        <w:t>“</w:t>
      </w:r>
      <w:r>
        <w:rPr>
          <w:rFonts w:ascii="Times New Roman" w:hAnsi="Times New Roman"/>
          <w:b/>
          <w:sz w:val="20"/>
        </w:rPr>
        <w:t>Currency Agreement</w:t>
      </w:r>
      <w:r>
        <w:rPr>
          <w:rFonts w:ascii="Times New Roman" w:hAnsi="Times New Roman"/>
          <w:sz w:val="20"/>
        </w:rPr>
        <w:t xml:space="preserve">” of any Person means any foreign exchange contract, currency swap agreement or other similar agreement or arrangement as to which such Person is a party. </w:t>
      </w:r>
    </w:p>
    <w:p>
      <w:pPr>
        <w:pStyle w:val="TextBody"/>
        <w:bidi w:val="0"/>
        <w:spacing w:before="240" w:after="0"/>
        <w:jc w:val="left"/>
        <w:rPr/>
      </w:pPr>
      <w:r>
        <w:rPr/>
        <w:t>“</w:t>
      </w:r>
      <w:r>
        <w:rPr>
          <w:rFonts w:ascii="Times New Roman" w:hAnsi="Times New Roman"/>
          <w:b/>
          <w:sz w:val="20"/>
        </w:rPr>
        <w:t>Default</w:t>
      </w:r>
      <w:r>
        <w:rPr>
          <w:rFonts w:ascii="Times New Roman" w:hAnsi="Times New Roman"/>
          <w:sz w:val="20"/>
        </w:rPr>
        <w:t xml:space="preserve">” means any event which is, or after notice or passage of time or both would be, an Event of Default. </w:t>
      </w:r>
    </w:p>
    <w:p>
      <w:pPr>
        <w:pStyle w:val="TextBody"/>
        <w:bidi w:val="0"/>
        <w:spacing w:before="240" w:after="0"/>
        <w:jc w:val="left"/>
        <w:rPr/>
      </w:pPr>
      <w:r>
        <w:rPr/>
        <w:t>“</w:t>
      </w:r>
      <w:r>
        <w:rPr>
          <w:rFonts w:ascii="Times New Roman" w:hAnsi="Times New Roman"/>
          <w:b/>
          <w:sz w:val="20"/>
        </w:rPr>
        <w:t>Disqualified Stock</w:t>
      </w:r>
      <w:r>
        <w:rPr>
          <w:rFonts w:ascii="Times New Roman" w:hAnsi="Times New Roman"/>
          <w:sz w:val="20"/>
        </w:rPr>
        <w:t xml:space="preserve">”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Stated Maturity of the Securities. </w:t>
      </w:r>
    </w:p>
    <w:p>
      <w:pPr>
        <w:pStyle w:val="TextBody"/>
        <w:bidi w:val="0"/>
        <w:spacing w:before="240" w:after="0"/>
        <w:jc w:val="left"/>
        <w:rPr/>
      </w:pPr>
      <w:r>
        <w:rPr/>
        <w:t>“</w:t>
      </w:r>
      <w:r>
        <w:rPr>
          <w:rFonts w:ascii="Times New Roman" w:hAnsi="Times New Roman"/>
          <w:b/>
          <w:sz w:val="20"/>
        </w:rPr>
        <w:t>DTC</w:t>
      </w:r>
      <w:r>
        <w:rPr>
          <w:rFonts w:ascii="Times New Roman" w:hAnsi="Times New Roman"/>
          <w:sz w:val="20"/>
        </w:rPr>
        <w:t xml:space="preserve">” means The Depository Trust Company, its nominees and successors.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as amended, and the rules and regulations of the SEC promulgated thereunder. </w:t>
      </w:r>
    </w:p>
    <w:p>
      <w:pPr>
        <w:pStyle w:val="TextBody"/>
        <w:bidi w:val="0"/>
        <w:spacing w:before="240" w:after="0"/>
        <w:jc w:val="left"/>
        <w:rPr/>
      </w:pPr>
      <w:r>
        <w:rPr/>
        <w:t>“</w:t>
      </w:r>
      <w:r>
        <w:rPr>
          <w:rFonts w:ascii="Times New Roman" w:hAnsi="Times New Roman"/>
          <w:b/>
          <w:sz w:val="20"/>
        </w:rPr>
        <w:t>Fair Market Value</w:t>
      </w:r>
      <w:r>
        <w:rPr>
          <w:rFonts w:ascii="Times New Roman" w:hAnsi="Times New Roman"/>
          <w:sz w:val="20"/>
        </w:rPr>
        <w:t xml:space="preserve">” means, with respect to any asset, the price that (after taking into account any liabilities relating to such asset) would be paid in an arm’s-length transaction between an informed and willing seller under no compulsion to sell and an informed and willing buyer under no compulsion to buy, as determined in good faith by the Board of Directors, whose determination shall be conclusive if evidenced by a Board Resolution. </w:t>
      </w:r>
    </w:p>
    <w:p>
      <w:pPr>
        <w:pStyle w:val="TextBody"/>
        <w:bidi w:val="0"/>
        <w:spacing w:before="240" w:after="0"/>
        <w:jc w:val="left"/>
        <w:rPr/>
      </w:pPr>
      <w:r>
        <w:rPr/>
        <w:t>“</w:t>
      </w:r>
      <w:r>
        <w:rPr>
          <w:rFonts w:ascii="Times New Roman" w:hAnsi="Times New Roman"/>
          <w:b/>
          <w:sz w:val="20"/>
        </w:rPr>
        <w:t>First Par Call Date</w:t>
      </w:r>
      <w:r>
        <w:rPr>
          <w:rFonts w:ascii="Times New Roman" w:hAnsi="Times New Roman"/>
          <w:sz w:val="20"/>
        </w:rPr>
        <w:t xml:space="preserve">” means, with respect to the 2031 Notes, August 15, 2031, with respect to the 2033 Notes, July 15, 2033, and with respect to the 2036 Notes, June 15, 2036. </w:t>
      </w:r>
    </w:p>
    <w:p>
      <w:pPr>
        <w:pStyle w:val="TextBody"/>
        <w:bidi w:val="0"/>
        <w:spacing w:before="240" w:after="0"/>
        <w:jc w:val="left"/>
        <w:rPr/>
      </w:pPr>
      <w:r>
        <w:rPr/>
        <w:t>“</w:t>
      </w:r>
      <w:r>
        <w:rPr>
          <w:rFonts w:ascii="Times New Roman" w:hAnsi="Times New Roman"/>
          <w:b/>
          <w:sz w:val="20"/>
        </w:rPr>
        <w:t>Fitch</w:t>
      </w:r>
      <w:r>
        <w:rPr>
          <w:rFonts w:ascii="Times New Roman" w:hAnsi="Times New Roman"/>
          <w:sz w:val="20"/>
        </w:rPr>
        <w:t xml:space="preserve">” means Fitch, Inc. or any successor to the rating agency business thereof. </w:t>
      </w:r>
    </w:p>
    <w:p>
      <w:pPr>
        <w:pStyle w:val="TextBody"/>
        <w:bidi w:val="0"/>
        <w:spacing w:before="240" w:after="0"/>
        <w:jc w:val="left"/>
        <w:rPr/>
      </w:pPr>
      <w:r>
        <w:rPr/>
        <w:t>“</w:t>
      </w:r>
      <w:r>
        <w:rPr>
          <w:rFonts w:ascii="Times New Roman" w:hAnsi="Times New Roman"/>
          <w:b/>
          <w:sz w:val="20"/>
        </w:rPr>
        <w:t>Foreign Subsidiary</w:t>
      </w:r>
      <w:r>
        <w:rPr>
          <w:rFonts w:ascii="Times New Roman" w:hAnsi="Times New Roman"/>
          <w:sz w:val="20"/>
        </w:rPr>
        <w:t xml:space="preserve">” means, with respect to any Person, (a) any Subsidiary of such Person that is not organized or existing under the laws of, and whose principal business is conducted outside of, the United States, any state thereof, the District of Columbia, or any territory thereof (for purposes of this definition only, the “United States”), or (b) any Subsidiary of such Person that is organized or existing under the laws of the United States whose only material assets are the Capital Stock of Foreign Subsidiaries meeting clause (a) of this definition.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GAAP</w:t>
      </w:r>
      <w:r>
        <w:rPr>
          <w:rFonts w:ascii="Times New Roman" w:hAnsi="Times New Roman"/>
          <w:sz w:val="20"/>
        </w:rPr>
        <w:t xml:space="preserve">” means generally accepted accounting principles set forth in the standards, statements and pronouncements of the Financial Accounting Standards Board, or in such other statements by such other entity as may be approved by a significant segment of the accounting profession of the United States, which are in effect on the Issue Date, </w:t>
      </w:r>
      <w:r>
        <w:rPr>
          <w:rFonts w:ascii="Times New Roman" w:hAnsi="Times New Roman"/>
          <w:i/>
          <w:sz w:val="20"/>
        </w:rPr>
        <w:t>provided, however,</w:t>
      </w:r>
      <w:r>
        <w:rPr>
          <w:rFonts w:ascii="Times New Roman" w:hAnsi="Times New Roman"/>
          <w:sz w:val="20"/>
        </w:rPr>
        <w:t xml:space="preserve"> that leases shall continue to be classified and accounted for on a basis consistent with that reflected in the financial statements of the Company for the fiscal year ended December 31, 2018 for all purposes, notwithstanding any change in GAAP relating thereto, including with respect to Accounting Standards Codification 842. </w:t>
      </w:r>
    </w:p>
    <w:p>
      <w:pPr>
        <w:pStyle w:val="TextBody"/>
        <w:bidi w:val="0"/>
        <w:spacing w:before="240" w:after="0"/>
        <w:jc w:val="left"/>
        <w:rPr/>
      </w:pPr>
      <w:r>
        <w:rPr/>
        <w:t>“</w:t>
      </w:r>
      <w:r>
        <w:rPr>
          <w:rFonts w:ascii="Times New Roman" w:hAnsi="Times New Roman"/>
          <w:b/>
          <w:sz w:val="20"/>
        </w:rPr>
        <w:t>Guarantee</w:t>
      </w:r>
      <w:r>
        <w:rPr>
          <w:rFonts w:ascii="Times New Roman" w:hAnsi="Times New Roman"/>
          <w:sz w:val="20"/>
        </w:rPr>
        <w:t xml:space="preserve">”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The term “Guarantee” used as a verb has a corresponding meaning. </w:t>
      </w:r>
    </w:p>
    <w:p>
      <w:pPr>
        <w:pStyle w:val="TextBody"/>
        <w:bidi w:val="0"/>
        <w:spacing w:before="240" w:after="0"/>
        <w:jc w:val="left"/>
        <w:rPr/>
      </w:pPr>
      <w:r>
        <w:rPr/>
        <w:t>“</w:t>
      </w:r>
      <w:r>
        <w:rPr>
          <w:rFonts w:ascii="Times New Roman" w:hAnsi="Times New Roman"/>
          <w:b/>
          <w:sz w:val="20"/>
        </w:rPr>
        <w:t>Indebtedness</w:t>
      </w:r>
      <w:r>
        <w:rPr>
          <w:rFonts w:ascii="Times New Roman" w:hAnsi="Times New Roman"/>
          <w:sz w:val="20"/>
        </w:rPr>
        <w:t xml:space="preserve">” means, with respect to any specified Person, any indebtedness of such Person, whether or not contingent: </w:t>
      </w:r>
    </w:p>
    <w:p>
      <w:pPr>
        <w:pStyle w:val="TextBody"/>
        <w:bidi w:val="0"/>
        <w:spacing w:before="120" w:after="0"/>
        <w:jc w:val="left"/>
        <w:rPr>
          <w:rFonts w:ascii="Times New Roman" w:hAnsi="Times New Roman"/>
          <w:sz w:val="20"/>
        </w:rPr>
      </w:pPr>
      <w:r>
        <w:rPr>
          <w:rFonts w:ascii="Times New Roman" w:hAnsi="Times New Roman"/>
          <w:sz w:val="20"/>
        </w:rPr>
        <w:t xml:space="preserve">(1) in respect of borrowed money; </w:t>
      </w:r>
    </w:p>
    <w:p>
      <w:pPr>
        <w:pStyle w:val="TextBody"/>
        <w:bidi w:val="0"/>
        <w:spacing w:before="120" w:after="0"/>
        <w:jc w:val="left"/>
        <w:rPr>
          <w:rFonts w:ascii="Times New Roman" w:hAnsi="Times New Roman"/>
          <w:sz w:val="20"/>
        </w:rPr>
      </w:pPr>
      <w:r>
        <w:rPr>
          <w:rFonts w:ascii="Times New Roman" w:hAnsi="Times New Roman"/>
          <w:sz w:val="20"/>
        </w:rPr>
        <w:t xml:space="preserve">(2) evidenced by bonds, notes, debentures or similar instruments or letters of credit (or reimbursement agreements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(3) in respect of banker’s acceptances; </w:t>
      </w:r>
    </w:p>
    <w:p>
      <w:pPr>
        <w:pStyle w:val="TextBody"/>
        <w:bidi w:val="0"/>
        <w:spacing w:before="120" w:after="0"/>
        <w:jc w:val="left"/>
        <w:rPr>
          <w:rFonts w:ascii="Times New Roman" w:hAnsi="Times New Roman"/>
          <w:sz w:val="20"/>
        </w:rPr>
      </w:pPr>
      <w:r>
        <w:rPr>
          <w:rFonts w:ascii="Times New Roman" w:hAnsi="Times New Roman"/>
          <w:sz w:val="20"/>
        </w:rPr>
        <w:t xml:space="preserve">(4) representing Capital Lease Obligations; </w:t>
      </w:r>
    </w:p>
    <w:p>
      <w:pPr>
        <w:pStyle w:val="TextBody"/>
        <w:bidi w:val="0"/>
        <w:spacing w:before="120" w:after="0"/>
        <w:jc w:val="left"/>
        <w:rPr>
          <w:rFonts w:ascii="Times New Roman" w:hAnsi="Times New Roman"/>
          <w:sz w:val="20"/>
        </w:rPr>
      </w:pPr>
      <w:r>
        <w:rPr>
          <w:rFonts w:ascii="Times New Roman" w:hAnsi="Times New Roman"/>
          <w:sz w:val="20"/>
        </w:rPr>
        <w:t xml:space="preserve">(5) representing the balance deferred and unpaid of the purchase price of any property, except any such balance that constitutes an accrued expense or trade payable; </w:t>
      </w:r>
    </w:p>
    <w:p>
      <w:pPr>
        <w:pStyle w:val="TextBody"/>
        <w:bidi w:val="0"/>
        <w:spacing w:before="120" w:after="0"/>
        <w:jc w:val="left"/>
        <w:rPr>
          <w:rFonts w:ascii="Times New Roman" w:hAnsi="Times New Roman"/>
          <w:sz w:val="20"/>
        </w:rPr>
      </w:pPr>
      <w:r>
        <w:rPr>
          <w:rFonts w:ascii="Times New Roman" w:hAnsi="Times New Roman"/>
          <w:sz w:val="20"/>
        </w:rPr>
        <w:t xml:space="preserve">(6) representing obligations under any Interest Rate Agreements, Commodity Agreements and Currency Agreements except for those entered into for the purpose of fixing, hedging or swapping interest rate, commodity price or foreign currency exchange risk; or </w:t>
      </w:r>
    </w:p>
    <w:p>
      <w:pPr>
        <w:pStyle w:val="TextBody"/>
        <w:bidi w:val="0"/>
        <w:spacing w:before="120" w:after="0"/>
        <w:jc w:val="left"/>
        <w:rPr>
          <w:rFonts w:ascii="Times New Roman" w:hAnsi="Times New Roman"/>
          <w:sz w:val="20"/>
        </w:rPr>
      </w:pPr>
      <w:r>
        <w:rPr>
          <w:rFonts w:ascii="Times New Roman" w:hAnsi="Times New Roman"/>
          <w:sz w:val="20"/>
        </w:rPr>
        <w:t xml:space="preserve">(7) in respect of all Disqualified Stock issued by such Person with the amount of Indebtedness represented by such Disqualified Stock being equal to the greater of its voluntary or involuntary liquidation preference and its maximum fixed repurchase price, but excluding accrued dividends, if any; provided that (a) if the Disqualified Stock does not have a fixed repurchase price, such maximum fixed repurchase price shall be calculated in accordance with the terms of the Disqualified Stock as if the Disqualified Stock were purchased on any date on which Indebtedness shall be required to be determined pursuant to the applicable indenture, and (b) if the maximum fixed repurchase price is based upon, or measured by, the fair market value of the Disqualified Stock, the fair market value shall be the Fair Market Value thereof; </w:t>
      </w:r>
    </w:p>
    <w:p>
      <w:pPr>
        <w:pStyle w:val="TextBody"/>
        <w:bidi w:val="0"/>
        <w:spacing w:before="240" w:after="0"/>
        <w:jc w:val="left"/>
        <w:rPr>
          <w:rFonts w:ascii="Times New Roman" w:hAnsi="Times New Roman"/>
          <w:sz w:val="20"/>
        </w:rPr>
      </w:pPr>
      <w:r>
        <w:rPr>
          <w:rFonts w:ascii="Times New Roman" w:hAnsi="Times New Roman"/>
          <w:sz w:val="20"/>
        </w:rPr>
        <w:t xml:space="preserve">if and to the extent any of the preceding items (other than letters of credit and obligations under Interest Rate Agreements, Commodity Agreements and Currency Agreements) would appear as a liability upon a balance sheet of such Person prepared in accordance with GAAP. In addition, the term “Indebtedness” includes all Indebtedness of others secured by a Lien on any asset of such Person whether or not such Indebtedness is assumed by such Person (the amount of such Indebtedness as of any date being deemed to be the lesser of the Fair Market Value of such property or assets as of such date or the principal amount of such Indebtedness of such other Person so secured) and, to the extent not otherwise included, the Guarantee by such Person of any Indebtedness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The amount of any Indebtedness outstanding as of any date shall be: </w:t>
      </w:r>
    </w:p>
    <w:p>
      <w:pPr>
        <w:pStyle w:val="TextBody"/>
        <w:bidi w:val="0"/>
        <w:spacing w:before="120" w:after="0"/>
        <w:jc w:val="left"/>
        <w:rPr>
          <w:rFonts w:ascii="Times New Roman" w:hAnsi="Times New Roman"/>
          <w:sz w:val="20"/>
        </w:rPr>
      </w:pPr>
      <w:r>
        <w:rPr>
          <w:rFonts w:ascii="Times New Roman" w:hAnsi="Times New Roman"/>
          <w:sz w:val="20"/>
        </w:rPr>
        <w:t xml:space="preserve">(1) the accreted value of the Indebtedness, in the case of any Indebtedness issued with original issue discount;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the principal amount of the Indebtedness, together with any interest on the Indebtedness that is more than 30 days past due, in the case of any other Indebtedness. </w:t>
      </w:r>
    </w:p>
    <w:p>
      <w:pPr>
        <w:pStyle w:val="TextBody"/>
        <w:bidi w:val="0"/>
        <w:spacing w:before="240" w:after="0"/>
        <w:jc w:val="left"/>
        <w:rPr/>
      </w:pPr>
      <w:r>
        <w:rPr/>
        <w:t>“</w:t>
      </w:r>
      <w:r>
        <w:rPr>
          <w:rFonts w:ascii="Times New Roman" w:hAnsi="Times New Roman"/>
          <w:b/>
          <w:sz w:val="20"/>
        </w:rPr>
        <w:t>Interest Expense</w:t>
      </w:r>
      <w:r>
        <w:rPr>
          <w:rFonts w:ascii="Times New Roman" w:hAnsi="Times New Roman"/>
          <w:sz w:val="20"/>
        </w:rPr>
        <w:t xml:space="preserve">” means, for any period, all cash interest expense (including imputed interest with respect to Capital Lease Obligations and commitment fees) with respect to any Indebtedness of the Company and of its Subsidiaries’ Indebtedness on a consolidated basis during such period pursuant to the terms of such Indebtedness. </w:t>
      </w:r>
    </w:p>
    <w:p>
      <w:pPr>
        <w:pStyle w:val="TextBody"/>
        <w:bidi w:val="0"/>
        <w:spacing w:before="240" w:after="0"/>
        <w:jc w:val="left"/>
        <w:rPr/>
      </w:pPr>
      <w:r>
        <w:rPr/>
        <w:t>“</w:t>
      </w:r>
      <w:r>
        <w:rPr>
          <w:rFonts w:ascii="Times New Roman" w:hAnsi="Times New Roman"/>
          <w:b/>
          <w:sz w:val="20"/>
        </w:rPr>
        <w:t>Interest Rate Agreement</w:t>
      </w:r>
      <w:r>
        <w:rPr>
          <w:rFonts w:ascii="Times New Roman" w:hAnsi="Times New Roman"/>
          <w:sz w:val="20"/>
        </w:rPr>
        <w:t xml:space="preserve">” of any Person means any interest rate protection agreement, interest rate future agreement, interest rate option agreement, interest rate swap agreement, interest rate cap agreement, interest rate collar agreement, interest rate hedge agreement, option or future contract or other similar agreement or arrangement as to which such Person is a party. </w:t>
      </w:r>
    </w:p>
    <w:p>
      <w:pPr>
        <w:pStyle w:val="TextBody"/>
        <w:bidi w:val="0"/>
        <w:spacing w:before="240" w:after="0"/>
        <w:jc w:val="left"/>
        <w:rPr/>
      </w:pPr>
      <w:r>
        <w:rPr/>
        <w:t>“</w:t>
      </w:r>
      <w:r>
        <w:rPr>
          <w:rFonts w:ascii="Times New Roman" w:hAnsi="Times New Roman"/>
          <w:b/>
          <w:sz w:val="20"/>
        </w:rPr>
        <w:t>Investment Grade Rating</w:t>
      </w:r>
      <w:r>
        <w:rPr>
          <w:rFonts w:ascii="Times New Roman" w:hAnsi="Times New Roman"/>
          <w:sz w:val="20"/>
        </w:rPr>
        <w:t xml:space="preserve">” means a rating equal to or greater than BBB- by S&amp;P and Fitch and Baa3 by Moody’s or the equivalent thereof under any new ratings system if the ratings system of any such agency shall be modified after the date hereof, or the equivalent rating or any other Ratings Agency selected by the Company as provided in the definition of Ratings Agency. </w:t>
      </w:r>
    </w:p>
    <w:p>
      <w:pPr>
        <w:pStyle w:val="TextBody"/>
        <w:bidi w:val="0"/>
        <w:spacing w:before="240" w:after="0"/>
        <w:jc w:val="left"/>
        <w:rPr/>
      </w:pPr>
      <w:r>
        <w:rPr/>
        <w:t>“</w:t>
      </w:r>
      <w:r>
        <w:rPr>
          <w:rFonts w:ascii="Times New Roman" w:hAnsi="Times New Roman"/>
          <w:b/>
          <w:sz w:val="20"/>
        </w:rPr>
        <w:t>Issue Date</w:t>
      </w:r>
      <w:r>
        <w:rPr>
          <w:rFonts w:ascii="Times New Roman" w:hAnsi="Times New Roman"/>
          <w:sz w:val="20"/>
        </w:rPr>
        <w:t xml:space="preserve">” means September 14, 2026. </w:t>
      </w:r>
    </w:p>
    <w:p>
      <w:pPr>
        <w:pStyle w:val="TextBody"/>
        <w:bidi w:val="0"/>
        <w:spacing w:before="240" w:after="0"/>
        <w:jc w:val="left"/>
        <w:rPr/>
      </w:pPr>
      <w:r>
        <w:rPr/>
        <w:t>“</w:t>
      </w:r>
      <w:r>
        <w:rPr>
          <w:rFonts w:ascii="Times New Roman" w:hAnsi="Times New Roman"/>
          <w:b/>
          <w:sz w:val="20"/>
        </w:rPr>
        <w:t>Licenses</w:t>
      </w:r>
      <w:r>
        <w:rPr>
          <w:rFonts w:ascii="Times New Roman" w:hAnsi="Times New Roman"/>
          <w:sz w:val="20"/>
        </w:rPr>
        <w:t xml:space="preserve">” means, collectively, any telephone, microwave, radio transmissions, personal communications or other license, authorization, certificate of compliance, franchise, approval or permit, whether for the construction, ownership or operation of any communications tower facilities, granted or issued by the Federal Communications Commission (or other similar or successor agency of the federal government administering the Communications Act of 1934 or any similar or successor federal statute) and held by the Company or any of its Subsidiaries. </w:t>
      </w:r>
    </w:p>
    <w:p>
      <w:pPr>
        <w:pStyle w:val="TextBody"/>
        <w:bidi w:val="0"/>
        <w:spacing w:before="240" w:after="0"/>
        <w:jc w:val="left"/>
        <w:rPr/>
      </w:pPr>
      <w:r>
        <w:rPr/>
        <w:t>“</w:t>
      </w:r>
      <w:r>
        <w:rPr>
          <w:rFonts w:ascii="Times New Roman" w:hAnsi="Times New Roman"/>
          <w:b/>
          <w:sz w:val="20"/>
        </w:rPr>
        <w:t>Lien</w:t>
      </w:r>
      <w:r>
        <w:rPr>
          <w:rFonts w:ascii="Times New Roman" w:hAnsi="Times New Roman"/>
          <w:sz w:val="20"/>
        </w:rPr>
        <w:t xml:space="preserve">” means, with respect to any property or assets, including Capital Stock,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w:t>
      </w:r>
    </w:p>
    <w:p>
      <w:pPr>
        <w:pStyle w:val="TextBody"/>
        <w:bidi w:val="0"/>
        <w:spacing w:before="240" w:after="0"/>
        <w:jc w:val="left"/>
        <w:rPr/>
      </w:pPr>
      <w:r>
        <w:rPr/>
        <w:t>“</w:t>
      </w:r>
      <w:r>
        <w:rPr>
          <w:rFonts w:ascii="Times New Roman" w:hAnsi="Times New Roman"/>
          <w:b/>
          <w:sz w:val="20"/>
        </w:rPr>
        <w:t>Moody’s</w:t>
      </w:r>
      <w:r>
        <w:rPr>
          <w:rFonts w:ascii="Times New Roman" w:hAnsi="Times New Roman"/>
          <w:sz w:val="20"/>
        </w:rPr>
        <w:t xml:space="preserve">” means Moody’s Investors Services, Inc. or any successor to the rating agency business thereof. </w:t>
      </w:r>
    </w:p>
    <w:p>
      <w:pPr>
        <w:pStyle w:val="TextBody"/>
        <w:bidi w:val="0"/>
        <w:spacing w:before="240" w:after="0"/>
        <w:jc w:val="left"/>
        <w:rPr/>
      </w:pPr>
      <w:r>
        <w:rPr/>
        <w:t>“</w:t>
      </w:r>
      <w:r>
        <w:rPr>
          <w:rFonts w:ascii="Times New Roman" w:hAnsi="Times New Roman"/>
          <w:b/>
          <w:sz w:val="20"/>
        </w:rPr>
        <w:t>Net Income</w:t>
      </w:r>
      <w:r>
        <w:rPr>
          <w:rFonts w:ascii="Times New Roman" w:hAnsi="Times New Roman"/>
          <w:sz w:val="20"/>
        </w:rPr>
        <w:t xml:space="preserve">” means, for any period of determination, net income (loss) of the Company and its Subsidiaries, on a consolidated basis, determined in accordance with GAAP. </w:t>
      </w:r>
    </w:p>
    <w:p>
      <w:pPr>
        <w:pStyle w:val="TextBody"/>
        <w:bidi w:val="0"/>
        <w:spacing w:before="240" w:after="0"/>
        <w:jc w:val="left"/>
        <w:rPr/>
      </w:pPr>
      <w:r>
        <w:rPr/>
        <w:t>“</w:t>
      </w:r>
      <w:r>
        <w:rPr>
          <w:rFonts w:ascii="Times New Roman" w:hAnsi="Times New Roman"/>
          <w:b/>
          <w:sz w:val="20"/>
        </w:rPr>
        <w:t>Newly Created Subsidiary</w:t>
      </w:r>
      <w:r>
        <w:rPr>
          <w:rFonts w:ascii="Times New Roman" w:hAnsi="Times New Roman"/>
          <w:sz w:val="20"/>
        </w:rPr>
        <w:t xml:space="preserve">” means a newly created direct or indirect Subsidiary of the Company that is formed or organized after the Issue Date; provided that neither the Company nor any Subsidiary of the Company shall have transferred, or may in the future transfer, any assets (other than cash or cash equivalents) to such Newly Created Subsidiary for so long as such Newly Created Subsidiary remains designated as an Unrestricted Subsidiary. </w:t>
      </w:r>
    </w:p>
    <w:p>
      <w:pPr>
        <w:pStyle w:val="TextBody"/>
        <w:bidi w:val="0"/>
        <w:spacing w:before="240" w:after="0"/>
        <w:jc w:val="left"/>
        <w:rPr/>
      </w:pPr>
      <w:r>
        <w:rPr/>
        <w:t>“</w:t>
      </w:r>
      <w:r>
        <w:rPr>
          <w:rFonts w:ascii="Times New Roman" w:hAnsi="Times New Roman"/>
          <w:b/>
          <w:sz w:val="20"/>
        </w:rPr>
        <w:t>Original Securities</w:t>
      </w:r>
      <w:r>
        <w:rPr>
          <w:rFonts w:ascii="Times New Roman" w:hAnsi="Times New Roman"/>
          <w:sz w:val="20"/>
        </w:rPr>
        <w:t xml:space="preserve">” has the meaning set forth in Section 2.02. </w:t>
      </w:r>
    </w:p>
    <w:p>
      <w:pPr>
        <w:pStyle w:val="TextBody"/>
        <w:bidi w:val="0"/>
        <w:spacing w:before="240" w:after="0"/>
        <w:jc w:val="left"/>
        <w:rPr/>
      </w:pPr>
      <w:r>
        <w:rPr/>
        <w:t>“</w:t>
      </w:r>
      <w:r>
        <w:rPr>
          <w:rFonts w:ascii="Times New Roman" w:hAnsi="Times New Roman"/>
          <w:b/>
          <w:sz w:val="20"/>
        </w:rPr>
        <w:t>Paying Agent</w:t>
      </w:r>
      <w:r>
        <w:rPr>
          <w:rFonts w:ascii="Times New Roman" w:hAnsi="Times New Roman"/>
          <w:sz w:val="20"/>
        </w:rPr>
        <w:t xml:space="preserve">” has the meaning set forth in Section 2.03. </w:t>
      </w:r>
    </w:p>
    <w:p>
      <w:pPr>
        <w:pStyle w:val="TextBody"/>
        <w:bidi w:val="0"/>
        <w:spacing w:before="240" w:after="0"/>
        <w:jc w:val="left"/>
        <w:rPr/>
      </w:pPr>
      <w:r>
        <w:rPr/>
        <w:t>“</w:t>
      </w:r>
      <w:r>
        <w:rPr>
          <w:rFonts w:ascii="Times New Roman" w:hAnsi="Times New Roman"/>
          <w:b/>
          <w:sz w:val="20"/>
        </w:rPr>
        <w:t>Permitted Amount</w:t>
      </w:r>
      <w:r>
        <w:rPr>
          <w:rFonts w:ascii="Times New Roman" w:hAnsi="Times New Roman"/>
          <w:sz w:val="20"/>
        </w:rPr>
        <w:t xml:space="preserve">” means, on any date, an amount equal to 3.5 times Adjusted EBITDA as of the most recent fiscal quarter for which financial statements of the Company are internally available immediately preceding such date. </w:t>
      </w:r>
    </w:p>
    <w:p>
      <w:pPr>
        <w:pStyle w:val="TextBody"/>
        <w:bidi w:val="0"/>
        <w:spacing w:before="240" w:after="0"/>
        <w:jc w:val="left"/>
        <w:rPr/>
      </w:pPr>
      <w:r>
        <w:rPr/>
        <w:t>“</w:t>
      </w:r>
      <w:r>
        <w:rPr>
          <w:rFonts w:ascii="Times New Roman" w:hAnsi="Times New Roman"/>
          <w:b/>
          <w:sz w:val="20"/>
        </w:rPr>
        <w:t>Permitted Liens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Liens in favor of the Company or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Liens existing on the Issue Date (other than those securing the SpectraSite ABS Facility) and renewals and replacements thereof; </w:t>
      </w:r>
    </w:p>
    <w:p>
      <w:pPr>
        <w:pStyle w:val="TextBody"/>
        <w:bidi w:val="0"/>
        <w:spacing w:before="120" w:after="0"/>
        <w:jc w:val="left"/>
        <w:rPr>
          <w:rFonts w:ascii="Times New Roman" w:hAnsi="Times New Roman"/>
          <w:sz w:val="20"/>
        </w:rPr>
      </w:pPr>
      <w:r>
        <w:rPr>
          <w:rFonts w:ascii="Times New Roman" w:hAnsi="Times New Roman"/>
          <w:sz w:val="20"/>
        </w:rPr>
        <w:t xml:space="preserve">(3) Liens for taxes, assessments or governmental charges or claims that are not yet delinquent or that are being contested in good faith by appropriate proceedings promptly instituted and diligently conducted; provided that any reserve or other appropriate provision as shall be required in conformity with GAAP shall have been made therefor; </w:t>
      </w:r>
    </w:p>
    <w:p>
      <w:pPr>
        <w:pStyle w:val="TextBody"/>
        <w:bidi w:val="0"/>
        <w:spacing w:before="120" w:after="0"/>
        <w:jc w:val="left"/>
        <w:rPr>
          <w:rFonts w:ascii="Times New Roman" w:hAnsi="Times New Roman"/>
          <w:sz w:val="20"/>
        </w:rPr>
      </w:pPr>
      <w:r>
        <w:rPr>
          <w:rFonts w:ascii="Times New Roman" w:hAnsi="Times New Roman"/>
          <w:sz w:val="20"/>
        </w:rPr>
        <w:t xml:space="preserve">(4) Liens of carriers, warehousemen, mechanics, vendors (solely to the extent arising by operation of law), laborers and materialmen incurred in the ordinary course of business for sums not yet due or being diligently contested in good faith, if reserves or appropriate provisions shall have been made therefor; </w:t>
      </w:r>
    </w:p>
    <w:p>
      <w:pPr>
        <w:pStyle w:val="TextBody"/>
        <w:bidi w:val="0"/>
        <w:spacing w:before="120" w:after="0"/>
        <w:jc w:val="left"/>
        <w:rPr>
          <w:rFonts w:ascii="Times New Roman" w:hAnsi="Times New Roman"/>
          <w:sz w:val="20"/>
        </w:rPr>
      </w:pPr>
      <w:r>
        <w:rPr>
          <w:rFonts w:ascii="Times New Roman" w:hAnsi="Times New Roman"/>
          <w:sz w:val="20"/>
        </w:rPr>
        <w:t xml:space="preserve">(5) Liens incurred in the ordinary course of business in connection with worker’s compensation and unemployment insurance, social security obligations, assessments or government charges which are not overdue for more than 60 days; </w:t>
      </w:r>
    </w:p>
    <w:p>
      <w:pPr>
        <w:pStyle w:val="TextBody"/>
        <w:bidi w:val="0"/>
        <w:spacing w:before="120" w:after="0"/>
        <w:jc w:val="left"/>
        <w:rPr>
          <w:rFonts w:ascii="Times New Roman" w:hAnsi="Times New Roman"/>
          <w:sz w:val="20"/>
        </w:rPr>
      </w:pPr>
      <w:r>
        <w:rPr>
          <w:rFonts w:ascii="Times New Roman" w:hAnsi="Times New Roman"/>
          <w:sz w:val="20"/>
        </w:rPr>
        <w:t xml:space="preserve">(6) restrictions on the transfer of Licenses or assets of the Company or any of its Subsidiaries imposed by any of the Licenses as in effect on the Issue Date or imposed by the Communications Act of 1934, any similar or successor federal statute or the rules and regulations of the Federal Communications Commission (or other similar or successor agency of the federal government administering such Act or successor statute) thereunder, all as the same may be in effect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(7) Liens arising by operation of law in favor of purchasers in connection with the sale of an asset; provided, however, that such Lien only encumbers the property being sold; </w:t>
      </w:r>
    </w:p>
    <w:p>
      <w:pPr>
        <w:pStyle w:val="TextBody"/>
        <w:bidi w:val="0"/>
        <w:spacing w:before="120" w:after="0"/>
        <w:jc w:val="left"/>
        <w:rPr>
          <w:rFonts w:ascii="Times New Roman" w:hAnsi="Times New Roman"/>
          <w:sz w:val="20"/>
        </w:rPr>
      </w:pPr>
      <w:r>
        <w:rPr>
          <w:rFonts w:ascii="Times New Roman" w:hAnsi="Times New Roman"/>
          <w:sz w:val="20"/>
        </w:rPr>
        <w:t xml:space="preserve">(8) Liens to secure performance of statutory obligations, surety or appeal bonds, performance bonds, bids or tenders; </w:t>
      </w:r>
    </w:p>
    <w:p>
      <w:pPr>
        <w:pStyle w:val="TextBody"/>
        <w:bidi w:val="0"/>
        <w:spacing w:before="120" w:after="0"/>
        <w:jc w:val="left"/>
        <w:rPr>
          <w:rFonts w:ascii="Times New Roman" w:hAnsi="Times New Roman"/>
          <w:sz w:val="20"/>
        </w:rPr>
      </w:pPr>
      <w:r>
        <w:rPr>
          <w:rFonts w:ascii="Times New Roman" w:hAnsi="Times New Roman"/>
          <w:sz w:val="20"/>
        </w:rPr>
        <w:t xml:space="preserve">(9) judgment Liens; </w:t>
      </w:r>
    </w:p>
    <w:p>
      <w:pPr>
        <w:pStyle w:val="TextBody"/>
        <w:bidi w:val="0"/>
        <w:spacing w:before="120" w:after="0"/>
        <w:jc w:val="left"/>
        <w:rPr>
          <w:rFonts w:ascii="Times New Roman" w:hAnsi="Times New Roman"/>
          <w:sz w:val="20"/>
        </w:rPr>
      </w:pPr>
      <w:r>
        <w:rPr>
          <w:rFonts w:ascii="Times New Roman" w:hAnsi="Times New Roman"/>
          <w:sz w:val="20"/>
        </w:rPr>
        <w:t xml:space="preserve">(10) Liens in connection with escrow or security deposits made in connection with any acquisition of assets; </w:t>
      </w:r>
    </w:p>
    <w:p>
      <w:pPr>
        <w:pStyle w:val="TextBody"/>
        <w:bidi w:val="0"/>
        <w:spacing w:before="120" w:after="0"/>
        <w:jc w:val="left"/>
        <w:rPr>
          <w:rFonts w:ascii="Times New Roman" w:hAnsi="Times New Roman"/>
          <w:sz w:val="20"/>
        </w:rPr>
      </w:pPr>
      <w:r>
        <w:rPr>
          <w:rFonts w:ascii="Times New Roman" w:hAnsi="Times New Roman"/>
          <w:sz w:val="20"/>
        </w:rPr>
        <w:t xml:space="preserve">(11) Liens securing Indebtedness since the Issue Date represented by Capital Lease Obligations, mortgage financings or purchase money obligations, in each case incurred for the purpose of financing all or any part of the purchase price or cost of construction or improvement of property, plant or equipment used in any business of the Company or any Subsidiary of the Company in an aggregate principal amount, including all Indebtedness incurred to refund, refinance or replace any other Indebtedness incurred pursuant to this clause (11), not to exceed $500.0 million at any time outstanding for the Company and any Subsidiaries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(12) Liens securing obligations under Interest Rate Agreements, Commodity Agreements and Currency Agreements not for speculative purposes; </w:t>
      </w:r>
    </w:p>
    <w:p>
      <w:pPr>
        <w:pStyle w:val="TextBody"/>
        <w:bidi w:val="0"/>
        <w:spacing w:before="120" w:after="0"/>
        <w:jc w:val="left"/>
        <w:rPr>
          <w:rFonts w:ascii="Times New Roman" w:hAnsi="Times New Roman"/>
          <w:sz w:val="20"/>
        </w:rPr>
      </w:pPr>
      <w:r>
        <w:rPr>
          <w:rFonts w:ascii="Times New Roman" w:hAnsi="Times New Roman"/>
          <w:sz w:val="20"/>
        </w:rPr>
        <w:t xml:space="preserve">(13) easements, rights-of-way, zoning restrictions, licenses or restrictions on use and other similar encumbrances on the use of real property that: </w:t>
      </w:r>
    </w:p>
    <w:p>
      <w:pPr>
        <w:pStyle w:val="TextBody"/>
        <w:bidi w:val="0"/>
        <w:spacing w:before="120" w:after="0"/>
        <w:jc w:val="left"/>
        <w:rPr>
          <w:rFonts w:ascii="Times New Roman" w:hAnsi="Times New Roman"/>
          <w:sz w:val="20"/>
        </w:rPr>
      </w:pPr>
      <w:r>
        <w:rPr>
          <w:rFonts w:ascii="Times New Roman" w:hAnsi="Times New Roman"/>
          <w:sz w:val="20"/>
        </w:rPr>
        <w:t xml:space="preserve">(a) are not incurred in connection with the borrowing of money or the obtaining of advances or credit (other than trade credit in the ordinary course of business); and </w:t>
      </w:r>
    </w:p>
    <w:p>
      <w:pPr>
        <w:pStyle w:val="TextBody"/>
        <w:bidi w:val="0"/>
        <w:spacing w:before="120" w:after="0"/>
        <w:jc w:val="left"/>
        <w:rPr>
          <w:rFonts w:ascii="Times New Roman" w:hAnsi="Times New Roman"/>
          <w:sz w:val="20"/>
        </w:rPr>
      </w:pPr>
      <w:r>
        <w:rPr>
          <w:rFonts w:ascii="Times New Roman" w:hAnsi="Times New Roman"/>
          <w:sz w:val="20"/>
        </w:rPr>
        <w:t xml:space="preserve">(b) do not in the aggregate materially detract from the value of the property or materially impair the use thereof in the operation of business by the Company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(14) Liens on property of the Company or a Subsidiary of the Company at the time the Company or such Subsidiary acquired the property, including acquisition by means of a merger or consolidation with or into the Company or any Subsidiary, or an acquisition of assets, and any replacement thereof, provided, however, that such Liens are not created, incurred or assumed in connection with or in contemplation of such acquisition, and provided further that such Liens may not extend to any other property owned by the Company or any Subsidiary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leases and subleases of real or personal property in the ordinary course of business (for the avoidance of doubt, excluding sale and lease-back transactions) which do not materially interfere with the ordinary conduct of the business; and </w:t>
      </w:r>
    </w:p>
    <w:p>
      <w:pPr>
        <w:pStyle w:val="TextBody"/>
        <w:bidi w:val="0"/>
        <w:spacing w:before="120" w:after="0"/>
        <w:jc w:val="left"/>
        <w:rPr>
          <w:rFonts w:ascii="Times New Roman" w:hAnsi="Times New Roman"/>
          <w:sz w:val="20"/>
        </w:rPr>
      </w:pPr>
      <w:r>
        <w:rPr>
          <w:rFonts w:ascii="Times New Roman" w:hAnsi="Times New Roman"/>
          <w:sz w:val="20"/>
        </w:rPr>
        <w:t xml:space="preserve">(16) banker’s Liens, rights of set-off or similar rights and remedies as to deposit accounts or other funds maintained with a depositary institution; provided that: </w:t>
      </w:r>
    </w:p>
    <w:p>
      <w:pPr>
        <w:pStyle w:val="TextBody"/>
        <w:bidi w:val="0"/>
        <w:spacing w:before="120" w:after="0"/>
        <w:jc w:val="left"/>
        <w:rPr>
          <w:rFonts w:ascii="Times New Roman" w:hAnsi="Times New Roman"/>
          <w:sz w:val="20"/>
        </w:rPr>
      </w:pPr>
      <w:r>
        <w:rPr>
          <w:rFonts w:ascii="Times New Roman" w:hAnsi="Times New Roman"/>
          <w:sz w:val="20"/>
        </w:rPr>
        <w:t xml:space="preserve">(a) such deposit account is not a dedicated cash collateral account and is not subject to restrictions against access in excess of those set forth by regulations promulgated by the Federal Reserve Board or other applicable law; and </w:t>
      </w:r>
    </w:p>
    <w:p>
      <w:pPr>
        <w:pStyle w:val="TextBody"/>
        <w:bidi w:val="0"/>
        <w:spacing w:before="120" w:after="0"/>
        <w:jc w:val="left"/>
        <w:rPr>
          <w:rFonts w:ascii="Times New Roman" w:hAnsi="Times New Roman"/>
          <w:sz w:val="20"/>
        </w:rPr>
      </w:pPr>
      <w:r>
        <w:rPr>
          <w:rFonts w:ascii="Times New Roman" w:hAnsi="Times New Roman"/>
          <w:sz w:val="20"/>
        </w:rPr>
        <w:t xml:space="preserve">(b) such deposit account is not intended to provide collateral to the depositary institution.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or “</w:t>
      </w:r>
      <w:r>
        <w:rPr>
          <w:rFonts w:ascii="Times New Roman" w:hAnsi="Times New Roman"/>
          <w:b/>
          <w:sz w:val="20"/>
        </w:rPr>
        <w:t>person</w:t>
      </w:r>
      <w:r>
        <w:rPr>
          <w:rFonts w:ascii="Times New Roman" w:hAnsi="Times New Roman"/>
          <w:sz w:val="20"/>
        </w:rPr>
        <w:t xml:space="preserve">” means any individual, corporation, partnership, limited liability company, joint venture, association, joint-stock company, trust, estate, unincorporated organization or government or other agency or political subdivision thereof or any other entity. </w:t>
      </w:r>
    </w:p>
    <w:p>
      <w:pPr>
        <w:pStyle w:val="TextBody"/>
        <w:bidi w:val="0"/>
        <w:spacing w:before="240" w:after="0"/>
        <w:jc w:val="left"/>
        <w:rPr/>
      </w:pPr>
      <w:r>
        <w:rPr/>
        <w:t>“</w:t>
      </w:r>
      <w:r>
        <w:rPr>
          <w:rFonts w:ascii="Times New Roman" w:hAnsi="Times New Roman"/>
          <w:b/>
          <w:sz w:val="20"/>
        </w:rPr>
        <w:t>Ratings Agencies</w:t>
      </w:r>
      <w:r>
        <w:rPr>
          <w:rFonts w:ascii="Times New Roman" w:hAnsi="Times New Roman"/>
          <w:sz w:val="20"/>
        </w:rPr>
        <w:t xml:space="preserve">” means (1) S&amp;P, Moody’s and Fitch; and (2) if any of S&amp;P, Moody’s and Fitch ceases to rate the Securities or ceases to make a rating on the Securities publicly available, an entity registered as a “nationally recognized statistical rating organization” (registered as such pursuant to Rule 17g-1 of the Exchange Act) then making a rating on the Securities publicly available selected by the Company (as certified by an Officers’ Certificate), which shall be substituted for S&amp;P, Moody’s or Fitch, as the case may be. </w:t>
      </w:r>
    </w:p>
    <w:p>
      <w:pPr>
        <w:pStyle w:val="TextBody"/>
        <w:bidi w:val="0"/>
        <w:spacing w:before="240" w:after="0"/>
        <w:jc w:val="left"/>
        <w:rPr/>
      </w:pPr>
      <w:r>
        <w:rPr/>
        <w:t>“</w:t>
      </w:r>
      <w:r>
        <w:rPr>
          <w:rFonts w:ascii="Times New Roman" w:hAnsi="Times New Roman"/>
          <w:b/>
          <w:sz w:val="20"/>
        </w:rPr>
        <w:t>Ratings Decline</w:t>
      </w:r>
      <w:r>
        <w:rPr>
          <w:rFonts w:ascii="Times New Roman" w:hAnsi="Times New Roman"/>
          <w:sz w:val="20"/>
        </w:rPr>
        <w:t xml:space="preserve">” means the occurrence of the following on, or within 90 days after, the date of the public notice of the occurrence of a Change of Control or of the intention by the Company or any third-party to effect a Change of Control (which period shall be extended for so long as the rating of the securities is under publicly announced consideration for possible downgrade by any of the Ratings Agencies if such period exceeds 90 days): (1) in the event that the Securities have an Investment Grade Rating by all three Ratings Agencies, the Securities cease to have an Investment Grade Rating by two of the three Rating Agencies, (2) in the event that the Securities have an Investment Grade Rating by only two Ratings Agencies, the Securities cease to have an Investment Grade Rating by both such Rating Agencies, or (3) in the event that the Securities do not have an Investment Grade Rating, the rating of the Securities by two of the three Ratings Agencies (or if there are less than three Rating Agencies rating the securities, the rating of each Rating Agency) decreases by one or more gradations (including gradations within ratings categories as well as between rating categories) or is withdrawn. </w:t>
      </w:r>
    </w:p>
    <w:p>
      <w:pPr>
        <w:pStyle w:val="TextBody"/>
        <w:bidi w:val="0"/>
        <w:spacing w:before="240" w:after="0"/>
        <w:jc w:val="left"/>
        <w:rPr/>
      </w:pPr>
      <w:r>
        <w:rPr/>
        <w:t>“</w:t>
      </w:r>
      <w:r>
        <w:rPr>
          <w:rFonts w:ascii="Times New Roman" w:hAnsi="Times New Roman"/>
          <w:b/>
          <w:sz w:val="20"/>
        </w:rPr>
        <w:t>Registrar</w:t>
      </w:r>
      <w:r>
        <w:rPr>
          <w:rFonts w:ascii="Times New Roman" w:hAnsi="Times New Roman"/>
          <w:sz w:val="20"/>
        </w:rPr>
        <w:t xml:space="preserve">” has the meaning set forth in Section 2.03. </w:t>
      </w:r>
    </w:p>
    <w:p>
      <w:pPr>
        <w:pStyle w:val="TextBody"/>
        <w:bidi w:val="0"/>
        <w:spacing w:before="240" w:after="0"/>
        <w:jc w:val="left"/>
        <w:rPr/>
      </w:pPr>
      <w:r>
        <w:rPr/>
        <w:t>“</w:t>
      </w:r>
      <w:r>
        <w:rPr>
          <w:rFonts w:ascii="Times New Roman" w:hAnsi="Times New Roman"/>
          <w:b/>
          <w:sz w:val="20"/>
        </w:rPr>
        <w:t>S&amp;P</w:t>
      </w:r>
      <w:r>
        <w:rPr>
          <w:rFonts w:ascii="Times New Roman" w:hAnsi="Times New Roman"/>
          <w:sz w:val="20"/>
        </w:rPr>
        <w:t xml:space="preserve">” means Standard &amp; Poor Rating Services, a division of The McGraw-Hill Companies, Inc., or any successor to the rating agency business thereof.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Securities and Exchange Commission. </w:t>
      </w:r>
    </w:p>
    <w:p>
      <w:pPr>
        <w:pStyle w:val="TextBody"/>
        <w:bidi w:val="0"/>
        <w:spacing w:before="240" w:after="0"/>
        <w:jc w:val="left"/>
        <w:rPr/>
      </w:pPr>
      <w:r>
        <w:rPr/>
        <w:t>“</w:t>
      </w:r>
      <w:r>
        <w:rPr>
          <w:rFonts w:ascii="Times New Roman" w:hAnsi="Times New Roman"/>
          <w:b/>
          <w:sz w:val="20"/>
        </w:rPr>
        <w:t>Securities</w:t>
      </w:r>
      <w:r>
        <w:rPr>
          <w:rFonts w:ascii="Times New Roman" w:hAnsi="Times New Roman"/>
          <w:sz w:val="20"/>
        </w:rPr>
        <w:t xml:space="preserve">” means the 2031 Notes, the 2033 Notes and the 2036 Notes established by this Supplemental Indenture and issued by the Company pursuant to the Indenture.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Securities Act of 1933, as amended, and the rules and regulations of the SEC promulgated thereunder. </w:t>
      </w:r>
    </w:p>
    <w:p>
      <w:pPr>
        <w:pStyle w:val="TextBody"/>
        <w:bidi w:val="0"/>
        <w:spacing w:before="240" w:after="0"/>
        <w:jc w:val="left"/>
        <w:rPr/>
      </w:pPr>
      <w:r>
        <w:rPr/>
        <w:t>“</w:t>
      </w:r>
      <w:r>
        <w:rPr>
          <w:rFonts w:ascii="Times New Roman" w:hAnsi="Times New Roman"/>
          <w:b/>
          <w:sz w:val="20"/>
        </w:rPr>
        <w:t>Securities Agent</w:t>
      </w:r>
      <w:r>
        <w:rPr>
          <w:rFonts w:ascii="Times New Roman" w:hAnsi="Times New Roman"/>
          <w:sz w:val="20"/>
        </w:rPr>
        <w:t xml:space="preserve">” means any Registrar, Paying Agent, or co-Registrar or co-agent.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SpectraSite ABS Facility</w:t>
      </w:r>
      <w:r>
        <w:rPr>
          <w:rFonts w:ascii="Times New Roman" w:hAnsi="Times New Roman"/>
          <w:sz w:val="20"/>
        </w:rPr>
        <w:t xml:space="preserve">” means that certain mortgage loan more fully described in the Offering Memorandum dated March 8, 2023 regarding the $1,800.0 million Secured Tower Revenue Securities, Series 2018-1A and 2013-2A. </w:t>
      </w:r>
    </w:p>
    <w:p>
      <w:pPr>
        <w:pStyle w:val="TextBody"/>
        <w:bidi w:val="0"/>
        <w:spacing w:before="240" w:after="0"/>
        <w:jc w:val="left"/>
        <w:rPr/>
      </w:pPr>
      <w:r>
        <w:rPr/>
        <w:t>“</w:t>
      </w:r>
      <w:r>
        <w:rPr>
          <w:rFonts w:ascii="Times New Roman" w:hAnsi="Times New Roman"/>
          <w:b/>
          <w:sz w:val="20"/>
        </w:rPr>
        <w:t>Stated Maturity</w:t>
      </w:r>
      <w:r>
        <w:rPr>
          <w:rFonts w:ascii="Times New Roman" w:hAnsi="Times New Roman"/>
          <w:sz w:val="20"/>
        </w:rPr>
        <w:t xml:space="preserve">” means, with respect to the payment of principal on the 2031 Notes, September 15, 2031, with respect to the payment of principal on the 2033 Notes, September 15, 2033, and with respect to the payment of principal on the 2036 Notes, September 15, 2036.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means, with respect to any Person, (1) any corporation, limited liability company, association or other business entity of which more than 50% of the voting power of the outstanding Voting Stock is owned, directly or indirectly, by such Person and one or more other Subsidiaries of such Person or (2) any partnership (A) the sole general partner or the managing general partner of which is such Person or a Subsidiary of such Person or (B) the only general partners of which are such Person or one or more Subsidiaries of such Person (or any combination thereof). The term “Subsidiary” with respect to the Company shall not include any Unrestricted Subsidiary. </w:t>
      </w:r>
    </w:p>
    <w:p>
      <w:pPr>
        <w:pStyle w:val="TextBody"/>
        <w:bidi w:val="0"/>
        <w:spacing w:before="240" w:after="0"/>
        <w:jc w:val="left"/>
        <w:rPr/>
      </w:pPr>
      <w:r>
        <w:rPr/>
        <w:t>“</w:t>
      </w:r>
      <w:r>
        <w:rPr>
          <w:rFonts w:ascii="Times New Roman" w:hAnsi="Times New Roman"/>
          <w:b/>
          <w:sz w:val="20"/>
        </w:rPr>
        <w:t>TIA</w:t>
      </w:r>
      <w:r>
        <w:rPr>
          <w:rFonts w:ascii="Times New Roman" w:hAnsi="Times New Roman"/>
          <w:sz w:val="20"/>
        </w:rPr>
        <w:t xml:space="preserve">” means the Trust Indenture Act of 1939 (15 U.S. Code §§ 77aaa-77bbbb) as amended and in effect from time to time. </w:t>
      </w:r>
    </w:p>
    <w:p>
      <w:pPr>
        <w:pStyle w:val="TextBody"/>
        <w:bidi w:val="0"/>
        <w:spacing w:before="240" w:after="0"/>
        <w:jc w:val="left"/>
        <w:rPr/>
      </w:pPr>
      <w:r>
        <w:rPr/>
        <w:t>“</w:t>
      </w:r>
      <w:r>
        <w:rPr>
          <w:rFonts w:ascii="Times New Roman" w:hAnsi="Times New Roman"/>
          <w:b/>
          <w:sz w:val="20"/>
        </w:rPr>
        <w:t>Treasury Rate</w:t>
      </w:r>
      <w:r>
        <w:rPr>
          <w:rFonts w:ascii="Times New Roman" w:hAnsi="Times New Roman"/>
          <w:sz w:val="20"/>
        </w:rPr>
        <w:t xml:space="preserve">” means, with respect to any redemption date, the yield determined by the Company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hAnsi="Times New Roman"/>
          <w:b/>
          <w:sz w:val="20"/>
        </w:rPr>
        <w:t>H.15</w:t>
      </w:r>
      <w:r>
        <w:rPr>
          <w:rFonts w:ascii="Times New Roman" w:hAnsi="Times New Roman"/>
          <w:sz w:val="20"/>
        </w:rPr>
        <w:t>”) under the caption “U.S. government securities–Treasury constant maturities–Nominal” (or any successor caption or heading) (“</w:t>
      </w:r>
      <w:r>
        <w:rPr>
          <w:rFonts w:ascii="Times New Roman" w:hAnsi="Times New Roman"/>
          <w:b/>
          <w:sz w:val="20"/>
        </w:rPr>
        <w:t>H.15 TCM</w:t>
      </w:r>
      <w:r>
        <w:rPr>
          <w:rFonts w:ascii="Times New Roman" w:hAnsi="Times New Roman"/>
          <w:sz w:val="20"/>
        </w:rPr>
        <w:t>”). In determining the Treasury Rate, the Company shall select, as applicable: (1) the yield for the Treasury constant maturity on H.15 exactly equal to the period from the redemption date to the First Par Call Date (the “</w:t>
      </w:r>
      <w:r>
        <w:rPr>
          <w:rFonts w:ascii="Times New Roman" w:hAnsi="Times New Roman"/>
          <w:b/>
          <w:sz w:val="20"/>
        </w:rPr>
        <w:t>Remaining Life</w:t>
      </w:r>
      <w:r>
        <w:rPr>
          <w:rFonts w:ascii="Times New Roman" w:hAnsi="Times New Roman"/>
          <w:sz w:val="20"/>
        </w:rPr>
        <w:t xml:space="preserv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First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First Par Call Date, as applicable. If there is no United States Treasury security maturing on the First Par Call Date but there are two or more United States Treasury securities with a maturity date equally distant from the First Par Call Date, one with a maturity date preceding the First Par Call Date and one with a maturity date following the First Par Call Date, the Company shall select the United States Treasury security with a maturity date preceding the First Par Call Date. If there are two or more United States Treasury securities maturing on the First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Unrestricted Subsidiary</w:t>
      </w:r>
      <w:r>
        <w:rPr>
          <w:rFonts w:ascii="Times New Roman" w:hAnsi="Times New Roman"/>
          <w:sz w:val="20"/>
        </w:rPr>
        <w:t xml:space="preserve">” means (a) any Foreign Subsidiary or Newly Created Subsidiary of the Company that is designated by the Board of Directors as an Unrestricted Subsidiary until such time as the Board of Directors may designate it to be a Subsidiary, provided that no Default or Event of Default would occur or be existing following such designation, and (b) any subsidiary of an Unrestricted Subsidiary. Any such designation by the Board of Directors shall be evidenced to the Trustee by filing a Board Resolution with the Trustee giving effect to such designation. At the time of designation of an Unrestricted Subsidiary as a Subsidiary, such Subsidiary shall be deemed to incur outstanding Indebtedness and grant any existing Liens. </w:t>
      </w:r>
    </w:p>
    <w:p>
      <w:pPr>
        <w:pStyle w:val="TextBody"/>
        <w:bidi w:val="0"/>
        <w:spacing w:before="240" w:after="0"/>
        <w:jc w:val="left"/>
        <w:rPr/>
      </w:pPr>
      <w:r>
        <w:rPr/>
        <w:t>“</w:t>
      </w:r>
      <w:r>
        <w:rPr>
          <w:rFonts w:ascii="Times New Roman" w:hAnsi="Times New Roman"/>
          <w:b/>
          <w:sz w:val="20"/>
        </w:rPr>
        <w:t>Voting Stock</w:t>
      </w:r>
      <w:r>
        <w:rPr>
          <w:rFonts w:ascii="Times New Roman" w:hAnsi="Times New Roman"/>
          <w:sz w:val="20"/>
        </w:rPr>
        <w:t xml:space="preserve">” of any Person as of any date means the Capital Stock of such Person that is normally entitled to vote in the election of the board of directors, managers or trustees of such Person.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1.02. INCORPORATION BY REFERENCE OF TRUST INDENTURE ACT. </w:t>
      </w:r>
    </w:p>
    <w:p>
      <w:pPr>
        <w:pStyle w:val="TextBody"/>
        <w:bidi w:val="0"/>
        <w:spacing w:before="120" w:after="0"/>
        <w:jc w:val="left"/>
        <w:rPr>
          <w:rFonts w:ascii="Times New Roman" w:hAnsi="Times New Roman"/>
          <w:sz w:val="20"/>
        </w:rPr>
      </w:pPr>
      <w:r>
        <w:rPr>
          <w:rFonts w:ascii="Times New Roman" w:hAnsi="Times New Roman"/>
          <w:sz w:val="20"/>
        </w:rPr>
        <w:t xml:space="preserve">Whenever this Indenture refers to a provision of the TIA, the provision is incorporated by reference in and made a part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TIA terms used in this Indenture have the following meanings: </w:t>
      </w:r>
    </w:p>
    <w:p>
      <w:pPr>
        <w:pStyle w:val="TextBody"/>
        <w:bidi w:val="0"/>
        <w:spacing w:before="240" w:after="0"/>
        <w:jc w:val="left"/>
        <w:rPr/>
      </w:pPr>
      <w:r>
        <w:rPr/>
        <w:t>“</w:t>
      </w:r>
      <w:r>
        <w:rPr>
          <w:rFonts w:ascii="Times New Roman" w:hAnsi="Times New Roman"/>
          <w:b/>
          <w:sz w:val="20"/>
        </w:rPr>
        <w:t>Commission</w:t>
      </w:r>
      <w:r>
        <w:rPr>
          <w:rFonts w:ascii="Times New Roman" w:hAnsi="Times New Roman"/>
          <w:sz w:val="20"/>
        </w:rPr>
        <w:t xml:space="preserve">” means the SEC; </w:t>
      </w:r>
    </w:p>
    <w:p>
      <w:pPr>
        <w:pStyle w:val="TextBody"/>
        <w:bidi w:val="0"/>
        <w:spacing w:before="240" w:after="0"/>
        <w:jc w:val="left"/>
        <w:rPr/>
      </w:pPr>
      <w:r>
        <w:rPr/>
        <w:t>“</w:t>
      </w:r>
      <w:r>
        <w:rPr>
          <w:rFonts w:ascii="Times New Roman" w:hAnsi="Times New Roman"/>
          <w:b/>
          <w:sz w:val="20"/>
        </w:rPr>
        <w:t>indenture securities</w:t>
      </w:r>
      <w:r>
        <w:rPr>
          <w:rFonts w:ascii="Times New Roman" w:hAnsi="Times New Roman"/>
          <w:sz w:val="20"/>
        </w:rPr>
        <w:t xml:space="preserve">” means the Securities; </w:t>
      </w:r>
    </w:p>
    <w:p>
      <w:pPr>
        <w:pStyle w:val="TextBody"/>
        <w:bidi w:val="0"/>
        <w:spacing w:before="240" w:after="0"/>
        <w:jc w:val="left"/>
        <w:rPr/>
      </w:pPr>
      <w:r>
        <w:rPr/>
        <w:t>“</w:t>
      </w:r>
      <w:r>
        <w:rPr>
          <w:rFonts w:ascii="Times New Roman" w:hAnsi="Times New Roman"/>
          <w:b/>
          <w:sz w:val="20"/>
        </w:rPr>
        <w:t>indenture security holder</w:t>
      </w:r>
      <w:r>
        <w:rPr>
          <w:rFonts w:ascii="Times New Roman" w:hAnsi="Times New Roman"/>
          <w:sz w:val="20"/>
        </w:rPr>
        <w:t xml:space="preserve">” means a Securityholder or a Holder; </w:t>
      </w:r>
    </w:p>
    <w:p>
      <w:pPr>
        <w:pStyle w:val="TextBody"/>
        <w:bidi w:val="0"/>
        <w:spacing w:before="240" w:after="0"/>
        <w:jc w:val="left"/>
        <w:rPr/>
      </w:pPr>
      <w:r>
        <w:rPr/>
        <w:t>“</w:t>
      </w:r>
      <w:r>
        <w:rPr>
          <w:rFonts w:ascii="Times New Roman" w:hAnsi="Times New Roman"/>
          <w:b/>
          <w:sz w:val="20"/>
        </w:rPr>
        <w:t>indenture to be qualified</w:t>
      </w:r>
      <w:r>
        <w:rPr>
          <w:rFonts w:ascii="Times New Roman" w:hAnsi="Times New Roman"/>
          <w:sz w:val="20"/>
        </w:rPr>
        <w:t xml:space="preserve">” means this Indenture; and </w:t>
      </w:r>
    </w:p>
    <w:p>
      <w:pPr>
        <w:pStyle w:val="TextBody"/>
        <w:bidi w:val="0"/>
        <w:spacing w:before="240" w:after="0"/>
        <w:jc w:val="left"/>
        <w:rPr/>
      </w:pPr>
      <w:r>
        <w:rPr/>
        <w:t>“</w:t>
      </w:r>
      <w:r>
        <w:rPr>
          <w:rFonts w:ascii="Times New Roman" w:hAnsi="Times New Roman"/>
          <w:b/>
          <w:sz w:val="20"/>
        </w:rPr>
        <w:t>obligor</w:t>
      </w:r>
      <w:r>
        <w:rPr>
          <w:rFonts w:ascii="Times New Roman" w:hAnsi="Times New Roman"/>
          <w:sz w:val="20"/>
        </w:rPr>
        <w:t xml:space="preserve">” on the indenture securities means the Company or any successor. </w:t>
      </w:r>
    </w:p>
    <w:p>
      <w:pPr>
        <w:pStyle w:val="TextBody"/>
        <w:bidi w:val="0"/>
        <w:spacing w:before="240" w:after="0"/>
        <w:jc w:val="left"/>
        <w:rPr>
          <w:rFonts w:ascii="Times New Roman" w:hAnsi="Times New Roman"/>
          <w:sz w:val="20"/>
        </w:rPr>
      </w:pPr>
      <w:r>
        <w:rPr>
          <w:rFonts w:ascii="Times New Roman" w:hAnsi="Times New Roman"/>
          <w:sz w:val="20"/>
        </w:rPr>
        <w:t xml:space="preserve">All other terms used in this Indenture that are defined by the TIA, defined by the TIA by reference to another statute or defined by SEC rule under the TIA and not otherwise defined herein have the meanings so assigned to them.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1.03. RULES OF CONSTRUCTION. </w:t>
      </w:r>
    </w:p>
    <w:p>
      <w:pPr>
        <w:pStyle w:val="TextBody"/>
        <w:bidi w:val="0"/>
        <w:spacing w:before="120" w:after="0"/>
        <w:jc w:val="left"/>
        <w:rPr>
          <w:rFonts w:ascii="Times New Roman" w:hAnsi="Times New Roman"/>
          <w:sz w:val="20"/>
        </w:rPr>
      </w:pPr>
      <w:r>
        <w:rPr>
          <w:rFonts w:ascii="Times New Roman" w:hAnsi="Times New Roman"/>
          <w:sz w:val="20"/>
        </w:rPr>
        <w:t xml:space="preserve">Unless the context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(i) a term has the meaning assigned to it; </w:t>
      </w:r>
    </w:p>
    <w:p>
      <w:pPr>
        <w:pStyle w:val="TextBody"/>
        <w:bidi w:val="0"/>
        <w:spacing w:before="120" w:after="0"/>
        <w:jc w:val="left"/>
        <w:rPr>
          <w:rFonts w:ascii="Times New Roman" w:hAnsi="Times New Roman"/>
          <w:sz w:val="20"/>
        </w:rPr>
      </w:pPr>
      <w:r>
        <w:rPr>
          <w:rFonts w:ascii="Times New Roman" w:hAnsi="Times New Roman"/>
          <w:sz w:val="20"/>
        </w:rPr>
        <w:t xml:space="preserve">(ii) an accounting term not otherwise defined has the meaning assigned to it in accordance with generally accepted accounting principles in effect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(iii) “or” is not exclusive; </w:t>
      </w:r>
    </w:p>
    <w:p>
      <w:pPr>
        <w:pStyle w:val="TextBody"/>
        <w:bidi w:val="0"/>
        <w:spacing w:before="120" w:after="0"/>
        <w:jc w:val="left"/>
        <w:rPr>
          <w:rFonts w:ascii="Times New Roman" w:hAnsi="Times New Roman"/>
          <w:sz w:val="20"/>
        </w:rPr>
      </w:pPr>
      <w:r>
        <w:rPr>
          <w:rFonts w:ascii="Times New Roman" w:hAnsi="Times New Roman"/>
          <w:sz w:val="20"/>
        </w:rPr>
        <w:t xml:space="preserve">(iv) “including” means “including without limitation”; </w:t>
      </w:r>
    </w:p>
    <w:p>
      <w:pPr>
        <w:pStyle w:val="TextBody"/>
        <w:bidi w:val="0"/>
        <w:spacing w:before="120" w:after="0"/>
        <w:jc w:val="left"/>
        <w:rPr>
          <w:rFonts w:ascii="Times New Roman" w:hAnsi="Times New Roman"/>
          <w:sz w:val="20"/>
        </w:rPr>
      </w:pPr>
      <w:r>
        <w:rPr>
          <w:rFonts w:ascii="Times New Roman" w:hAnsi="Times New Roman"/>
          <w:sz w:val="20"/>
        </w:rPr>
        <w:t xml:space="preserve">(v) words in the singular include the plural and in the plural include the singular; </w:t>
      </w:r>
    </w:p>
    <w:p>
      <w:pPr>
        <w:pStyle w:val="TextBody"/>
        <w:bidi w:val="0"/>
        <w:spacing w:before="120" w:after="0"/>
        <w:jc w:val="left"/>
        <w:rPr>
          <w:rFonts w:ascii="Times New Roman" w:hAnsi="Times New Roman"/>
          <w:sz w:val="20"/>
        </w:rPr>
      </w:pPr>
      <w:r>
        <w:rPr>
          <w:rFonts w:ascii="Times New Roman" w:hAnsi="Times New Roman"/>
          <w:sz w:val="20"/>
        </w:rPr>
        <w:t xml:space="preserve">(vi) provisions apply to successive events and transactions; </w:t>
      </w:r>
    </w:p>
    <w:p>
      <w:pPr>
        <w:pStyle w:val="TextBody"/>
        <w:bidi w:val="0"/>
        <w:spacing w:before="120" w:after="0"/>
        <w:jc w:val="left"/>
        <w:rPr>
          <w:rFonts w:ascii="Times New Roman" w:hAnsi="Times New Roman"/>
          <w:sz w:val="20"/>
        </w:rPr>
      </w:pPr>
      <w:r>
        <w:rPr>
          <w:rFonts w:ascii="Times New Roman" w:hAnsi="Times New Roman"/>
          <w:sz w:val="20"/>
        </w:rPr>
        <w:t xml:space="preserve">(vii) “herein,” “hereof” and other words of similar import refer to this Indenture as a whole and not to any particular Article, Section or other subdivision of this Indenture; and </w:t>
      </w:r>
    </w:p>
    <w:p>
      <w:pPr>
        <w:pStyle w:val="TextBody"/>
        <w:bidi w:val="0"/>
        <w:spacing w:before="120" w:after="0"/>
        <w:jc w:val="left"/>
        <w:rPr>
          <w:rFonts w:ascii="Times New Roman" w:hAnsi="Times New Roman"/>
          <w:sz w:val="20"/>
        </w:rPr>
      </w:pPr>
      <w:r>
        <w:rPr>
          <w:rFonts w:ascii="Times New Roman" w:hAnsi="Times New Roman"/>
          <w:sz w:val="20"/>
        </w:rPr>
        <w:t xml:space="preserve">(viii) references to currency shall mean the lawful currency of the United States of America, unless the context requires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to the extent that the terms of this Supplemental Indenture are inconsistent or conflict with the terms of the Base Indenture, then, for purposes of the Securities, the terms of this Supplemental Indenture shall apply to the extent of such inconsistency or conflict.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THE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2.01. FORM AND DATING.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and the Trustee’s certificate of authentication shall be substantially in the form set forth in Exhibit A-1 (in the case of the 2031 Notes), Exhibit A-2 (in the case of the 2033 Notes) and Exhibit A-3 (in the case of the 2036 Notes), which are incorporated in and form part of this Indenture. The Securities may have notations, legends or endorsements required by law, stock exchange rule or usage. Each Security shall be dated the date of its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shall be issued initially in the form of one or more Global Securities, substantially in the form set forth in Exhibit A-1 (in the case of the 2031 Notes), Exhibit A-2 (in the case of the 2033 Notes) and Exhibit A-3 (in the case of the 2036 Notes), deposited with the Trustee, as custodian for DTC (who shall be the initial Depositary with respect to the Securities), duly executed by the Company and authenticated by the Trustee and bearing the legend set forth in Exhibit B. The aggregate principal amount of the Global Security may from time to time be increased or decreased by adjustments made on the records of the Trustee, as custodian for the Depository, as hereinafter provided; </w:t>
      </w:r>
      <w:r>
        <w:rPr>
          <w:rFonts w:ascii="Times New Roman" w:hAnsi="Times New Roman"/>
          <w:i/>
          <w:sz w:val="20"/>
        </w:rPr>
        <w:t>provided</w:t>
      </w:r>
      <w:r>
        <w:rPr>
          <w:rFonts w:ascii="Times New Roman" w:hAnsi="Times New Roman"/>
          <w:sz w:val="20"/>
        </w:rPr>
        <w:t xml:space="preserve">, that, except as permitted by Section 2.13, in no event shall (i) the aggregate principal amount of the Global Security or Global Securities for the 2031 Notes exceed $500,000,000, (ii) the aggregate principal amount of the Global Security or Global Securities for the 2033 Notes exceed $500,000,000 and (iii) the aggregate principal amount of the Global Security or Global Securities for the 2036 Notes exceed $600,000,000. </w:t>
      </w:r>
    </w:p>
    <w:p>
      <w:pPr>
        <w:pStyle w:val="TextBody"/>
        <w:bidi w:val="0"/>
        <w:spacing w:before="240" w:after="0"/>
        <w:jc w:val="left"/>
        <w:rPr>
          <w:rFonts w:ascii="Times New Roman" w:hAnsi="Times New Roman"/>
          <w:sz w:val="20"/>
        </w:rPr>
      </w:pPr>
      <w:r>
        <w:rPr>
          <w:rFonts w:ascii="Times New Roman" w:hAnsi="Times New Roman"/>
          <w:sz w:val="20"/>
        </w:rPr>
        <w:t xml:space="preserve">Securities in the form of Physical Securities issued in exchange for Securities represented by interests in a Global Security pursuant to Section 3.08 of the Base Indenture may be issued in the form of permanent certificated Securities in registered form in substantially the form set forth in Exhibit A-1 (in the case of the 2031 Notes), Exhibit A-2 (in the case of the 2033 Notes) and Exhibit A-3 (in the case of the 2036 Notes) and, if applicable, bearing any legends required hereby.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shall be denominated in Dollars, and all cash payments due thereon shall be made in Dollars. The Securities shall be issuable only in registered form without interest coupons and only in denominations of $2,000 principal amount and integral multiples of $1,000 in excess thereof.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2.02. EXECUTION AND AUTHENTICATION OF SECURITIES. </w:t>
      </w:r>
    </w:p>
    <w:p>
      <w:pPr>
        <w:pStyle w:val="TextBody"/>
        <w:bidi w:val="0"/>
        <w:spacing w:before="120" w:after="0"/>
        <w:jc w:val="left"/>
        <w:rPr>
          <w:rFonts w:ascii="Times New Roman" w:hAnsi="Times New Roman"/>
          <w:sz w:val="20"/>
        </w:rPr>
      </w:pPr>
      <w:r>
        <w:rPr>
          <w:rFonts w:ascii="Times New Roman" w:hAnsi="Times New Roman"/>
          <w:sz w:val="20"/>
        </w:rPr>
        <w:t>Upon a Company Order, the Trustee shall authenticate the 2031 Notes for original issue in the aggregate principal amount of $500,000,000, the 2033 Notes for original issue in the aggregate principal amount of $500,000,000 and the 2036 Notes for original issue in the aggregate principal amount of $600,000,000 (the “</w:t>
      </w:r>
      <w:r>
        <w:rPr>
          <w:rFonts w:ascii="Times New Roman" w:hAnsi="Times New Roman"/>
          <w:b/>
          <w:sz w:val="20"/>
        </w:rPr>
        <w:t>Original Securities</w:t>
      </w:r>
      <w:r>
        <w:rPr>
          <w:rFonts w:ascii="Times New Roman" w:hAnsi="Times New Roman"/>
          <w:sz w:val="20"/>
        </w:rPr>
        <w:t xml:space="preserve">”). Each party agrees that the Securities may be executed by the Company and authenticated by the Trustee by manual, facsimile or electronic signature (including, without limitation, DocuSign and AdobeSign and other similar applications). The signature shall be conclusive evidence that the Securities have been authenticated under the Indenture.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2.03. REGISTRAR AND PAYING AGENT. </w:t>
      </w:r>
    </w:p>
    <w:p>
      <w:pPr>
        <w:pStyle w:val="TextBody"/>
        <w:bidi w:val="0"/>
        <w:spacing w:before="120" w:after="0"/>
        <w:jc w:val="left"/>
        <w:rPr>
          <w:rFonts w:ascii="Times New Roman" w:hAnsi="Times New Roman"/>
          <w:sz w:val="20"/>
        </w:rPr>
      </w:pPr>
      <w:r>
        <w:rPr>
          <w:rFonts w:ascii="Times New Roman" w:hAnsi="Times New Roman"/>
          <w:sz w:val="20"/>
        </w:rPr>
        <w:t>The Company shall maintain an office or agency where Securities may be presented for registration of transfer or for exchange (“</w:t>
      </w:r>
      <w:r>
        <w:rPr>
          <w:rFonts w:ascii="Times New Roman" w:hAnsi="Times New Roman"/>
          <w:b/>
          <w:sz w:val="20"/>
        </w:rPr>
        <w:t>Registrar</w:t>
      </w:r>
      <w:r>
        <w:rPr>
          <w:rFonts w:ascii="Times New Roman" w:hAnsi="Times New Roman"/>
          <w:sz w:val="20"/>
        </w:rPr>
        <w:t>”) and an office or agency where Securities may be presented for payment (“</w:t>
      </w:r>
      <w:r>
        <w:rPr>
          <w:rFonts w:ascii="Times New Roman" w:hAnsi="Times New Roman"/>
          <w:b/>
          <w:sz w:val="20"/>
        </w:rPr>
        <w:t>Paying Agent</w:t>
      </w:r>
      <w:r>
        <w:rPr>
          <w:rFonts w:ascii="Times New Roman" w:hAnsi="Times New Roman"/>
          <w:sz w:val="20"/>
        </w:rPr>
        <w:t>”). The Corporate Trust Office shall serve as the office or agency for the aforementioned purposes. The Registrar shall keep a register of the Securities and of their transfer and exchange. The Company may appoint or change one or more co-Registrars, one or more additional paying agents upon reasonable prior written notice to the Trustee and may act in any such capacity on its own behalf. The term “</w:t>
      </w:r>
      <w:r>
        <w:rPr>
          <w:rFonts w:ascii="Times New Roman" w:hAnsi="Times New Roman"/>
          <w:b/>
          <w:sz w:val="20"/>
        </w:rPr>
        <w:t>Registrar</w:t>
      </w:r>
      <w:r>
        <w:rPr>
          <w:rFonts w:ascii="Times New Roman" w:hAnsi="Times New Roman"/>
          <w:sz w:val="20"/>
        </w:rPr>
        <w:t>” includes any co-Registrar and the term “</w:t>
      </w:r>
      <w:r>
        <w:rPr>
          <w:rFonts w:ascii="Times New Roman" w:hAnsi="Times New Roman"/>
          <w:b/>
          <w:sz w:val="20"/>
        </w:rPr>
        <w:t>Paying Agent</w:t>
      </w:r>
      <w:r>
        <w:rPr>
          <w:rFonts w:ascii="Times New Roman" w:hAnsi="Times New Roman"/>
          <w:sz w:val="20"/>
        </w:rPr>
        <w:t xml:space="preserve">” includes any additional paying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shall enter into an appropriate agency agreement with any Securities Agent not a party to this Indenture. The agreement shall implement the provisions of this Indenture that relate to such Securities Agent. The Company shall notify the Trustee in writing of the name and address of any Securities Agent not a party to this Indenture. If the Company fails to maintain a Registrar or Paying Agent, the Trustee shall act as such. </w:t>
      </w:r>
    </w:p>
    <w:p>
      <w:pPr>
        <w:pStyle w:val="TextBody"/>
        <w:bidi w:val="0"/>
        <w:spacing w:before="240" w:after="0"/>
        <w:jc w:val="left"/>
        <w:rPr>
          <w:rFonts w:ascii="Times New Roman" w:hAnsi="Times New Roman"/>
          <w:sz w:val="20"/>
        </w:rPr>
      </w:pPr>
      <w:r>
        <w:rPr>
          <w:rFonts w:ascii="Times New Roman" w:hAnsi="Times New Roman"/>
          <w:sz w:val="20"/>
        </w:rPr>
        <w:t xml:space="preserve">The Company initially appoints the Trustee as Paying Agent and Registrar.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Securities, the Payment Office shall be the corporate trust office of the Trustee set forth in Section 4.02 of the Base Indenture.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2.04. PAYING AGENT TO HOLD MONEY IN TRUST. </w:t>
      </w:r>
    </w:p>
    <w:p>
      <w:pPr>
        <w:pStyle w:val="TextBody"/>
        <w:bidi w:val="0"/>
        <w:spacing w:before="120" w:after="0"/>
        <w:jc w:val="left"/>
        <w:rPr>
          <w:rFonts w:ascii="Times New Roman" w:hAnsi="Times New Roman"/>
          <w:sz w:val="20"/>
        </w:rPr>
      </w:pPr>
      <w:r>
        <w:rPr>
          <w:rFonts w:ascii="Times New Roman" w:hAnsi="Times New Roman"/>
          <w:sz w:val="20"/>
        </w:rPr>
        <w:t xml:space="preserve">Each Paying Agent shall hold in trust for the benefit of the Securityholders or the Trustee all moneys held by the Paying Agent for the payment of the Securities, and shall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shall have no further liability for such money. If the Company acts as Paying Agent, it shall segregate and hold as a separate trust fund all money held by it as Paying Agent.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2.05. 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The Company or the Trustee, as the case may be, shall not be required to register the transfer of or exchange any Security selected for redemption in whole or in part, in accordance with this Indenture, except the unredeemed portion of Securities being redeemed in part.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shall be made for any transfer or exchange of Securities, but the Company may require payment of a sum sufficient to cover any transfer tax or similar governmental charge that may be imposed in connection with any transfer or exchange of Securities, other than exchanges pursuant to Section 3.11 or Section 7.05 of the Base Indenture or Section 4.01(b) or Article III, not involving any transfer.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2.06. OUTSTANDING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outstanding at any time are all the Securities authenticated by the Trustee except for those canceled by it, those delivered to it for cancellation, those reductions in the interest in a Global Security effected by the Trustee in accordance with the provisions hereof, and those described in this Section and the Base Indenture as not outstanding. Except as set forth in Section 3.13 of the Base Indenture, a Security does not cease to be outstanding because the Company or an affiliate of the Company holds the Security. </w:t>
      </w:r>
    </w:p>
    <w:p>
      <w:pPr>
        <w:pStyle w:val="TextBody"/>
        <w:bidi w:val="0"/>
        <w:spacing w:before="240" w:after="0"/>
        <w:jc w:val="left"/>
        <w:rPr>
          <w:rFonts w:ascii="Times New Roman" w:hAnsi="Times New Roman"/>
          <w:sz w:val="20"/>
        </w:rPr>
      </w:pPr>
      <w:r>
        <w:rPr>
          <w:rFonts w:ascii="Times New Roman" w:hAnsi="Times New Roman"/>
          <w:sz w:val="20"/>
        </w:rPr>
        <w:t xml:space="preserve">If a Security is replaced pursuant to Section 3.09 of the Base Indenture, it ceases to be outstanding unless the Trustee receives proof satisfactory to it that the replaced Security is held by a </w:t>
      </w:r>
      <w:r>
        <w:rPr>
          <w:rFonts w:ascii="Times New Roman" w:hAnsi="Times New Roman"/>
          <w:i/>
          <w:sz w:val="20"/>
        </w:rPr>
        <w:t>bona fide</w:t>
      </w:r>
      <w:r>
        <w:rPr>
          <w:rFonts w:ascii="Times New Roman" w:hAnsi="Times New Roman"/>
          <w:sz w:val="20"/>
        </w:rPr>
        <w:t xml:space="preserve"> purchaser. </w:t>
      </w:r>
    </w:p>
    <w:p>
      <w:pPr>
        <w:pStyle w:val="TextBody"/>
        <w:bidi w:val="0"/>
        <w:spacing w:before="240" w:after="0"/>
        <w:jc w:val="left"/>
        <w:rPr>
          <w:rFonts w:ascii="Times New Roman" w:hAnsi="Times New Roman"/>
          <w:sz w:val="20"/>
        </w:rPr>
      </w:pPr>
      <w:r>
        <w:rPr>
          <w:rFonts w:ascii="Times New Roman" w:hAnsi="Times New Roman"/>
          <w:sz w:val="20"/>
        </w:rPr>
        <w:t xml:space="preserve">If the principal amount of any Security is considered paid under Section 4.01 of the Base Indenture, it ceases to be outstanding and interest on it ceases to accrue. </w:t>
      </w:r>
    </w:p>
    <w:p>
      <w:pPr>
        <w:pStyle w:val="TextBody"/>
        <w:bidi w:val="0"/>
        <w:spacing w:before="240" w:after="0"/>
        <w:jc w:val="left"/>
        <w:rPr>
          <w:rFonts w:ascii="Times New Roman" w:hAnsi="Times New Roman"/>
          <w:sz w:val="20"/>
        </w:rPr>
      </w:pPr>
      <w:r>
        <w:rPr>
          <w:rFonts w:ascii="Times New Roman" w:hAnsi="Times New Roman"/>
          <w:sz w:val="20"/>
        </w:rPr>
        <w:t xml:space="preserve">If the Paying Agent (other than the Company, a Subsidiary or an affiliate of any thereof) holds, on a redemption date or maturity date, money sufficient to pay Securities payable on that date, then on and after that date such Securities shall be deemed to be no longer outstanding and shall cease to accrue interest.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2.07. INTEREST PAYMENT AND RECORD DATES. </w:t>
      </w:r>
    </w:p>
    <w:p>
      <w:pPr>
        <w:pStyle w:val="TextBody"/>
        <w:bidi w:val="0"/>
        <w:spacing w:before="120" w:after="0"/>
        <w:jc w:val="left"/>
        <w:rPr>
          <w:rFonts w:ascii="Times New Roman" w:hAnsi="Times New Roman"/>
          <w:sz w:val="20"/>
        </w:rPr>
      </w:pPr>
      <w:r>
        <w:rPr>
          <w:rFonts w:ascii="Times New Roman" w:hAnsi="Times New Roman"/>
          <w:sz w:val="20"/>
        </w:rPr>
        <w:t xml:space="preserve">The Interest Payment Dates for the Securities shall be March 15 and September 15 of each calendar year, beginning with, and including, March 15, 2027. The Regular Record Date for an Interest Payment Date that falls on March 15 shall be the immediately preceding March 1, and the Regular Record Date for an Interest Payment Date that falls on September 15 shall be the immediately preceding September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2.08. NO SINKING FUND. </w:t>
      </w:r>
    </w:p>
    <w:p>
      <w:pPr>
        <w:pStyle w:val="TextBody"/>
        <w:bidi w:val="0"/>
        <w:spacing w:before="120" w:after="0"/>
        <w:jc w:val="left"/>
        <w:rPr>
          <w:rFonts w:ascii="Times New Roman" w:hAnsi="Times New Roman"/>
          <w:sz w:val="20"/>
        </w:rPr>
      </w:pPr>
      <w:r>
        <w:rPr>
          <w:rFonts w:ascii="Times New Roman" w:hAnsi="Times New Roman"/>
          <w:sz w:val="20"/>
        </w:rPr>
        <w:t xml:space="preserve">There shall be no sinking fund with respect to the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2.09. DEFAULTED INTEREST. </w:t>
      </w:r>
    </w:p>
    <w:p>
      <w:pPr>
        <w:pStyle w:val="TextBody"/>
        <w:bidi w:val="0"/>
        <w:spacing w:before="120" w:after="0"/>
        <w:jc w:val="left"/>
        <w:rPr>
          <w:rFonts w:ascii="Times New Roman" w:hAnsi="Times New Roman"/>
          <w:sz w:val="20"/>
        </w:rPr>
      </w:pPr>
      <w:r>
        <w:rPr>
          <w:rFonts w:ascii="Times New Roman" w:hAnsi="Times New Roman"/>
          <w:sz w:val="20"/>
        </w:rPr>
        <w:t xml:space="preserve">If and to the extent the Company defaults in a payment of interest on the Securities, the Company shall pay in cash the defaulted interest in any lawful manner plus, to the extent not prohibited by applicable statute or case law, interest on such defaulted interest at the rate provided in the Securities and in this Section 2.09. The Company may pay the defaulted interest (plus interest on such defaulted interest) to the persons who are Securityholders on a subsequent record date as provided in Section 3.05(c)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pay interest (including post-petition interest in any proceeding under any Bankruptcy Law) on overdue principal on the Securities at the rate equal to 1% per annum in excess of the then applicable interest rate on the Securities of that series to the extent lawful; it shall pay interest (including post-petition interest in any proceeding under any Bankruptcy Law) on overdue installments of interest (without regard to any applicable grace period) on the Securities of any series at the same rate to the extent lawful.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2.10. CUSIP AND ISIN NUMBERS. </w:t>
      </w:r>
    </w:p>
    <w:p>
      <w:pPr>
        <w:pStyle w:val="TextBody"/>
        <w:bidi w:val="0"/>
        <w:spacing w:before="120" w:after="0"/>
        <w:jc w:val="left"/>
        <w:rPr>
          <w:rFonts w:ascii="Times New Roman" w:hAnsi="Times New Roman"/>
          <w:sz w:val="20"/>
        </w:rPr>
      </w:pPr>
      <w:r>
        <w:rPr>
          <w:rFonts w:ascii="Times New Roman" w:hAnsi="Times New Roman"/>
          <w:sz w:val="20"/>
        </w:rPr>
        <w:t xml:space="preserve">The Company in issuing the Securities may use one or more CUSIP and ISIN numbers, and, if so, the Trustee shall use the CUSIP and ISIN numbers in notices of repurchase or exchange as a convenience to Holders;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representation is hereby deemed to be made by the Trustee as to the correctness or accuracy of the CUSIP and ISIN numbers printed on the notice or on the Securities; </w:t>
      </w:r>
      <w:r>
        <w:rPr>
          <w:rFonts w:ascii="Times New Roman" w:hAnsi="Times New Roman"/>
          <w:i/>
          <w:sz w:val="20"/>
        </w:rPr>
        <w:t>provided further</w:t>
      </w:r>
      <w:r>
        <w:rPr>
          <w:rFonts w:ascii="Times New Roman" w:hAnsi="Times New Roman"/>
          <w:sz w:val="20"/>
        </w:rPr>
        <w:t xml:space="preserve">, that reliance may be placed only on the other identification numbers printed on the Securities, and the effectiveness of any such notice shall not be affected by any defect in, or omission of, such CUSIP and ISIN numbers. The Company shall promptly notify the Trustee of any change in the CUSIP and ISIN numbers.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2.11.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shall initially be issued in the form of one or more Global Securities, and the provisions of the Base Indenture (including, but not limited to, Section 3.06 and Section 3.08) relating to Global Securities shall apply to the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2.12. RANKING. </w:t>
      </w:r>
    </w:p>
    <w:p>
      <w:pPr>
        <w:pStyle w:val="TextBody"/>
        <w:bidi w:val="0"/>
        <w:spacing w:before="120" w:after="0"/>
        <w:jc w:val="left"/>
        <w:rPr>
          <w:rFonts w:ascii="Times New Roman" w:hAnsi="Times New Roman"/>
          <w:sz w:val="20"/>
        </w:rPr>
      </w:pPr>
      <w:r>
        <w:rPr>
          <w:rFonts w:ascii="Times New Roman" w:hAnsi="Times New Roman"/>
          <w:sz w:val="20"/>
        </w:rPr>
        <w:t xml:space="preserve">The indebtedness of the Company arising under or in connection with this Indenture and every outstanding Security issued under this Indenture from time to time constitutes and will constitute a senior unsecured obligation of the Company, ranking </w:t>
      </w:r>
      <w:r>
        <w:rPr>
          <w:rFonts w:ascii="Times New Roman" w:hAnsi="Times New Roman"/>
          <w:i/>
          <w:sz w:val="20"/>
        </w:rPr>
        <w:t>pari passu</w:t>
      </w:r>
      <w:r>
        <w:rPr>
          <w:rFonts w:ascii="Times New Roman" w:hAnsi="Times New Roman"/>
          <w:sz w:val="20"/>
        </w:rPr>
        <w:t xml:space="preserve"> in right of payment with each other and with all other existing and future senior unsecured obligations of the Company. Unless the context otherwise requires, the 2031 Notes shall be considered collectively to be a single class for all purposes of this Indenture, the 2033 Notes shall be considered collectively to be a single class for all purposes of this Indenture and the 2036 Notes shall be considered collectively to be a single class for all purposes of this Indenture, including without limitation waivers, amendments, redemptions and Change of Control Offers.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2.13. ADDITIONAL SECURITIES. </w:t>
      </w:r>
    </w:p>
    <w:p>
      <w:pPr>
        <w:pStyle w:val="TextBody"/>
        <w:bidi w:val="0"/>
        <w:spacing w:before="120" w:after="0"/>
        <w:jc w:val="left"/>
        <w:rPr>
          <w:rFonts w:ascii="Times New Roman" w:hAnsi="Times New Roman"/>
          <w:sz w:val="20"/>
        </w:rPr>
      </w:pPr>
      <w:r>
        <w:rPr>
          <w:rFonts w:ascii="Times New Roman" w:hAnsi="Times New Roman"/>
          <w:sz w:val="20"/>
        </w:rPr>
        <w:t>The Company may, from time to time, subject to compliance with any other applicable provisions of this Indenture, without the consent of the Holders, create and issue pursuant to this Indenture additional securities (“</w:t>
      </w:r>
      <w:r>
        <w:rPr>
          <w:rFonts w:ascii="Times New Roman" w:hAnsi="Times New Roman"/>
          <w:b/>
          <w:sz w:val="20"/>
        </w:rPr>
        <w:t>Additional Securities</w:t>
      </w:r>
      <w:r>
        <w:rPr>
          <w:rFonts w:ascii="Times New Roman" w:hAnsi="Times New Roman"/>
          <w:sz w:val="20"/>
        </w:rPr>
        <w:t xml:space="preserve">”) having terms and conditions identical to those of the Securities, except that Additional Securities: </w:t>
      </w:r>
    </w:p>
    <w:p>
      <w:pPr>
        <w:pStyle w:val="TextBody"/>
        <w:bidi w:val="0"/>
        <w:spacing w:before="120" w:after="0"/>
        <w:jc w:val="left"/>
        <w:rPr>
          <w:rFonts w:ascii="Times New Roman" w:hAnsi="Times New Roman"/>
          <w:sz w:val="20"/>
        </w:rPr>
      </w:pPr>
      <w:r>
        <w:rPr>
          <w:rFonts w:ascii="Times New Roman" w:hAnsi="Times New Roman"/>
          <w:sz w:val="20"/>
        </w:rPr>
        <w:t xml:space="preserve">(i) may have a different issue date from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may have a different amount of interest payable on the first Interest Payment Date after issuance than is payable on other Securities; and </w:t>
      </w:r>
    </w:p>
    <w:p>
      <w:pPr>
        <w:pStyle w:val="TextBody"/>
        <w:bidi w:val="0"/>
        <w:spacing w:before="120" w:after="0"/>
        <w:jc w:val="left"/>
        <w:rPr>
          <w:rFonts w:ascii="Times New Roman" w:hAnsi="Times New Roman"/>
          <w:sz w:val="20"/>
        </w:rPr>
      </w:pPr>
      <w:r>
        <w:rPr>
          <w:rFonts w:ascii="Times New Roman" w:hAnsi="Times New Roman"/>
          <w:sz w:val="20"/>
        </w:rPr>
        <w:t xml:space="preserve">(iii) may have terms specified in the Additional Securities Board Resolution or Additional Securities Supplemental Indenture for such Additional Securities making appropriate adjustments to Article II and Exhibit A (and related definitions) applicable to such Additional Securities in order to conform to and ensure compliance with the Securities Act (or other applicable securities laws) and any other agreement applicable to such Additional Securities, which are not adverse in any material respect to the Holder of any Securities (other than such Additional Securities); </w:t>
      </w:r>
      <w:r>
        <w:rPr>
          <w:rFonts w:ascii="Times New Roman" w:hAnsi="Times New Roman"/>
          <w:i/>
          <w:sz w:val="20"/>
        </w:rPr>
        <w:t>provided</w:t>
      </w:r>
      <w:r>
        <w:rPr>
          <w:rFonts w:ascii="Times New Roman" w:hAnsi="Times New Roman"/>
          <w:sz w:val="20"/>
        </w:rPr>
        <w:t xml:space="preserve">, that no adjustment pursuant to this Section 2.13 shall cause such Additional Securities to constitute, as determined pursuant to an Opinion of Counsel, a different class of securities than the Original Securities for U.S. federal income tax purposes. The Original Securities and any Additional Securities would rank equally and ratably and would be treated as a single series of debt securities for all purposes under the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OPTIONAL REDEMPTION; MANDATORY REDEMPTION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3.01. NOTICE TO TRUSTEE.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elects to redeem Securities pursuant to the optional redemption provisions of Section 3.02 hereof, the Company will calculate the redemption price and will notify the Trustee of the redemption price promptly after the calculation thereof. The Trustee shall have no responsibility for any calculation or determination in respect of the redemption price of any Securities, or any component thereof, and shall be entitled to receive, and fully-protected in relying upon, an Officers’ Certificate from the Company that states such redemption price.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3.02. 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(a) The 2031 Notes are redeemable at the Company’s election, in whole or in part, at any time and from time to time. If the Company redeems the 2031 Notes prior to August 15, 2031 (one month prior to their maturity date), it will pay a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 100% of the principal amount of the 2031 Notes to be redeemed then outstanding; and </w:t>
      </w:r>
    </w:p>
    <w:p>
      <w:pPr>
        <w:pStyle w:val="TextBody"/>
        <w:bidi w:val="0"/>
        <w:spacing w:before="120" w:after="0"/>
        <w:jc w:val="left"/>
        <w:rPr>
          <w:rFonts w:ascii="Times New Roman" w:hAnsi="Times New Roman"/>
          <w:sz w:val="20"/>
        </w:rPr>
      </w:pPr>
      <w:r>
        <w:rPr>
          <w:rFonts w:ascii="Times New Roman" w:hAnsi="Times New Roman"/>
          <w:sz w:val="20"/>
        </w:rPr>
        <w:t xml:space="preserve">(2) (a) the sum of the present values of the remaining scheduled payments of principal and interest thereon discounted to the redemption date (assuming the 2031 Notes matured on the First Par Call Date) on a semi-annual basis (assuming a 360-day year consisting of twelve 30-day months) at the Treasury Rate for the 2031 Notes plus 15 basis points less (b) interest accrued to the date of redemption;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of the above cases, accrued and unpaid interest to the date of redemption on the 2031 Notes to be redeemed. </w:t>
      </w:r>
    </w:p>
    <w:p>
      <w:pPr>
        <w:pStyle w:val="TextBody"/>
        <w:bidi w:val="0"/>
        <w:spacing w:before="120" w:after="0"/>
        <w:jc w:val="left"/>
        <w:rPr>
          <w:rFonts w:ascii="Times New Roman" w:hAnsi="Times New Roman"/>
          <w:sz w:val="20"/>
        </w:rPr>
      </w:pPr>
      <w:r>
        <w:rPr>
          <w:rFonts w:ascii="Times New Roman" w:hAnsi="Times New Roman"/>
          <w:sz w:val="20"/>
        </w:rPr>
        <w:t xml:space="preserve">(b) If the Company redeems the 2031 Notes on or after August 15, 2031 (one month prior to their maturity date), it will pay a redemption price equal to 100% of the principal amount of the 2031 Notes to be redeemed plus accrued and unpaid interest to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(c) The 2033 Notes are redeemable at the Company’s election, in whole or in part, at any time and from time to time. If the Company redeems the 2033 Notes prior to July 15, 2033 (two months prior to their maturity date), it will pay a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 100% of the principal amount of the 2033 Notes to be redeemed then outstanding; and </w:t>
      </w:r>
    </w:p>
    <w:p>
      <w:pPr>
        <w:pStyle w:val="TextBody"/>
        <w:bidi w:val="0"/>
        <w:spacing w:before="120" w:after="0"/>
        <w:jc w:val="left"/>
        <w:rPr>
          <w:rFonts w:ascii="Times New Roman" w:hAnsi="Times New Roman"/>
          <w:sz w:val="20"/>
        </w:rPr>
      </w:pPr>
      <w:r>
        <w:rPr>
          <w:rFonts w:ascii="Times New Roman" w:hAnsi="Times New Roman"/>
          <w:sz w:val="20"/>
        </w:rPr>
        <w:t xml:space="preserve">(2) (a) the sum of the present values of the remaining scheduled payments of principal and interest thereon discounted to the redemption date (assuming the 2033 Notes matured on the First Par Call Date) on a semi-annual basis (assuming a 360-day year consisting of twelve 30-day months) at the Treasury Rate for the 2033 Notes plus 15 basis points less (b) interest accrued to the date of redemption;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plus, in either of the above cases, accrued and unpaid interest to the date of redemption on the 2033 Notes to be redeemed. </w:t>
      </w:r>
    </w:p>
    <w:p>
      <w:pPr>
        <w:pStyle w:val="TextBody"/>
        <w:bidi w:val="0"/>
        <w:spacing w:before="120" w:after="0"/>
        <w:jc w:val="left"/>
        <w:rPr>
          <w:rFonts w:ascii="Times New Roman" w:hAnsi="Times New Roman"/>
          <w:sz w:val="20"/>
        </w:rPr>
      </w:pPr>
      <w:r>
        <w:rPr>
          <w:rFonts w:ascii="Times New Roman" w:hAnsi="Times New Roman"/>
          <w:sz w:val="20"/>
        </w:rPr>
        <w:t xml:space="preserve">(d) If the Company redeems the 2033 Notes on or after July 15, 2033 (two months prior to their maturity date), it will pay a redemption price equal to 100% of the principal amount of the 2033 Notes to be redeemed plus accrued and unpaid interest to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(e) The 2036 Notes are redeemable at the Company’s election, in whole or in part, at any time and from time to time. If the Company redeems the 2036 Notes prior to June 15, 2036 (three months prior to their maturity date), it will pay a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 100% of the principal amount of the 2036 Notes to be redeemed then outstanding; and </w:t>
      </w:r>
    </w:p>
    <w:p>
      <w:pPr>
        <w:pStyle w:val="TextBody"/>
        <w:bidi w:val="0"/>
        <w:spacing w:before="120" w:after="0"/>
        <w:jc w:val="left"/>
        <w:rPr>
          <w:rFonts w:ascii="Times New Roman" w:hAnsi="Times New Roman"/>
          <w:sz w:val="20"/>
        </w:rPr>
      </w:pPr>
      <w:r>
        <w:rPr>
          <w:rFonts w:ascii="Times New Roman" w:hAnsi="Times New Roman"/>
          <w:sz w:val="20"/>
        </w:rPr>
        <w:t xml:space="preserve">(2) (a) the sum of the present values of the remaining scheduled payments of principal and interest thereon discounted to the redemption date (assuming the 2036 Notes matured on the First Par Call Date) on a semi-annual basis (assuming a 360-day year consisting of twelve 30-day months) at the Treasury Rate for the 2036 Notes plus 15 basis points less (b) interest accrued to the date of redemption;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of the above cases, accrued and unpaid interest to the date of redemption on the 2036 Notes to be redeemed. </w:t>
      </w:r>
    </w:p>
    <w:p>
      <w:pPr>
        <w:pStyle w:val="TextBody"/>
        <w:bidi w:val="0"/>
        <w:spacing w:before="120" w:after="0"/>
        <w:jc w:val="left"/>
        <w:rPr>
          <w:rFonts w:ascii="Times New Roman" w:hAnsi="Times New Roman"/>
          <w:sz w:val="20"/>
        </w:rPr>
      </w:pPr>
      <w:r>
        <w:rPr>
          <w:rFonts w:ascii="Times New Roman" w:hAnsi="Times New Roman"/>
          <w:sz w:val="20"/>
        </w:rPr>
        <w:t xml:space="preserve">(f) If the Company redeems the 2036 Notes on or after June 15, 2036 (three months prior to their maturity date), it will pay a redemption price equal to 100% of the principal amount of the 2036 Notes to be redeemed plus accrued and unpaid interest to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(g) The Company’s actions and determinations in determining the redemption price shall be conclusive and binding for all purposes, absent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(h) If the optional redemption date is on or after a Regular Record Date and on or before the related Interest Payment Date, the accrued and unpaid interest, if any, will be paid to the person in whose name the security is registered at the close of business on such Regular Record Date. </w:t>
      </w:r>
    </w:p>
    <w:p>
      <w:pPr>
        <w:pStyle w:val="TextBody"/>
        <w:bidi w:val="0"/>
        <w:spacing w:before="120" w:after="0"/>
        <w:jc w:val="left"/>
        <w:rPr>
          <w:rFonts w:ascii="Times New Roman" w:hAnsi="Times New Roman"/>
          <w:sz w:val="20"/>
        </w:rPr>
      </w:pPr>
      <w:r>
        <w:rPr>
          <w:rFonts w:ascii="Times New Roman" w:hAnsi="Times New Roman"/>
          <w:sz w:val="20"/>
        </w:rPr>
        <w:t xml:space="preserve">(i) Any redemption pursuant to this Section 3.02 shall be made pursuant to Section 3.01 hereof and the provisions of Article 9 of the Base Indenture.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3.03. MANDATORY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not be required to make mandatory redemption or sinking fund payments with respect to the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COVENANTS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4.01. ADDITIONAL COVENANTS.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those Covenants set forth in Article 4 of the Base Indenture, the Company shall comply with the following covenants: </w:t>
      </w:r>
    </w:p>
    <w:p>
      <w:pPr>
        <w:pStyle w:val="TextBody"/>
        <w:bidi w:val="0"/>
        <w:spacing w:before="120" w:after="0"/>
        <w:jc w:val="left"/>
        <w:rPr>
          <w:rFonts w:ascii="Times New Roman" w:hAnsi="Times New Roman"/>
          <w:b/>
          <w:sz w:val="20"/>
        </w:rPr>
      </w:pPr>
      <w:r>
        <w:rPr>
          <w:rFonts w:ascii="Times New Roman" w:hAnsi="Times New Roman"/>
          <w:b/>
          <w:sz w:val="20"/>
        </w:rPr>
        <w:t xml:space="preserve">(a) Limitation on Liens.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not, and shall not permit any of its Subsidiaries to, allow any Lien on any of the Company’s or its Subsidiaries’ property or assets (which includes Capital Stock) securing Indebtedness, unless the Lien secures the Securities equally and ratably with, or prior to, any other Indebtedness secured by such Lien, so long as such other Indebtedness is so secured, other than Permitted Liens.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the Company may, and may permit any of its Subsidiaries to, incur Liens securing Indebtedness without equally and ratably securing the Securities if, after giving effect to the incurrence of such Liens, the aggregate amount (without duplication) of the Indebtedness secured by Liens (other than Permitted Liens) on the property or assets (which includes Capital Stock) of the Company and its Subsidiaries shall not exceed the Permitted Amount at the time of the incurrence of such Liens (it being understood that Liens securing SpectraSite ABS Facility shall be deemed to be incurred pursuant to this paragraph). For the avoidance of doubt, “incur” means to create, incur, issue, assume, guarantee or otherwise become directly liable, contingently or otherwise. </w:t>
      </w:r>
    </w:p>
    <w:p>
      <w:pPr>
        <w:pStyle w:val="TextBody"/>
        <w:bidi w:val="0"/>
        <w:spacing w:before="120" w:after="0"/>
        <w:jc w:val="left"/>
        <w:rPr>
          <w:rFonts w:ascii="Times New Roman" w:hAnsi="Times New Roman"/>
          <w:b/>
          <w:sz w:val="20"/>
        </w:rPr>
      </w:pPr>
      <w:r>
        <w:rPr>
          <w:rFonts w:ascii="Times New Roman" w:hAnsi="Times New Roman"/>
          <w:b/>
          <w:sz w:val="20"/>
        </w:rPr>
        <w:t xml:space="preserve">(b) Repurchase of the Securities Upon a Change of Control Triggering Event. </w:t>
      </w:r>
    </w:p>
    <w:p>
      <w:pPr>
        <w:pStyle w:val="TextBody"/>
        <w:bidi w:val="0"/>
        <w:spacing w:before="240" w:after="0"/>
        <w:jc w:val="left"/>
        <w:rPr>
          <w:rFonts w:ascii="Times New Roman" w:hAnsi="Times New Roman"/>
          <w:sz w:val="20"/>
        </w:rPr>
      </w:pPr>
      <w:r>
        <w:rPr>
          <w:rFonts w:ascii="Times New Roman" w:hAnsi="Times New Roman"/>
          <w:sz w:val="20"/>
        </w:rPr>
        <w:t xml:space="preserve">Upon the occurrence of a Change of Control Triggering Event, each Holder of Securities shall have the right to require the Company to repurchase all or any part, equal to $2,000 or an integral multiple of $1,000 thereafter, of that Holder’s Securities, </w:t>
      </w:r>
      <w:r>
        <w:rPr>
          <w:rFonts w:ascii="Times New Roman" w:hAnsi="Times New Roman"/>
          <w:i/>
          <w:sz w:val="20"/>
        </w:rPr>
        <w:t>provided</w:t>
      </w:r>
      <w:r>
        <w:rPr>
          <w:rFonts w:ascii="Times New Roman" w:hAnsi="Times New Roman"/>
          <w:sz w:val="20"/>
        </w:rPr>
        <w:t xml:space="preserve"> that any unpurchased portion of the Securities shall equal $2,000 or an integral multiple of $1,000 thereafter, pursuant to an offer (the “</w:t>
      </w:r>
      <w:r>
        <w:rPr>
          <w:rFonts w:ascii="Times New Roman" w:hAnsi="Times New Roman"/>
          <w:b/>
          <w:sz w:val="20"/>
        </w:rPr>
        <w:t>Change of Control Offer</w:t>
      </w:r>
      <w:r>
        <w:rPr>
          <w:rFonts w:ascii="Times New Roman" w:hAnsi="Times New Roman"/>
          <w:sz w:val="20"/>
        </w:rPr>
        <w:t>”) on the terms set forth in this Indenture at an offer price in cash equal to 101% of the aggregate principal amount of Securities repurchased plus accrued and unpaid interest on the Securities up to but excluding the applicable date of repurchase (the “</w:t>
      </w:r>
      <w:r>
        <w:rPr>
          <w:rFonts w:ascii="Times New Roman" w:hAnsi="Times New Roman"/>
          <w:b/>
          <w:sz w:val="20"/>
        </w:rPr>
        <w:t>Change of Control Payment</w:t>
      </w:r>
      <w:r>
        <w:rPr>
          <w:rFonts w:ascii="Times New Roman" w:hAnsi="Times New Roman"/>
          <w:sz w:val="20"/>
        </w:rPr>
        <w:t>”). Within 30 days following any Change of Control Triggering Event, if the Company had not, prior to the Change of Control Triggering Event, sent a redemption notice for all the Securities in connection with an optional redemption permitted by Section 3.02 hereof, the Company shall give a notice to each registered Holder briefly describing the transaction or transactions that constitute a Change of Control Triggering Event and offering to repurchase Securities on the date specified in such notice (the “</w:t>
      </w:r>
      <w:r>
        <w:rPr>
          <w:rFonts w:ascii="Times New Roman" w:hAnsi="Times New Roman"/>
          <w:b/>
          <w:sz w:val="20"/>
        </w:rPr>
        <w:t>Change of Control Payment Date</w:t>
      </w:r>
      <w:r>
        <w:rPr>
          <w:rFonts w:ascii="Times New Roman" w:hAnsi="Times New Roman"/>
          <w:sz w:val="20"/>
        </w:rPr>
        <w:t xml:space="preserve">”), which date shall be no earlier than 30 days and no later than 60 days from the date the notice is given, pursuant to the procedures required by this Indenture and described in such notice.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comply with the requirements of Rule 14e-1 under the Exchange Act and any other securities laws and regulations thereunder to the extent such laws and regulations are applicable to any Change of Control Offer. To the extent that the provisions of any securities laws or regulations conflict with the provisions of this Section 4.01(b), the Company shall comply with the applicable securities laws and regulations and will not be deemed to have breached its obligations under the provisions of this Section 4.01(b) by virtue of such conflict. </w:t>
      </w:r>
    </w:p>
    <w:p>
      <w:pPr>
        <w:pStyle w:val="TextBody"/>
        <w:bidi w:val="0"/>
        <w:spacing w:before="240" w:after="0"/>
        <w:jc w:val="left"/>
        <w:rPr>
          <w:rFonts w:ascii="Times New Roman" w:hAnsi="Times New Roman"/>
          <w:sz w:val="20"/>
        </w:rPr>
      </w:pPr>
      <w:r>
        <w:rPr>
          <w:rFonts w:ascii="Times New Roman" w:hAnsi="Times New Roman"/>
          <w:sz w:val="20"/>
        </w:rPr>
        <w:t xml:space="preserve">On the Change of Control Payment Date, the Company shall, to the extent lawful: </w:t>
      </w:r>
    </w:p>
    <w:p>
      <w:pPr>
        <w:pStyle w:val="TextBody"/>
        <w:bidi w:val="0"/>
        <w:spacing w:before="120" w:after="0"/>
        <w:jc w:val="left"/>
        <w:rPr>
          <w:rFonts w:ascii="Times New Roman" w:hAnsi="Times New Roman"/>
          <w:sz w:val="20"/>
        </w:rPr>
      </w:pPr>
      <w:r>
        <w:rPr>
          <w:rFonts w:ascii="Times New Roman" w:hAnsi="Times New Roman"/>
          <w:sz w:val="20"/>
        </w:rPr>
        <w:t xml:space="preserve">(1) accept for payment all Securities or portions thereof properly tendered pursuant to the Change of Control Offer; </w:t>
      </w:r>
    </w:p>
    <w:p>
      <w:pPr>
        <w:pStyle w:val="TextBody"/>
        <w:bidi w:val="0"/>
        <w:spacing w:before="120" w:after="0"/>
        <w:jc w:val="left"/>
        <w:rPr>
          <w:rFonts w:ascii="Times New Roman" w:hAnsi="Times New Roman"/>
          <w:sz w:val="20"/>
        </w:rPr>
      </w:pPr>
      <w:r>
        <w:rPr>
          <w:rFonts w:ascii="Times New Roman" w:hAnsi="Times New Roman"/>
          <w:sz w:val="20"/>
        </w:rPr>
        <w:t xml:space="preserve">(2) deposit with the Paying Agent an amount equal to the Change of Control Payment in respect of all Securities or portions thereof properly tendered; and </w:t>
      </w:r>
    </w:p>
    <w:p>
      <w:pPr>
        <w:pStyle w:val="TextBody"/>
        <w:bidi w:val="0"/>
        <w:spacing w:before="120" w:after="0"/>
        <w:jc w:val="left"/>
        <w:rPr>
          <w:rFonts w:ascii="Times New Roman" w:hAnsi="Times New Roman"/>
          <w:sz w:val="20"/>
        </w:rPr>
      </w:pPr>
      <w:r>
        <w:rPr>
          <w:rFonts w:ascii="Times New Roman" w:hAnsi="Times New Roman"/>
          <w:sz w:val="20"/>
        </w:rPr>
        <w:t xml:space="preserve">(3) deliver or cause to be delivered to the Trustee the Securities so accepted together with an Officers’ Certificate stating the aggregate principal amount of Securities or portions thereof being purchased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Paying Agent will promptly mail to each registered Holder of Securities so tendered the Change of Control Payment for such Securities, and the Trustee will promptly authenticate and mail (at the Company’s expense), or cause to be transferred by book entry, to each Holder a new Security equal in principal amount to any unpurchased portion of the Securities surrendered, if any; </w:t>
      </w:r>
      <w:r>
        <w:rPr>
          <w:rFonts w:ascii="Times New Roman" w:hAnsi="Times New Roman"/>
          <w:i/>
          <w:sz w:val="20"/>
        </w:rPr>
        <w:t>provided</w:t>
      </w:r>
      <w:r>
        <w:rPr>
          <w:rFonts w:ascii="Times New Roman" w:hAnsi="Times New Roman"/>
          <w:sz w:val="20"/>
        </w:rPr>
        <w:t xml:space="preserve"> that each such new Security shall be in a principal amount of $2,000 or an integral multiple of $1,000 thereafter. Any Security so accepted for payment shall cease to accrue interest on and after the Change of Control Payment Date. </w:t>
      </w:r>
    </w:p>
    <w:p>
      <w:pPr>
        <w:pStyle w:val="TextBody"/>
        <w:bidi w:val="0"/>
        <w:spacing w:before="240" w:after="0"/>
        <w:jc w:val="left"/>
        <w:rPr>
          <w:rFonts w:ascii="Times New Roman" w:hAnsi="Times New Roman"/>
          <w:sz w:val="20"/>
        </w:rPr>
      </w:pPr>
      <w:r>
        <w:rPr>
          <w:rFonts w:ascii="Times New Roman" w:hAnsi="Times New Roman"/>
          <w:sz w:val="20"/>
        </w:rPr>
        <w:t xml:space="preserve">This Section 4.01(b) shall be applicable, except as described in this Section 4.01(b), regardless of whether or not any other provisions of this Indenture are applicable.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Company shall not be required to make a Change of Control Offer upon a Change of Control Triggering Event if a third party makes the Change of Control Offer in the manner, at the times and otherwise in compliance with the requirements set forth in this Section 4.01(b) applicable to a Change of Control Offer made by the Company and purchases all Securities properly tendered and not withdrawn under the Change of Control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may make a Change of Control Offer in advance of a Change of Control Triggering Event, and conditional upon the occurrence of such Change of Control Triggering Event, if a definitive agreement is in place for the Change of Control Triggering Event at the time of making the Change of Control Offer.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MISCELLANEOUS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5.01. CONFLICT OF ANY PROVISION OF INDENTURE WITH TRUST INDENTURE ACT. </w:t>
      </w:r>
    </w:p>
    <w:p>
      <w:pPr>
        <w:pStyle w:val="TextBody"/>
        <w:bidi w:val="0"/>
        <w:spacing w:before="120" w:after="0"/>
        <w:jc w:val="left"/>
        <w:rPr>
          <w:rFonts w:ascii="Times New Roman" w:hAnsi="Times New Roman"/>
          <w:sz w:val="20"/>
        </w:rPr>
      </w:pPr>
      <w:r>
        <w:rPr>
          <w:rFonts w:ascii="Times New Roman" w:hAnsi="Times New Roman"/>
          <w:sz w:val="20"/>
        </w:rPr>
        <w:t xml:space="preserve">If and to the extent that any provision of this Supplemental Indenture limits, qualifies or conflicts with another provision included in this Supplemental Indenture by operation of Sections 310 to 317, inclusive, of the Trust Indenture Act (an “incorporated provision”), such incorporated provision shall control.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5.02. DUPLICATE ORIGINALS. </w:t>
      </w:r>
    </w:p>
    <w:p>
      <w:pPr>
        <w:pStyle w:val="TextBody"/>
        <w:bidi w:val="0"/>
        <w:spacing w:before="120" w:after="0"/>
        <w:jc w:val="left"/>
        <w:rPr>
          <w:rFonts w:ascii="Times New Roman" w:hAnsi="Times New Roman"/>
          <w:sz w:val="20"/>
        </w:rPr>
      </w:pPr>
      <w:r>
        <w:rPr>
          <w:rFonts w:ascii="Times New Roman" w:hAnsi="Times New Roman"/>
          <w:sz w:val="20"/>
        </w:rPr>
        <w:t xml:space="preserve">The parties may sign any number of copies of this Supplemental Indenture. Each signed copy shall be an original, but all of them together represent the same agreement. Delivery of an executed counterpart by facsimile shall be effective as delivery of a manually executed counterpart thereof.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5.03. NEW YORK LAW TO GOVERN. </w:t>
      </w:r>
    </w:p>
    <w:p>
      <w:pPr>
        <w:pStyle w:val="TextBody"/>
        <w:bidi w:val="0"/>
        <w:spacing w:before="120" w:after="0"/>
        <w:jc w:val="left"/>
        <w:rPr>
          <w:rFonts w:ascii="Times New Roman" w:hAnsi="Times New Roman"/>
          <w:sz w:val="20"/>
        </w:rPr>
      </w:pPr>
      <w:r>
        <w:rPr>
          <w:rFonts w:ascii="Times New Roman" w:hAnsi="Times New Roman"/>
          <w:sz w:val="20"/>
        </w:rPr>
        <w:t xml:space="preserve">THE INTERNAL LAW OF THE STATE OF NEW YORK SHALL GOVERN AND BE USED TO CONSTRUE THIS SUPPLEMENTAL INDENTURE AND THE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5.04. NO ADVERSE INTERPRETATION OF OTHER AGREEMENTS. </w:t>
      </w:r>
    </w:p>
    <w:p>
      <w:pPr>
        <w:pStyle w:val="TextBody"/>
        <w:bidi w:val="0"/>
        <w:spacing w:before="120" w:after="0"/>
        <w:jc w:val="left"/>
        <w:rPr>
          <w:rFonts w:ascii="Times New Roman" w:hAnsi="Times New Roman"/>
          <w:sz w:val="20"/>
        </w:rPr>
      </w:pPr>
      <w:r>
        <w:rPr>
          <w:rFonts w:ascii="Times New Roman" w:hAnsi="Times New Roman"/>
          <w:sz w:val="20"/>
        </w:rPr>
        <w:t xml:space="preserve">This Supplemental Indenture and the Base Indenture may not be used to interpret another indenture, loan or debt agreement of the Company or its Subsidiaries or of any other Person. Any such indenture, loan or debt agreement may not be used to interpret this Supplemental Indenture or the Base Indenture.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5.05. SUCCESSORS AND ASSIGNS OF COMPANY BOUND BY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All the covenants, stipulations, promises and agreements in this Supplemental Indenture contained by or in behalf of the Company shall bind their successors and assigns, whether so expressed or not. All the covenants, stipulations, promises and agreements in this Supplemental Indenture contained by or in behalf of the Trustee shall bind their successors and assigns, whether so expressed or not.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5.06. SEVERABILITY. </w:t>
      </w:r>
    </w:p>
    <w:p>
      <w:pPr>
        <w:pStyle w:val="TextBody"/>
        <w:bidi w:val="0"/>
        <w:spacing w:before="120" w:after="0"/>
        <w:jc w:val="left"/>
        <w:rPr>
          <w:rFonts w:ascii="Times New Roman" w:hAnsi="Times New Roman"/>
          <w:sz w:val="20"/>
        </w:rPr>
      </w:pPr>
      <w:r>
        <w:rPr>
          <w:rFonts w:ascii="Times New Roman" w:hAnsi="Times New Roman"/>
          <w:sz w:val="20"/>
        </w:rPr>
        <w:t xml:space="preserve">If any provision of this Supplemental shall be held to be invalid, illegal or unenforceable under applicable law, then the remaining provisions hereof shall be construed as though such invalid, illegal or unenforceable provision were not contained herein.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5.07. EFFECT OF HEADINGS. </w:t>
      </w:r>
    </w:p>
    <w:p>
      <w:pPr>
        <w:pStyle w:val="TextBody"/>
        <w:bidi w:val="0"/>
        <w:spacing w:before="120" w:after="0"/>
        <w:jc w:val="left"/>
        <w:rPr>
          <w:rFonts w:ascii="Times New Roman" w:hAnsi="Times New Roman"/>
          <w:sz w:val="20"/>
        </w:rPr>
      </w:pPr>
      <w:r>
        <w:rPr>
          <w:rFonts w:ascii="Times New Roman" w:hAnsi="Times New Roman"/>
          <w:sz w:val="20"/>
        </w:rPr>
        <w:t xml:space="preserve">The Article and Section headings in this Supplemental Indenture and the Table of Contents are for convenience only and shall not affect the construction hereof.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b/>
          <w:i/>
          <w:sz w:val="20"/>
        </w:rPr>
        <w:t>The Remainder of This Page Intentionally Left Blank; 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Supplemental Indenture to be duly executed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9"/>
        <w:gridCol w:w="60"/>
        <w:gridCol w:w="3653"/>
      </w:tblGrid>
      <w:tr>
        <w:trPr/>
        <w:tc>
          <w:tcPr>
            <w:tcW w:w="3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AMERICAN TOWER CORPORATION</w:t>
            </w:r>
          </w:p>
        </w:tc>
      </w:tr>
      <w:tr>
        <w:trPr>
          <w:trHeight w:val="240" w:hRule="atLeast"/>
        </w:trPr>
        <w:tc>
          <w:tcPr>
            <w:tcW w:w="369" w:type="dxa"/>
            <w:tcBorders/>
            <w:vAlign w:val="center"/>
          </w:tcPr>
          <w:p>
            <w:pPr>
              <w:pStyle w:val="TableContents"/>
              <w:bidi w:val="0"/>
              <w:spacing w:before="0" w:after="283"/>
              <w:jc w:val="left"/>
              <w:rPr>
                <w:sz w:val="4"/>
                <w:szCs w:val="4"/>
              </w:rPr>
            </w:pPr>
            <w:r>
              <w:rPr>
                <w:sz w:val="4"/>
                <w:szCs w:val="4"/>
              </w:rPr>
            </w:r>
          </w:p>
        </w:tc>
        <w:tc>
          <w:tcPr>
            <w:tcW w:w="3713" w:type="dxa"/>
            <w:gridSpan w:val="2"/>
            <w:tcBorders/>
            <w:vAlign w:val="center"/>
          </w:tcPr>
          <w:p>
            <w:pPr>
              <w:pStyle w:val="TableContents"/>
              <w:bidi w:val="0"/>
              <w:spacing w:before="0" w:after="283"/>
              <w:jc w:val="left"/>
              <w:rPr>
                <w:sz w:val="4"/>
                <w:szCs w:val="4"/>
              </w:rPr>
            </w:pPr>
            <w:r>
              <w:rPr>
                <w:sz w:val="4"/>
                <w:szCs w:val="4"/>
              </w:rPr>
            </w:r>
          </w:p>
        </w:tc>
      </w:tr>
      <w:tr>
        <w:trPr/>
        <w:tc>
          <w:tcPr>
            <w:tcW w:w="3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Ruth T. Dowling</w:t>
            </w:r>
          </w:p>
        </w:tc>
      </w:tr>
      <w:tr>
        <w:trPr/>
        <w:tc>
          <w:tcPr>
            <w:tcW w:w="3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Name: Ruth T. Dowling</w:t>
            </w:r>
          </w:p>
        </w:tc>
      </w:tr>
      <w:tr>
        <w:trPr/>
        <w:tc>
          <w:tcPr>
            <w:tcW w:w="3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Title: Executive Vice President,</w:t>
            </w:r>
          </w:p>
        </w:tc>
      </w:tr>
      <w:tr>
        <w:trPr/>
        <w:tc>
          <w:tcPr>
            <w:tcW w:w="3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Chief Administrative Officer,</w:t>
            </w:r>
          </w:p>
        </w:tc>
      </w:tr>
      <w:tr>
        <w:trPr/>
        <w:tc>
          <w:tcPr>
            <w:tcW w:w="3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General Counsel and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BANK TRUST COMPANY, NATIONAL</w:t>
            </w:r>
          </w:p>
        </w:tc>
      </w:tr>
      <w:tr>
        <w:trPr/>
        <w:tc>
          <w:tcPr>
            <w:tcW w:w="4082" w:type="dxa"/>
            <w:gridSpan w:val="3"/>
            <w:tcBorders/>
          </w:tcPr>
          <w:p>
            <w:pPr>
              <w:pStyle w:val="TableContents"/>
              <w:bidi w:val="0"/>
              <w:spacing w:before="0" w:after="283"/>
              <w:jc w:val="left"/>
              <w:rPr/>
            </w:pPr>
            <w:r>
              <w:rPr/>
              <w:t>ASSOCIATION, AS TRUSTEE</w:t>
            </w:r>
          </w:p>
        </w:tc>
      </w:tr>
      <w:tr>
        <w:trPr>
          <w:trHeight w:val="240" w:hRule="atLeast"/>
        </w:trPr>
        <w:tc>
          <w:tcPr>
            <w:tcW w:w="369" w:type="dxa"/>
            <w:tcBorders/>
            <w:vAlign w:val="center"/>
          </w:tcPr>
          <w:p>
            <w:pPr>
              <w:pStyle w:val="TableContents"/>
              <w:bidi w:val="0"/>
              <w:spacing w:before="0" w:after="283"/>
              <w:jc w:val="left"/>
              <w:rPr>
                <w:sz w:val="4"/>
                <w:szCs w:val="4"/>
              </w:rPr>
            </w:pPr>
            <w:r>
              <w:rPr>
                <w:sz w:val="4"/>
                <w:szCs w:val="4"/>
              </w:rPr>
            </w:r>
          </w:p>
        </w:tc>
        <w:tc>
          <w:tcPr>
            <w:tcW w:w="3713" w:type="dxa"/>
            <w:gridSpan w:val="2"/>
            <w:tcBorders/>
            <w:vAlign w:val="center"/>
          </w:tcPr>
          <w:p>
            <w:pPr>
              <w:pStyle w:val="TableContents"/>
              <w:bidi w:val="0"/>
              <w:spacing w:before="0" w:after="283"/>
              <w:jc w:val="left"/>
              <w:rPr>
                <w:sz w:val="4"/>
                <w:szCs w:val="4"/>
              </w:rPr>
            </w:pPr>
            <w:r>
              <w:rPr>
                <w:sz w:val="4"/>
                <w:szCs w:val="4"/>
              </w:rPr>
            </w:r>
          </w:p>
        </w:tc>
      </w:tr>
      <w:tr>
        <w:trPr/>
        <w:tc>
          <w:tcPr>
            <w:tcW w:w="3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Ivy L. Wegener</w:t>
            </w:r>
          </w:p>
        </w:tc>
      </w:tr>
      <w:tr>
        <w:trPr/>
        <w:tc>
          <w:tcPr>
            <w:tcW w:w="3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Name: Ivy L. Wegener</w:t>
            </w:r>
          </w:p>
        </w:tc>
      </w:tr>
      <w:tr>
        <w:trPr/>
        <w:tc>
          <w:tcPr>
            <w:tcW w:w="3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Supplemental Indenture No.</w:t>
      </w:r>
      <w:r>
        <w:rPr>
          <w:rFonts w:ascii="Times New Roman" w:hAnsi="Times New Roman"/>
          <w:sz w:val="20"/>
        </w:rPr>
        <w:t> </w:t>
      </w:r>
      <w:r>
        <w:rPr>
          <w:rFonts w:ascii="Times New Roman" w:hAnsi="Times New Roman"/>
          <w:i/>
          <w:sz w:val="20"/>
        </w:rPr>
        <w:t>3</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EXHIBIT A-1 </w:t>
      </w:r>
    </w:p>
    <w:p>
      <w:pPr>
        <w:pStyle w:val="TextBody"/>
        <w:bidi w:val="0"/>
        <w:spacing w:before="480" w:after="0"/>
        <w:jc w:val="center"/>
        <w:rPr>
          <w:rFonts w:ascii="Times New Roman" w:hAnsi="Times New Roman"/>
          <w:sz w:val="20"/>
        </w:rPr>
      </w:pPr>
      <w:r>
        <w:rPr>
          <w:rFonts w:ascii="Times New Roman" w:hAnsi="Times New Roman"/>
          <w:sz w:val="20"/>
        </w:rPr>
        <w:t xml:space="preserve">[Face of Security]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AMERICAN TOWER CORPORATION </w:t>
      </w:r>
    </w:p>
    <w:p>
      <w:pPr>
        <w:pStyle w:val="TextBody"/>
        <w:bidi w:val="0"/>
        <w:spacing w:before="240" w:after="0"/>
        <w:jc w:val="left"/>
        <w:rPr>
          <w:rFonts w:ascii="Times New Roman" w:hAnsi="Times New Roman"/>
          <w:sz w:val="20"/>
        </w:rPr>
      </w:pPr>
      <w:r>
        <w:rPr>
          <w:rFonts w:ascii="Times New Roman" w:hAnsi="Times New Roman"/>
          <w:sz w:val="20"/>
        </w:rPr>
        <w:t xml:space="preserve">Certificate No. _______ </w:t>
      </w:r>
    </w:p>
    <w:p>
      <w:pPr>
        <w:pStyle w:val="TextBody"/>
        <w:bidi w:val="0"/>
        <w:spacing w:before="240" w:after="0"/>
        <w:jc w:val="center"/>
        <w:rPr>
          <w:rFonts w:ascii="Times New Roman" w:hAnsi="Times New Roman"/>
          <w:sz w:val="20"/>
        </w:rPr>
      </w:pPr>
      <w:r>
        <w:rPr>
          <w:rFonts w:ascii="Times New Roman" w:hAnsi="Times New Roman"/>
          <w:sz w:val="20"/>
        </w:rPr>
        <w:t xml:space="preserve">[INSERT GLOBAL SECURITY LEGEND AS REQUIRED] </w:t>
      </w:r>
    </w:p>
    <w:p>
      <w:pPr>
        <w:pStyle w:val="TextBody"/>
        <w:bidi w:val="0"/>
        <w:spacing w:before="240" w:after="0"/>
        <w:jc w:val="center"/>
        <w:rPr>
          <w:rFonts w:ascii="Times New Roman" w:hAnsi="Times New Roman"/>
          <w:sz w:val="20"/>
        </w:rPr>
      </w:pPr>
      <w:r>
        <w:rPr>
          <w:rFonts w:ascii="Times New Roman" w:hAnsi="Times New Roman"/>
          <w:sz w:val="20"/>
        </w:rPr>
        <w:t xml:space="preserve">5.300% Senior Notes due 2031 </w:t>
      </w:r>
    </w:p>
    <w:p>
      <w:pPr>
        <w:pStyle w:val="TextBody"/>
        <w:bidi w:val="0"/>
        <w:spacing w:before="240" w:after="0"/>
        <w:jc w:val="center"/>
        <w:rPr>
          <w:rFonts w:ascii="Times New Roman" w:hAnsi="Times New Roman"/>
          <w:sz w:val="20"/>
        </w:rPr>
      </w:pPr>
      <w:r>
        <w:rPr>
          <w:rFonts w:ascii="Times New Roman" w:hAnsi="Times New Roman"/>
          <w:sz w:val="20"/>
        </w:rPr>
        <w:t xml:space="preserve">CUSIP No. 03027XCT5 </w:t>
      </w:r>
    </w:p>
    <w:p>
      <w:pPr>
        <w:pStyle w:val="TextBody"/>
        <w:bidi w:val="0"/>
        <w:spacing w:before="240" w:after="0"/>
        <w:jc w:val="center"/>
        <w:rPr>
          <w:rFonts w:ascii="Times New Roman" w:hAnsi="Times New Roman"/>
          <w:sz w:val="20"/>
        </w:rPr>
      </w:pPr>
      <w:r>
        <w:rPr>
          <w:rFonts w:ascii="Times New Roman" w:hAnsi="Times New Roman"/>
          <w:sz w:val="20"/>
        </w:rPr>
        <w:t xml:space="preserve">ISIN No. US03027XCT54 </w:t>
      </w:r>
    </w:p>
    <w:p>
      <w:pPr>
        <w:pStyle w:val="TextBody"/>
        <w:bidi w:val="0"/>
        <w:spacing w:before="240" w:after="0"/>
        <w:jc w:val="left"/>
        <w:rPr>
          <w:rFonts w:ascii="Times New Roman" w:hAnsi="Times New Roman"/>
          <w:sz w:val="20"/>
        </w:rPr>
      </w:pPr>
      <w:r>
        <w:rPr>
          <w:rFonts w:ascii="Times New Roman" w:hAnsi="Times New Roman"/>
          <w:sz w:val="20"/>
        </w:rPr>
        <w:t>American Tower Corporation, a Delaware corporation (the “</w:t>
      </w:r>
      <w:r>
        <w:rPr>
          <w:rFonts w:ascii="Times New Roman" w:hAnsi="Times New Roman"/>
          <w:b/>
          <w:sz w:val="20"/>
        </w:rPr>
        <w:t>Company</w:t>
      </w:r>
      <w:r>
        <w:rPr>
          <w:rFonts w:ascii="Times New Roman" w:hAnsi="Times New Roman"/>
          <w:sz w:val="20"/>
        </w:rPr>
        <w:t>”), for value received, hereby promises to pay to Cede &amp; Co., or its registered assigns, the principal sum of     dollars ($</w:t>
      </w:r>
      <w:r>
        <w:rPr>
          <w:rFonts w:ascii="Times New Roman" w:hAnsi="Times New Roman"/>
          <w:sz w:val="20"/>
          <w:u w:val="single"/>
        </w:rPr>
        <w:t>  </w:t>
      </w:r>
      <w:r>
        <w:rPr>
          <w:rFonts w:ascii="Times New Roman" w:hAnsi="Times New Roman"/>
          <w:sz w:val="20"/>
        </w:rPr>
        <w:t xml:space="preserve">) on September 15, 2031 and to pay interest thereon, as provided on the reverse hereof, until the principal and any unpaid and accrued interest are paid or duly provided for.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Dates: March 15 and September 15, with the first payment to be made on March 15, 2027. </w:t>
      </w:r>
    </w:p>
    <w:p>
      <w:pPr>
        <w:pStyle w:val="TextBody"/>
        <w:bidi w:val="0"/>
        <w:spacing w:before="240" w:after="0"/>
        <w:jc w:val="left"/>
        <w:rPr>
          <w:rFonts w:ascii="Times New Roman" w:hAnsi="Times New Roman"/>
          <w:sz w:val="20"/>
        </w:rPr>
      </w:pPr>
      <w:r>
        <w:rPr>
          <w:rFonts w:ascii="Times New Roman" w:hAnsi="Times New Roman"/>
          <w:sz w:val="20"/>
        </w:rPr>
        <w:t xml:space="preserve">Regular Record Dates: March 1 and September 1.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on the back of this certificate are incorporated as if set forth on the face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American Tower Corporation has caused this instrument to be duly signed.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25"/>
        <w:gridCol w:w="112"/>
        <w:gridCol w:w="3345"/>
      </w:tblGrid>
      <w:tr>
        <w:trPr/>
        <w:tc>
          <w:tcPr>
            <w:tcW w:w="625"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334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AMERICAN TOWER CORPORATION</w:t>
            </w:r>
          </w:p>
        </w:tc>
      </w:tr>
      <w:tr>
        <w:trPr>
          <w:trHeight w:val="240" w:hRule="atLeast"/>
        </w:trPr>
        <w:tc>
          <w:tcPr>
            <w:tcW w:w="625" w:type="dxa"/>
            <w:tcBorders/>
            <w:vAlign w:val="center"/>
          </w:tcPr>
          <w:p>
            <w:pPr>
              <w:pStyle w:val="TableContents"/>
              <w:bidi w:val="0"/>
              <w:spacing w:before="0" w:after="283"/>
              <w:jc w:val="left"/>
              <w:rPr>
                <w:sz w:val="4"/>
                <w:szCs w:val="4"/>
              </w:rPr>
            </w:pPr>
            <w:r>
              <w:rPr>
                <w:sz w:val="4"/>
                <w:szCs w:val="4"/>
              </w:rPr>
            </w:r>
          </w:p>
        </w:tc>
        <w:tc>
          <w:tcPr>
            <w:tcW w:w="3457" w:type="dxa"/>
            <w:gridSpan w:val="2"/>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283"/>
              <w:jc w:val="left"/>
              <w:rPr/>
            </w:pPr>
            <w:r>
              <w:rPr/>
              <w:t>By:</w:t>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pBdr>
                <w:bottom w:val="single" w:sz="2" w:space="1" w:color="000000"/>
              </w:pBdr>
              <w:bidi w:val="0"/>
              <w:spacing w:before="0" w:after="20"/>
              <w:jc w:val="left"/>
              <w:rPr/>
            </w:pPr>
            <w:r>
              <w:rPr/>
              <w:t> </w:t>
            </w:r>
          </w:p>
        </w:tc>
      </w:tr>
      <w:tr>
        <w:trPr/>
        <w:tc>
          <w:tcPr>
            <w:tcW w:w="62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bidi w:val="0"/>
              <w:spacing w:before="0" w:after="283"/>
              <w:jc w:val="left"/>
              <w:rPr/>
            </w:pPr>
            <w:r>
              <w:rPr/>
              <w:t>Name:</w:t>
            </w:r>
          </w:p>
        </w:tc>
      </w:tr>
      <w:tr>
        <w:trPr/>
        <w:tc>
          <w:tcPr>
            <w:tcW w:w="62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bidi w:val="0"/>
              <w:spacing w:before="0" w:after="283"/>
              <w:jc w:val="left"/>
              <w:rPr/>
            </w:pPr>
            <w:r>
              <w:rPr/>
              <w:t>Title:</w:t>
            </w:r>
          </w:p>
        </w:tc>
      </w:tr>
      <w:tr>
        <w:trPr>
          <w:trHeight w:val="240" w:hRule="atLeast"/>
        </w:trPr>
        <w:tc>
          <w:tcPr>
            <w:tcW w:w="625" w:type="dxa"/>
            <w:tcBorders/>
            <w:vAlign w:val="center"/>
          </w:tcPr>
          <w:p>
            <w:pPr>
              <w:pStyle w:val="TableContents"/>
              <w:bidi w:val="0"/>
              <w:spacing w:before="0" w:after="283"/>
              <w:jc w:val="left"/>
              <w:rPr>
                <w:sz w:val="4"/>
                <w:szCs w:val="4"/>
              </w:rPr>
            </w:pPr>
            <w:r>
              <w:rPr>
                <w:sz w:val="4"/>
                <w:szCs w:val="4"/>
              </w:rPr>
            </w:r>
          </w:p>
        </w:tc>
        <w:tc>
          <w:tcPr>
            <w:tcW w:w="3457" w:type="dxa"/>
            <w:gridSpan w:val="2"/>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283"/>
              <w:jc w:val="left"/>
              <w:rPr/>
            </w:pPr>
            <w:r>
              <w:rPr/>
              <w:t>By:</w:t>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pBdr>
                <w:bottom w:val="single" w:sz="2" w:space="1" w:color="000000"/>
              </w:pBdr>
              <w:bidi w:val="0"/>
              <w:spacing w:before="0" w:after="20"/>
              <w:jc w:val="left"/>
              <w:rPr/>
            </w:pPr>
            <w:r>
              <w:rPr/>
              <w:t> </w:t>
            </w:r>
          </w:p>
        </w:tc>
      </w:tr>
      <w:tr>
        <w:trPr/>
        <w:tc>
          <w:tcPr>
            <w:tcW w:w="62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bidi w:val="0"/>
              <w:spacing w:before="0" w:after="283"/>
              <w:jc w:val="left"/>
              <w:rPr/>
            </w:pPr>
            <w:r>
              <w:rPr/>
              <w:t>Name:</w:t>
            </w:r>
          </w:p>
        </w:tc>
      </w:tr>
      <w:tr>
        <w:trPr/>
        <w:tc>
          <w:tcPr>
            <w:tcW w:w="62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_______________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TRUSTEE’S CERTIFICATE OF AUTHENTICATION </w:t>
      </w:r>
    </w:p>
    <w:p>
      <w:pPr>
        <w:pStyle w:val="TextBody"/>
        <w:bidi w:val="0"/>
        <w:spacing w:before="120" w:after="0"/>
        <w:jc w:val="left"/>
        <w:rPr>
          <w:rFonts w:ascii="Times New Roman" w:hAnsi="Times New Roman"/>
          <w:sz w:val="20"/>
        </w:rPr>
      </w:pPr>
      <w:r>
        <w:rPr>
          <w:rFonts w:ascii="Times New Roman" w:hAnsi="Times New Roman"/>
          <w:sz w:val="20"/>
        </w:rPr>
        <w:t xml:space="preserve">This is one of the Securities of the series designated therein referred to in the within-mentioned Indenture. </w:t>
      </w:r>
    </w:p>
    <w:p>
      <w:pPr>
        <w:pStyle w:val="TextBody"/>
        <w:bidi w:val="0"/>
        <w:spacing w:before="240" w:after="0"/>
        <w:jc w:val="left"/>
        <w:rPr>
          <w:rFonts w:ascii="Times New Roman" w:hAnsi="Times New Roman"/>
          <w:sz w:val="20"/>
        </w:rPr>
      </w:pPr>
      <w:r>
        <w:rPr>
          <w:rFonts w:ascii="Times New Roman" w:hAnsi="Times New Roman"/>
          <w:sz w:val="20"/>
        </w:rPr>
        <w:t xml:space="preserve">U.S. BANK TRUST COMPANY, NATIONAL ASSOCIATION, as Trustee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pBdr>
                <w:bottom w:val="single" w:sz="2" w:space="1" w:color="000000"/>
              </w:pBdr>
              <w:bidi w:val="0"/>
              <w:spacing w:before="0" w:after="20"/>
              <w:jc w:val="left"/>
              <w:rPr/>
            </w:pPr>
            <w:r>
              <w:rPr/>
              <w:t> </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center"/>
              <w:rPr/>
            </w:pPr>
            <w:r>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Dated:</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OF SECURITY]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AMERICAN TOWER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5.300% Senior Notes due 2031 </w:t>
      </w:r>
    </w:p>
    <w:p>
      <w:pPr>
        <w:pStyle w:val="TextBody"/>
        <w:bidi w:val="0"/>
        <w:spacing w:before="0" w:after="0"/>
        <w:jc w:val="center"/>
        <w:rPr>
          <w:rFonts w:ascii="Times New Roman" w:hAnsi="Times New Roman"/>
          <w:b/>
          <w:sz w:val="20"/>
        </w:rPr>
      </w:pPr>
      <w:r>
        <w:rPr>
          <w:rFonts w:ascii="Times New Roman" w:hAnsi="Times New Roman"/>
          <w:b/>
          <w:sz w:val="20"/>
        </w:rPr>
        <w:t xml:space="preserve">(the “Securities”)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b/>
          <w:sz w:val="20"/>
        </w:rPr>
        <w:t>Interest</w:t>
      </w:r>
      <w:r>
        <w:rPr>
          <w:rFonts w:ascii="Times New Roman" w:hAnsi="Times New Roman"/>
          <w:sz w:val="20"/>
        </w:rPr>
        <w:t>. American Tower Corporation, a Delaware corporation (the “</w:t>
      </w:r>
      <w:r>
        <w:rPr>
          <w:rFonts w:ascii="Times New Roman" w:hAnsi="Times New Roman"/>
          <w:b/>
          <w:sz w:val="20"/>
        </w:rPr>
        <w:t>Company</w:t>
      </w:r>
      <w:r>
        <w:rPr>
          <w:rFonts w:ascii="Times New Roman" w:hAnsi="Times New Roman"/>
          <w:sz w:val="20"/>
        </w:rPr>
        <w:t xml:space="preserve">”), promises to pay interest on the principal amount of this Security at the rate </w:t>
      </w:r>
      <w:r>
        <w:rPr>
          <w:rFonts w:ascii="Times New Roman" w:hAnsi="Times New Roman"/>
          <w:i/>
          <w:sz w:val="20"/>
        </w:rPr>
        <w:t>per annum</w:t>
      </w:r>
      <w:r>
        <w:rPr>
          <w:rFonts w:ascii="Times New Roman" w:hAnsi="Times New Roman"/>
          <w:sz w:val="20"/>
        </w:rPr>
        <w:t xml:space="preserve"> shown above. The Company will pay interest, payable semi-annually in arrears, on March 15 and September 15 of each year, with the first payment to be made on March 15, 2027. Interest on the Securities will accrue on the principal amount from, and including, the most recent date to which interest has been paid or provided for or, if no interest has been paid, from, and including, September 14, 2026, in each case to, but excluding, the next Interest Payment Date or the Stated Maturity for the payment of principal on the Securities, as the case may be; </w:t>
      </w:r>
      <w:r>
        <w:rPr>
          <w:rFonts w:ascii="Times New Roman" w:hAnsi="Times New Roman"/>
          <w:i/>
          <w:sz w:val="20"/>
        </w:rPr>
        <w:t>provided</w:t>
      </w:r>
      <w:r>
        <w:rPr>
          <w:rFonts w:ascii="Times New Roman" w:hAnsi="Times New Roman"/>
          <w:sz w:val="20"/>
        </w:rPr>
        <w:t xml:space="preserve"> that if there is no existing Default in the payment of interest, the Company shall pay interest (including post-petition interest in any proceeding under any Bankruptcy Law) on overdue principal and premium, if any, from time to time on demand at a rate that is 1% per annum in excess of the rate then in effect; it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b/>
          <w:sz w:val="20"/>
        </w:rPr>
        <w:t>Maturity</w:t>
      </w:r>
      <w:r>
        <w:rPr>
          <w:rFonts w:ascii="Times New Roman" w:hAnsi="Times New Roman"/>
          <w:sz w:val="20"/>
        </w:rPr>
        <w:t xml:space="preserve">. The Securities will mature on September 15, 2031.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b/>
          <w:sz w:val="20"/>
        </w:rPr>
        <w:t>Method of Payment</w:t>
      </w:r>
      <w:r>
        <w:rPr>
          <w:rFonts w:ascii="Times New Roman" w:hAnsi="Times New Roman"/>
          <w:sz w:val="20"/>
        </w:rPr>
        <w:t xml:space="preserve">. Except as provided in the Indenture (as defined below), the Company shall pay interest on the Securities to the persons who are Holders of record of Securities at the close of business on the Regular Record Date set forth on the face of this Security next preceding the applicable Interest Payment Date. Holders must surrender Securities to a Paying Agent to collect the principal amount. The Company shall pay, in money of the United States that at the time of payment is legal tender for payment of public and private debts, all amounts due in cash with respect to the Securities, which amounts shall be paid (A) in the case this Security is a Global Security, by wire transfer of immediately available funds to the account designated by the Depository for the Securities or its nominee; and (B) in the case this Security is a Physical Security, by mailing a check to the address of the relevant Holder set forth in the Security Register for the Securities. The Company shall pay, in cash, interest on any overdue amount (including, to the extent permitted by applicable law, overdue interest) at the rate borne by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b/>
          <w:sz w:val="20"/>
        </w:rPr>
        <w:t>Paying Agent and Registrar</w:t>
      </w:r>
      <w:r>
        <w:rPr>
          <w:rFonts w:ascii="Times New Roman" w:hAnsi="Times New Roman"/>
          <w:sz w:val="20"/>
        </w:rPr>
        <w:t>. Initially, U.S. Bank Trust Company, National Association (the “</w:t>
      </w:r>
      <w:r>
        <w:rPr>
          <w:rFonts w:ascii="Times New Roman" w:hAnsi="Times New Roman"/>
          <w:b/>
          <w:sz w:val="20"/>
        </w:rPr>
        <w:t>Trustee</w:t>
      </w:r>
      <w:r>
        <w:rPr>
          <w:rFonts w:ascii="Times New Roman" w:hAnsi="Times New Roman"/>
          <w:sz w:val="20"/>
        </w:rPr>
        <w:t xml:space="preserve">”) shall act as Paying Agent and Registrar. The Company may change any Paying Agent or Registrar upon prior written notice to the Trustee. The Company or any of its Subsidiaries may act in any such capacity.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b/>
          <w:sz w:val="20"/>
        </w:rPr>
        <w:t>Indenture</w:t>
      </w:r>
      <w:r>
        <w:rPr>
          <w:rFonts w:ascii="Times New Roman" w:hAnsi="Times New Roman"/>
          <w:sz w:val="20"/>
        </w:rPr>
        <w:t>. The Company issued the Securities under an indenture dated as of June 2, 2025 (as amended, supplemented or otherwise modified from time to time prior to the date hereof, the “</w:t>
      </w:r>
      <w:r>
        <w:rPr>
          <w:rFonts w:ascii="Times New Roman" w:hAnsi="Times New Roman"/>
          <w:b/>
          <w:sz w:val="20"/>
        </w:rPr>
        <w:t>Base Indenture</w:t>
      </w:r>
      <w:r>
        <w:rPr>
          <w:rFonts w:ascii="Times New Roman" w:hAnsi="Times New Roman"/>
          <w:sz w:val="20"/>
        </w:rPr>
        <w:t>”) between the Company and the Trustee, as amended, supplemented or otherwise modified by the Supplemental Indenture No. 3 (the “</w:t>
      </w:r>
      <w:r>
        <w:rPr>
          <w:rFonts w:ascii="Times New Roman" w:hAnsi="Times New Roman"/>
          <w:b/>
          <w:sz w:val="20"/>
        </w:rPr>
        <w:t>Supplemental Indenture</w:t>
      </w:r>
      <w:r>
        <w:rPr>
          <w:rFonts w:ascii="Times New Roman" w:hAnsi="Times New Roman"/>
          <w:sz w:val="20"/>
        </w:rPr>
        <w:t>”), dated as of September 14, 2026, between the Company and the Trustee (the Base Indenture, as amended, supplemented or otherwise modified by the Supplemental Indenture, the “</w:t>
      </w:r>
      <w:r>
        <w:rPr>
          <w:rFonts w:ascii="Times New Roman" w:hAnsi="Times New Roman"/>
          <w:b/>
          <w:sz w:val="20"/>
        </w:rPr>
        <w:t>Indenture</w:t>
      </w:r>
      <w:r>
        <w:rPr>
          <w:rFonts w:ascii="Times New Roman" w:hAnsi="Times New Roman"/>
          <w:sz w:val="20"/>
        </w:rPr>
        <w:t>”). The terms of the Securities include those stated in the Indenture and those made part of the Indenture by reference to the Trust Indenture Act of 1939 (15 U.S. Code §§ 77aaa-77bbbb) (the “</w:t>
      </w:r>
      <w:r>
        <w:rPr>
          <w:rFonts w:ascii="Times New Roman" w:hAnsi="Times New Roman"/>
          <w:b/>
          <w:sz w:val="20"/>
        </w:rPr>
        <w:t>TIA</w:t>
      </w:r>
      <w:r>
        <w:rPr>
          <w:rFonts w:ascii="Times New Roman" w:hAnsi="Times New Roman"/>
          <w:sz w:val="20"/>
        </w:rPr>
        <w:t xml:space="preserve">”) as amended and in effect from time to time. The Securities are subject to all such terms, and Holders are referred to the Indenture and the TIA for a statement of such terms. To the extent any provision of this Security conflicts with the express provisions of the Indenture, the provisions of the Indenture shall govern and be controlling. The Securities are general unsecured senior obligations of the Company. The Original Securities are limited to $500,000,000 aggregate principal amount, except as otherwise provided in the Indenture (except for Securities issued in substitution for destroyed, mutilated, lost or stolen Securities). Subject to the conditions set forth in the Indenture and without the consent of the Holders, the Company may issue Additional Securities. All Securities, including any Additional Securities, shall be treated as a single class of securities under the Indenture. Terms used herein without definition and that are defined in the Indenture have the meanings assigned to them in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b/>
          <w:sz w:val="20"/>
        </w:rPr>
        <w:t>Optional Redemption</w:t>
      </w:r>
      <w:r>
        <w:rPr>
          <w:rFonts w:ascii="Times New Roman" w:hAnsi="Times New Roman"/>
          <w:sz w:val="20"/>
        </w:rPr>
        <w:t xml:space="preserve">. The Securities are redeemable at the Company’s election, in whole or in part, at any time and from time to time. If the Company redeems the Securities prior to the First Par Call Date, the Company will pay a redemption price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 100% of the principal amount of the Securities to be redeemed then outstanding; and </w:t>
      </w:r>
    </w:p>
    <w:p>
      <w:pPr>
        <w:pStyle w:val="TextBody"/>
        <w:bidi w:val="0"/>
        <w:spacing w:before="120" w:after="0"/>
        <w:jc w:val="left"/>
        <w:rPr>
          <w:rFonts w:ascii="Times New Roman" w:hAnsi="Times New Roman"/>
          <w:sz w:val="20"/>
        </w:rPr>
      </w:pPr>
      <w:r>
        <w:rPr>
          <w:rFonts w:ascii="Times New Roman" w:hAnsi="Times New Roman"/>
          <w:sz w:val="20"/>
        </w:rPr>
        <w:t xml:space="preserve">(2) (a) the sum of the present values of the remaining scheduled payments of principal and interest thereon discounted to the redemption date (assuming the Securities matured on the First Par Call Date) on a semi-annual basis (assuming a 360-day year consisting of twelve 30-day months) at the Treasury Rate for the Securities plus 15 basis points less (b) interest accrued to the date of redemption;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of the above cases, accrued and unpaid interest to the date of redemption on the Securities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redeems the Securities on or after the First Par Call Date, the Company will pay a redemption price equal to 100% of the principal amount of the Securities to be redeemed plus accrued and unpaid interest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actions and determinations in calculating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selects a redemption date that is on or after a Regular Record Date and on or before the related Interest Payment Date, the accrued and unpaid interest, if any, shall be paid to the person in whose name the Security is registered at the close of business on such Regular Record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give a notice of redemption at least 10 days, but not more than 60 days, before the redemption date to each Holder of the Securities to be redeemed, except that redemption notices may be given more than 60 days prior to a redemption date if the notice is issued in connection with a defeasance of the Securities or a satisfaction and discharge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Unless the Company defaults in payment of the redemption price, on and after the redemption date, interest shall cease to accrue on the Securities or portions thereof called for redemption. Securities called for redemption become due on the date fixed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the following terms have the following meanings: </w:t>
      </w:r>
    </w:p>
    <w:p>
      <w:pPr>
        <w:pStyle w:val="TextBody"/>
        <w:bidi w:val="0"/>
        <w:spacing w:before="240" w:after="0"/>
        <w:jc w:val="left"/>
        <w:rPr/>
      </w:pPr>
      <w:r>
        <w:rPr/>
        <w:t>“</w:t>
      </w:r>
      <w:r>
        <w:rPr>
          <w:rFonts w:ascii="Times New Roman" w:hAnsi="Times New Roman"/>
          <w:b/>
          <w:sz w:val="20"/>
        </w:rPr>
        <w:t>First Par Call Date</w:t>
      </w:r>
      <w:r>
        <w:rPr>
          <w:rFonts w:ascii="Times New Roman" w:hAnsi="Times New Roman"/>
          <w:sz w:val="20"/>
        </w:rPr>
        <w:t xml:space="preserve">” means August 15, 2031. </w:t>
      </w:r>
    </w:p>
    <w:p>
      <w:pPr>
        <w:pStyle w:val="TextBody"/>
        <w:bidi w:val="0"/>
        <w:spacing w:before="240" w:after="0"/>
        <w:jc w:val="left"/>
        <w:rPr/>
      </w:pPr>
      <w:r>
        <w:rPr/>
        <w:t>“</w:t>
      </w:r>
      <w:r>
        <w:rPr>
          <w:rFonts w:ascii="Times New Roman" w:hAnsi="Times New Roman"/>
          <w:b/>
          <w:sz w:val="20"/>
        </w:rPr>
        <w:t>Treasury Rate</w:t>
      </w:r>
      <w:r>
        <w:rPr>
          <w:rFonts w:ascii="Times New Roman" w:hAnsi="Times New Roman"/>
          <w:sz w:val="20"/>
        </w:rPr>
        <w:t xml:space="preserve">” means, with respect to any redemption date, the yield determined by the Company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hAnsi="Times New Roman"/>
          <w:b/>
          <w:sz w:val="20"/>
        </w:rPr>
        <w:t>H.15</w:t>
      </w:r>
      <w:r>
        <w:rPr>
          <w:rFonts w:ascii="Times New Roman" w:hAnsi="Times New Roman"/>
          <w:sz w:val="20"/>
        </w:rPr>
        <w:t>”) under the caption “U.S. government securities–Treasury constant maturities–Nominal” (or any successor caption or heading) (“</w:t>
      </w:r>
      <w:r>
        <w:rPr>
          <w:rFonts w:ascii="Times New Roman" w:hAnsi="Times New Roman"/>
          <w:b/>
          <w:sz w:val="20"/>
        </w:rPr>
        <w:t>H.15 TCM</w:t>
      </w:r>
      <w:r>
        <w:rPr>
          <w:rFonts w:ascii="Times New Roman" w:hAnsi="Times New Roman"/>
          <w:sz w:val="20"/>
        </w:rPr>
        <w:t>”). In determining the Treasury Rate, the Company shall select, as applicable: (1) the yield for the Treasury constant maturity on H.15 exactly equal to the period from the redemption date to the First Par Call Date (the “</w:t>
      </w:r>
      <w:r>
        <w:rPr>
          <w:rFonts w:ascii="Times New Roman" w:hAnsi="Times New Roman"/>
          <w:b/>
          <w:sz w:val="20"/>
        </w:rPr>
        <w:t>Remaining Life</w:t>
      </w:r>
      <w:r>
        <w:rPr>
          <w:rFonts w:ascii="Times New Roman" w:hAnsi="Times New Roman"/>
          <w:sz w:val="20"/>
        </w:rPr>
        <w:t xml:space="preserv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First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First Par Call Date, as applicable. If there is no United States Treasury security maturing on the First Par Call Date but there are two or more United States Treasury securities with a maturity date equally distant from the First Par Call Date, one with a maturity date preceding the First Par Call Date and one with a maturity date following the First Par Call Date, the Company shall select the United States Treasury security with a maturity date preceding the First Par Call Date. If there are two or more United States Treasury securities maturing on the First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b/>
          <w:sz w:val="20"/>
        </w:rPr>
        <w:t xml:space="preserve">No Mandatory Redemption. </w:t>
      </w:r>
      <w:r>
        <w:rPr>
          <w:rFonts w:ascii="Times New Roman" w:hAnsi="Times New Roman"/>
          <w:sz w:val="20"/>
        </w:rPr>
        <w:t xml:space="preserve">The Company shall not be required to make mandatory redemption payments with respect to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b/>
          <w:sz w:val="20"/>
        </w:rPr>
        <w:t>Repurchase at Option of Holder</w:t>
      </w:r>
      <w:r>
        <w:rPr>
          <w:rFonts w:ascii="Times New Roman" w:hAnsi="Times New Roman"/>
          <w:sz w:val="20"/>
        </w:rPr>
        <w:t xml:space="preserve">. Upon the occurrence of a Change of Control Triggering Event, and subject to certain conditions set forth in the Indenture, the Company shall be required to offer to purchase all of the outstanding Securities at a purchase price equal to 101% of the principal amount thereof, plus accrued and unpaid interest, if any, thereon to the date of repurchase.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b/>
          <w:sz w:val="20"/>
        </w:rPr>
        <w:t>Notice of Redemption.</w:t>
      </w:r>
      <w:r>
        <w:rPr>
          <w:rFonts w:ascii="Times New Roman" w:hAnsi="Times New Roman"/>
          <w:sz w:val="20"/>
        </w:rPr>
        <w:t xml:space="preserve"> Notice of redemption shall be given at least 10 days but not more than 60 days before the redemption date to each Holder whose Securities are to be redeemed, except that redemption notices may be given more than 60 days prior to a redemption date if the notice is issued in connection with Article 10 or Article 11 of the Base Indenture. Securities in denominations larger than $2,000 may be redeemed in part but only in whole multiples of $1,000, unless all of the Securities held by a Holder are to be redeemed. Unless the Company defaults in payment of the redemption price, on and after the redemption date interest shall cease to accrue on Securities or portions thereof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b/>
          <w:sz w:val="20"/>
        </w:rPr>
        <w:t>Denominations, Transfer, Exchange</w:t>
      </w:r>
      <w:r>
        <w:rPr>
          <w:rFonts w:ascii="Times New Roman" w:hAnsi="Times New Roman"/>
          <w:sz w:val="20"/>
        </w:rPr>
        <w:t xml:space="preserve">. The Securities are in registered form, without coupons, in denominations of $2,000 principal amount and integral multiples of $1,000 principal amount. The transfer of Securities may be registered and Securities may be exchanged as provided in the Indenture. The Registrar may require a Holder, among other things, to furnish appropriate endorsements and transfer documents. No service charge shall be made for any such registration of transfer or exchange, but the Company may require payment of a sum sufficient to cover any tax or similar governmental charge that may be imposed in connection with certain transfers or exchanges. The Company shall not be required to register the transfer of or exchange any Security selected for redemption, except for the unredeemed portion of any Security being redeemed in part. Also, the Company need not exchange or register the transfer of any Securities for a period of 10 days next preceding the date notice of redemption of Securities to be redeemed was first given.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rPr>
        <w:t>Persons Deemed Owners</w:t>
      </w:r>
      <w:r>
        <w:rPr>
          <w:rFonts w:ascii="Times New Roman" w:hAnsi="Times New Roman"/>
          <w:sz w:val="20"/>
        </w:rPr>
        <w:t xml:space="preserve">. The registered Holder of a Security shall be treated as the owner of such Security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rPr>
        <w:t>Merger or Consolidation</w:t>
      </w:r>
      <w:r>
        <w:rPr>
          <w:rFonts w:ascii="Times New Roman" w:hAnsi="Times New Roman"/>
          <w:sz w:val="20"/>
        </w:rPr>
        <w:t xml:space="preserve">. The Company shall not consolidate with or merge with or into, or sell, transfer, lease, convey or otherwise dispose of all or substantially all of its property or assets to, another Person (including pursuant to a statutory arrangement), whether in a single transaction or series of related transactions, unless it complies with Article 8 of the Base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w:t>
      </w:r>
      <w:r>
        <w:rPr>
          <w:rFonts w:ascii="Times New Roman" w:hAnsi="Times New Roman"/>
          <w:b/>
          <w:sz w:val="20"/>
        </w:rPr>
        <w:t>Amendments, Supplements and Waivers</w:t>
      </w:r>
      <w:r>
        <w:rPr>
          <w:rFonts w:ascii="Times New Roman" w:hAnsi="Times New Roman"/>
          <w:sz w:val="20"/>
        </w:rPr>
        <w:t xml:space="preserve">. The Indenture or the Securities may be amended or supplemented as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b/>
          <w:sz w:val="20"/>
        </w:rPr>
        <w:t>Defaults and Remedies</w:t>
      </w:r>
      <w:r>
        <w:rPr>
          <w:rFonts w:ascii="Times New Roman" w:hAnsi="Times New Roman"/>
          <w:sz w:val="20"/>
        </w:rPr>
        <w:t xml:space="preserve">. The Events of Default relating to the Securities are defined in Section 5.01 of the Base Indenture. If any Event of Default occurs and is continuing, the Trustee or the Holders of at least 25% in principal amount of the then outstanding Securities may declare the principal, premium, if any, interest and any other monetary obligations on all the then outstanding Securities to be due and payable immediately. Notwithstanding the foregoing, in the case of an Event of Default arising from certain events of bankruptcy or insolvency, all outstanding Securities shall become due and payable immediately without further action or notice. </w:t>
      </w:r>
    </w:p>
    <w:p>
      <w:pPr>
        <w:pStyle w:val="TextBody"/>
        <w:bidi w:val="0"/>
        <w:spacing w:before="240" w:after="0"/>
        <w:jc w:val="left"/>
        <w:rPr>
          <w:rFonts w:ascii="Times New Roman" w:hAnsi="Times New Roman"/>
          <w:sz w:val="20"/>
        </w:rPr>
      </w:pPr>
      <w:r>
        <w:rPr>
          <w:rFonts w:ascii="Times New Roman" w:hAnsi="Times New Roman"/>
          <w:sz w:val="20"/>
        </w:rPr>
        <w:t xml:space="preserve">Holders may not enforce the Indenture or the Securities except as provided in the Indenture. Subject to certain limitations, Holders of a majority in aggregate principal amount of the then outstanding Securities may direct the Trustee in its exercise of any trust or power. The Trustee may withhold from Holders of the Securities notice of any continuing Default (except a Default relating to the payment of principal, premium, if any, or interest) if it determines that withholding notice is in their interest. The Holders of a majority in aggregate principal amount of the Securities then outstanding by notice to the Trustee may on behalf of the Holders of all of the Securities waive any existing Default and its consequences under the Indenture except a continuing Default in payment of the principal of, premium, if any, or interest, if any, on, any of the Securities held by a non-consenting Holder. The Company is required to deliver to the Trustee annually a statement regarding compliance with the Indenture, and the Company is required upon becoming aware of any Default or Event of Default, to deliver to the Trustee a statement specifying such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b/>
          <w:sz w:val="20"/>
        </w:rPr>
        <w:t>Trustee Dealings with the Company</w:t>
      </w:r>
      <w:r>
        <w:rPr>
          <w:rFonts w:ascii="Times New Roman" w:hAnsi="Times New Roman"/>
          <w:sz w:val="20"/>
        </w:rPr>
        <w:t xml:space="preserve">. The Trustee, in its individual or any other capacity, may make loans to, accept deposits from, and perform services for the Company or its affiliates, and may otherwise deal with the Company or its affiliates, as if it were not the Trustee.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b/>
          <w:sz w:val="20"/>
        </w:rPr>
        <w:t>No Recourse Against Others</w:t>
      </w:r>
      <w:r>
        <w:rPr>
          <w:rFonts w:ascii="Times New Roman" w:hAnsi="Times New Roman"/>
          <w:sz w:val="20"/>
        </w:rPr>
        <w:t xml:space="preserve">. A director, officer, employee, incorporator or stockholder, of the Company, as such, shall not have any liability for any obligations of the Company under the Securities or the Indenture or for any claim based on, in respect of, or by reason of, such obligations or their creation. Each Holder by accepting a Security waives and releases all such liability. The waiver and release are part of the consideration for the issuance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b/>
          <w:sz w:val="20"/>
        </w:rPr>
        <w:t>Authentication</w:t>
      </w:r>
      <w:r>
        <w:rPr>
          <w:rFonts w:ascii="Times New Roman" w:hAnsi="Times New Roman"/>
          <w:sz w:val="20"/>
        </w:rPr>
        <w:t xml:space="preserve">. This Security shall not be valid until authenticated by the manual, facsimile or electronic signature of the Trustee or an authenticating agent in accordance with the Indenture.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b/>
          <w:sz w:val="20"/>
        </w:rPr>
        <w:t>Abbreviations</w:t>
      </w:r>
      <w:r>
        <w:rPr>
          <w:rFonts w:ascii="Times New Roman" w:hAnsi="Times New Roman"/>
          <w:sz w:val="20"/>
        </w:rPr>
        <w:t xml:space="preserve">. Customary abbreviations may be used in the name of a Holder or an assignee, such as: TEN COM (= tenants in common), TEN ENT (= tenants by the entireties), JT TEN (= joint tenants with right of survivorship and not as tenants in common), CUST (= Custodian), and U/G/M/A (= Uniform Gifts to Minors Act).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b/>
          <w:sz w:val="20"/>
        </w:rPr>
        <w:t>CUSIP and ISIN Numbers</w:t>
      </w:r>
      <w:r>
        <w:rPr>
          <w:rFonts w:ascii="Times New Roman" w:hAnsi="Times New Roman"/>
          <w:sz w:val="20"/>
        </w:rPr>
        <w:t xml:space="preserve">. Pursuant to a recommendation promulgated by the Committee on Uniform Security Identification Procedures, the Company has caused CUSIP and ISIN numbers to be printed on the Securities and the Trustee may use CUSIP and ISIN numbers in notices of redemption as a convenience to Holders. No representation is made as to the accuracy of such numbers either as printed on the Securities or as contained in any notice of redemption and reliance may be placed only on the other identification numbers placed thereon.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FURNISH TO ANY HOLDER UPON WRITTEN REQUEST AND WITHOUT CHARGE A COPY OF THE BASE INDENTURE OR THE SUPPLEMENTAL INDENTURE. REQUESTS MAY BE MADE TO: </w:t>
      </w:r>
    </w:p>
    <w:p>
      <w:pPr>
        <w:pStyle w:val="TextBody"/>
        <w:bidi w:val="0"/>
        <w:spacing w:before="240" w:after="0"/>
        <w:jc w:val="center"/>
        <w:rPr>
          <w:rFonts w:ascii="Times New Roman" w:hAnsi="Times New Roman"/>
          <w:sz w:val="20"/>
        </w:rPr>
      </w:pPr>
      <w:r>
        <w:rPr>
          <w:rFonts w:ascii="Times New Roman" w:hAnsi="Times New Roman"/>
          <w:sz w:val="20"/>
        </w:rPr>
        <w:t xml:space="preserve">American Tower Corporation </w:t>
      </w:r>
    </w:p>
    <w:p>
      <w:pPr>
        <w:pStyle w:val="TextBody"/>
        <w:bidi w:val="0"/>
        <w:spacing w:before="0" w:after="0"/>
        <w:jc w:val="center"/>
        <w:rPr>
          <w:rFonts w:ascii="Times New Roman" w:hAnsi="Times New Roman"/>
          <w:sz w:val="20"/>
        </w:rPr>
      </w:pPr>
      <w:r>
        <w:rPr>
          <w:rFonts w:ascii="Times New Roman" w:hAnsi="Times New Roman"/>
          <w:sz w:val="20"/>
        </w:rPr>
        <w:t xml:space="preserve">222 Berkeley Street </w:t>
      </w:r>
    </w:p>
    <w:p>
      <w:pPr>
        <w:pStyle w:val="TextBody"/>
        <w:bidi w:val="0"/>
        <w:spacing w:before="0" w:after="0"/>
        <w:jc w:val="center"/>
        <w:rPr>
          <w:rFonts w:ascii="Times New Roman" w:hAnsi="Times New Roman"/>
          <w:sz w:val="20"/>
        </w:rPr>
      </w:pPr>
      <w:r>
        <w:rPr>
          <w:rFonts w:ascii="Times New Roman" w:hAnsi="Times New Roman"/>
          <w:sz w:val="20"/>
        </w:rPr>
        <w:t xml:space="preserve">Boston, MA 02116 </w:t>
      </w:r>
    </w:p>
    <w:p>
      <w:pPr>
        <w:pStyle w:val="TextBody"/>
        <w:bidi w:val="0"/>
        <w:spacing w:before="0" w:after="0"/>
        <w:jc w:val="center"/>
        <w:rPr>
          <w:rFonts w:ascii="Times New Roman" w:hAnsi="Times New Roman"/>
          <w:sz w:val="20"/>
        </w:rPr>
      </w:pPr>
      <w:r>
        <w:rPr>
          <w:rFonts w:ascii="Times New Roman" w:hAnsi="Times New Roman"/>
          <w:sz w:val="20"/>
        </w:rPr>
        <w:t xml:space="preserve">Telephone No.: (617) 375-7500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[FORM OF ASSIGNMENT] </w:t>
      </w:r>
    </w:p>
    <w:p>
      <w:pPr>
        <w:pStyle w:val="TextBody"/>
        <w:bidi w:val="0"/>
        <w:spacing w:before="240" w:after="0"/>
        <w:jc w:val="left"/>
        <w:rPr>
          <w:rFonts w:ascii="Times New Roman" w:hAnsi="Times New Roman"/>
          <w:sz w:val="20"/>
        </w:rPr>
      </w:pPr>
      <w:r>
        <w:rPr>
          <w:rFonts w:ascii="Times New Roman" w:hAnsi="Times New Roman"/>
          <w:sz w:val="20"/>
        </w:rPr>
        <w:t xml:space="preserve">I or we assign to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2017"/>
        <w:gridCol w:w="411"/>
        <w:gridCol w:w="1654"/>
      </w:tblGrid>
      <w:tr>
        <w:trPr/>
        <w:tc>
          <w:tcPr>
            <w:tcW w:w="2017" w:type="dxa"/>
            <w:tcBorders/>
            <w:vAlign w:val="center"/>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PLEASE INSERT SOCIAL SECURITY OR</w:t>
            </w:r>
          </w:p>
        </w:tc>
      </w:tr>
      <w:tr>
        <w:trPr/>
        <w:tc>
          <w:tcPr>
            <w:tcW w:w="4082" w:type="dxa"/>
            <w:gridSpan w:val="3"/>
            <w:tcBorders/>
          </w:tcPr>
          <w:p>
            <w:pPr>
              <w:pStyle w:val="TableContents"/>
              <w:bidi w:val="0"/>
              <w:spacing w:before="0" w:after="283"/>
              <w:jc w:val="left"/>
              <w:rPr/>
            </w:pPr>
            <w:r>
              <w:rPr/>
              <w:t>OTHER IDENTIFYING NUMBER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(please print or type name and address)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within Security and all rights thereunder, and hereby irrevocably constitute and appoint </w:t>
      </w:r>
    </w:p>
    <w:tbl>
      <w:tblPr>
        <w:tblW w:w="2000" w:type="pct"/>
        <w:jc w:val="left"/>
        <w:tblInd w:w="0" w:type="dxa"/>
        <w:tblLayout w:type="fixed"/>
        <w:tblCellMar>
          <w:top w:w="0" w:type="dxa"/>
          <w:left w:w="0" w:type="dxa"/>
          <w:bottom w:w="0" w:type="dxa"/>
          <w:right w:w="0" w:type="dxa"/>
        </w:tblCellMar>
      </w:tblPr>
      <w:tblGrid>
        <w:gridCol w:w="2041"/>
        <w:gridCol w:w="40"/>
        <w:gridCol w:w="2001"/>
      </w:tblGrid>
      <w:tr>
        <w:trPr/>
        <w:tc>
          <w:tcPr>
            <w:tcW w:w="2041" w:type="dxa"/>
            <w:tcBorders/>
            <w:vAlign w:val="center"/>
          </w:tcPr>
          <w:p>
            <w:pPr>
              <w:pStyle w:val="TableContents"/>
              <w:bidi w:val="0"/>
              <w:spacing w:before="0" w:after="283"/>
              <w:jc w:val="left"/>
              <w:rPr>
                <w:sz w:val="4"/>
                <w:szCs w:val="4"/>
              </w:rPr>
            </w:pPr>
            <w:r>
              <w:rPr>
                <w:sz w:val="4"/>
                <w:szCs w:val="4"/>
              </w:rPr>
            </w:r>
          </w:p>
        </w:tc>
        <w:tc>
          <w:tcPr>
            <w:tcW w:w="40" w:type="dxa"/>
            <w:tcBorders/>
            <w:vAlign w:val="bottom"/>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Attorney to transfer the Security on the books of the Company with full power of substitution in the premises. </w:t>
      </w:r>
    </w:p>
    <w:tbl>
      <w:tblPr>
        <w:tblW w:w="2000" w:type="pct"/>
        <w:jc w:val="left"/>
        <w:tblInd w:w="0" w:type="dxa"/>
        <w:tblLayout w:type="fixed"/>
        <w:tblCellMar>
          <w:top w:w="0" w:type="dxa"/>
          <w:left w:w="0" w:type="dxa"/>
          <w:bottom w:w="0" w:type="dxa"/>
          <w:right w:w="0" w:type="dxa"/>
        </w:tblCellMar>
      </w:tblPr>
      <w:tblGrid>
        <w:gridCol w:w="710"/>
        <w:gridCol w:w="60"/>
        <w:gridCol w:w="3312"/>
      </w:tblGrid>
      <w:tr>
        <w:trPr/>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710" w:type="dxa"/>
            <w:tcBorders/>
            <w:vAlign w:val="center"/>
          </w:tcPr>
          <w:p>
            <w:pPr>
              <w:pStyle w:val="TableContents"/>
              <w:bidi w:val="0"/>
              <w:spacing w:before="0" w:after="283"/>
              <w:jc w:val="left"/>
              <w:rPr>
                <w:sz w:val="4"/>
                <w:szCs w:val="4"/>
              </w:rPr>
            </w:pPr>
            <w:r>
              <w:rPr>
                <w:sz w:val="4"/>
                <w:szCs w:val="4"/>
              </w:rPr>
            </w:r>
          </w:p>
        </w:tc>
        <w:tc>
          <w:tcPr>
            <w:tcW w:w="3372"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tcPr>
          <w:p>
            <w:pPr>
              <w:pStyle w:val="TableContents"/>
              <w:bidi w:val="0"/>
              <w:spacing w:before="0" w:after="283"/>
              <w:jc w:val="left"/>
              <w:rPr/>
            </w:pPr>
            <w:r>
              <w:rPr/>
              <w:t>Dated:</w:t>
            </w:r>
          </w:p>
        </w:tc>
        <w:tc>
          <w:tcPr>
            <w:tcW w:w="60" w:type="dxa"/>
            <w:tcBorders/>
            <w:vAlign w:val="bottom"/>
          </w:tcPr>
          <w:p>
            <w:pPr>
              <w:pStyle w:val="TableContents"/>
              <w:bidi w:val="0"/>
              <w:spacing w:before="0" w:after="283"/>
              <w:jc w:val="left"/>
              <w:rPr/>
            </w:pPr>
            <w:r>
              <w:rPr/>
              <w:t> </w:t>
            </w:r>
          </w:p>
        </w:tc>
        <w:tc>
          <w:tcPr>
            <w:tcW w:w="3312" w:type="dxa"/>
            <w:tcBorders/>
          </w:tcPr>
          <w:p>
            <w:pPr>
              <w:pStyle w:val="TableContents"/>
              <w:bidi w:val="0"/>
              <w:spacing w:before="0" w:after="283"/>
              <w:jc w:val="left"/>
              <w:rPr>
                <w:u w:val="single"/>
              </w:rPr>
            </w:pPr>
            <w:r>
              <w:rPr>
                <w:u w:val="single"/>
              </w:rPr>
              <w:t>     </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NOTICE: The signature on this assignment must correspond with the name as it appears upon the face of the within Security in every particular without alteration or enlargement or any change whatsoever and be guaranteed by a guarantor institution participating in the Securities Transfer Agents Medallion Program or in such other guarantee program acceptable to the Trustee.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2257"/>
        <w:gridCol w:w="60"/>
        <w:gridCol w:w="1765"/>
      </w:tblGrid>
      <w:tr>
        <w:trPr/>
        <w:tc>
          <w:tcPr>
            <w:tcW w:w="225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r>
      <w:tr>
        <w:trPr/>
        <w:tc>
          <w:tcPr>
            <w:tcW w:w="2257" w:type="dxa"/>
            <w:tcBorders/>
          </w:tcPr>
          <w:p>
            <w:pPr>
              <w:pStyle w:val="TableContents"/>
              <w:bidi w:val="0"/>
              <w:spacing w:before="0" w:after="283"/>
              <w:jc w:val="left"/>
              <w:rPr/>
            </w:pPr>
            <w:r>
              <w:rPr/>
              <w:t>Signature Guarantee:</w:t>
            </w:r>
          </w:p>
        </w:tc>
        <w:tc>
          <w:tcPr>
            <w:tcW w:w="60" w:type="dxa"/>
            <w:tcBorders/>
            <w:vAlign w:val="bottom"/>
          </w:tcPr>
          <w:p>
            <w:pPr>
              <w:pStyle w:val="TableContents"/>
              <w:bidi w:val="0"/>
              <w:spacing w:before="0" w:after="283"/>
              <w:jc w:val="left"/>
              <w:rPr/>
            </w:pPr>
            <w:r>
              <w:rPr/>
              <w:t> </w:t>
            </w:r>
          </w:p>
        </w:tc>
        <w:tc>
          <w:tcPr>
            <w:tcW w:w="1765"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Option of Holder to Elect Purchase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only part of the Security purchased by the Company pursuant to Section 4.01(b) of the Supplemental Indenture, state the amount you elect to have purchased: </w:t>
      </w:r>
    </w:p>
    <w:p>
      <w:pPr>
        <w:pStyle w:val="TextBody"/>
        <w:bidi w:val="0"/>
        <w:spacing w:before="240" w:after="0"/>
        <w:jc w:val="center"/>
        <w:rPr>
          <w:rFonts w:ascii="Times New Roman" w:hAnsi="Times New Roman"/>
          <w:sz w:val="20"/>
        </w:rPr>
      </w:pPr>
      <w:r>
        <w:rPr>
          <w:rFonts w:ascii="Times New Roman" w:hAnsi="Times New Roman"/>
          <w:sz w:val="20"/>
        </w:rPr>
        <w:t xml:space="preserve">$_______________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Date:________________ </w:t>
      </w:r>
    </w:p>
    <w:p>
      <w:pPr>
        <w:pStyle w:val="TextBody"/>
        <w:bidi w:val="0"/>
        <w:spacing w:before="240" w:after="0"/>
        <w:jc w:val="center"/>
        <w:rPr>
          <w:rFonts w:ascii="Times New Roman" w:hAnsi="Times New Roman"/>
          <w:sz w:val="20"/>
        </w:rPr>
      </w:pPr>
      <w:r>
        <w:rPr>
          <w:rFonts w:ascii="Times New Roman" w:hAnsi="Times New Roman"/>
          <w:sz w:val="20"/>
        </w:rPr>
        <w:t xml:space="preserve">Your Signature:______________________________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 exactly as your name appears 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i/>
          <w:sz w:val="20"/>
        </w:rPr>
        <w:t>the face of this Security</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Tax Identification No.:______________________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Signature Guarantee*:___________________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in a recognized Signature Guarantee Medallion Program (or other signature guarantor acceptable to the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SCHEDULE OF EXCHANGES OF INTERESTS IN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The initial principal amount of this Global Security is $     . The following exchanges of a part of this Global Security for an interest in another Global Security or for Securities in certificated form,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34"/>
        <w:gridCol w:w="106"/>
        <w:gridCol w:w="1911"/>
        <w:gridCol w:w="106"/>
        <w:gridCol w:w="2003"/>
        <w:gridCol w:w="212"/>
        <w:gridCol w:w="1640"/>
        <w:gridCol w:w="121"/>
        <w:gridCol w:w="1672"/>
      </w:tblGrid>
      <w:tr>
        <w:trPr/>
        <w:tc>
          <w:tcPr>
            <w:tcW w:w="2434"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r>
      <w:tr>
        <w:trPr/>
        <w:tc>
          <w:tcPr>
            <w:tcW w:w="243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 of Exchange</w:t>
            </w:r>
          </w:p>
        </w:tc>
        <w:tc>
          <w:tcPr>
            <w:tcW w:w="106" w:type="dxa"/>
            <w:tcBorders/>
            <w:vAlign w:val="bottom"/>
          </w:tcPr>
          <w:p>
            <w:pPr>
              <w:pStyle w:val="TableContents"/>
              <w:bidi w:val="0"/>
              <w:spacing w:before="0" w:after="283"/>
              <w:jc w:val="left"/>
              <w:rPr/>
            </w:pPr>
            <w:r>
              <w:rPr/>
              <w:t> </w:t>
            </w:r>
          </w:p>
        </w:tc>
        <w:tc>
          <w:tcPr>
            <w:tcW w:w="1911"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Amount of decrease in</w:t>
            </w:r>
          </w:p>
          <w:p>
            <w:pPr>
              <w:pStyle w:val="TableContents"/>
              <w:bidi w:val="0"/>
              <w:spacing w:before="0" w:after="0"/>
              <w:jc w:val="center"/>
              <w:rPr>
                <w:rFonts w:ascii="Times New Roman" w:hAnsi="Times New Roman"/>
                <w:b/>
                <w:sz w:val="16"/>
              </w:rPr>
            </w:pPr>
            <w:r>
              <w:rPr>
                <w:rFonts w:ascii="Times New Roman" w:hAnsi="Times New Roman"/>
                <w:b/>
                <w:sz w:val="16"/>
              </w:rPr>
              <w:t>Principal Amount of</w:t>
            </w:r>
          </w:p>
          <w:p>
            <w:pPr>
              <w:pStyle w:val="TableContents"/>
              <w:bidi w:val="0"/>
              <w:spacing w:before="0" w:after="20"/>
              <w:jc w:val="center"/>
              <w:rPr>
                <w:rFonts w:ascii="Times New Roman" w:hAnsi="Times New Roman"/>
                <w:b/>
                <w:sz w:val="16"/>
              </w:rPr>
            </w:pPr>
            <w:r>
              <w:rPr>
                <w:rFonts w:ascii="Times New Roman" w:hAnsi="Times New Roman"/>
                <w:b/>
                <w:sz w:val="16"/>
              </w:rPr>
              <w:t>this Global Security</w:t>
            </w:r>
          </w:p>
        </w:tc>
        <w:tc>
          <w:tcPr>
            <w:tcW w:w="106" w:type="dxa"/>
            <w:tcBorders/>
            <w:vAlign w:val="bottom"/>
          </w:tcPr>
          <w:p>
            <w:pPr>
              <w:pStyle w:val="TableContents"/>
              <w:bidi w:val="0"/>
              <w:spacing w:before="0" w:after="283"/>
              <w:jc w:val="left"/>
              <w:rPr/>
            </w:pPr>
            <w:r>
              <w:rPr/>
              <w:t> </w:t>
            </w:r>
          </w:p>
        </w:tc>
        <w:tc>
          <w:tcPr>
            <w:tcW w:w="2003"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Amount of increase in</w:t>
            </w:r>
          </w:p>
          <w:p>
            <w:pPr>
              <w:pStyle w:val="TableContents"/>
              <w:bidi w:val="0"/>
              <w:spacing w:before="0" w:after="0"/>
              <w:jc w:val="center"/>
              <w:rPr>
                <w:rFonts w:ascii="Times New Roman" w:hAnsi="Times New Roman"/>
                <w:b/>
                <w:sz w:val="16"/>
              </w:rPr>
            </w:pPr>
            <w:r>
              <w:rPr>
                <w:rFonts w:ascii="Times New Roman" w:hAnsi="Times New Roman"/>
                <w:b/>
                <w:sz w:val="16"/>
              </w:rPr>
              <w:t>Principal Amount of</w:t>
            </w:r>
          </w:p>
          <w:p>
            <w:pPr>
              <w:pStyle w:val="TableContents"/>
              <w:bidi w:val="0"/>
              <w:spacing w:before="0" w:after="20"/>
              <w:jc w:val="center"/>
              <w:rPr>
                <w:rFonts w:ascii="Times New Roman" w:hAnsi="Times New Roman"/>
                <w:b/>
                <w:sz w:val="16"/>
              </w:rPr>
            </w:pPr>
            <w:r>
              <w:rPr>
                <w:rFonts w:ascii="Times New Roman" w:hAnsi="Times New Roman"/>
                <w:b/>
                <w:sz w:val="16"/>
              </w:rPr>
              <w:t>this Global Security</w:t>
            </w:r>
          </w:p>
        </w:tc>
        <w:tc>
          <w:tcPr>
            <w:tcW w:w="212" w:type="dxa"/>
            <w:tcBorders/>
            <w:vAlign w:val="bottom"/>
          </w:tcPr>
          <w:p>
            <w:pPr>
              <w:pStyle w:val="TableContents"/>
              <w:bidi w:val="0"/>
              <w:spacing w:before="0" w:after="283"/>
              <w:jc w:val="left"/>
              <w:rPr/>
            </w:pPr>
            <w:r>
              <w:rPr/>
              <w:t>  </w:t>
            </w:r>
          </w:p>
        </w:tc>
        <w:tc>
          <w:tcPr>
            <w:tcW w:w="164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Principal Amount of</w:t>
            </w:r>
          </w:p>
          <w:p>
            <w:pPr>
              <w:pStyle w:val="TableContents"/>
              <w:bidi w:val="0"/>
              <w:spacing w:before="0" w:after="0"/>
              <w:jc w:val="center"/>
              <w:rPr>
                <w:rFonts w:ascii="Times New Roman" w:hAnsi="Times New Roman"/>
                <w:b/>
                <w:sz w:val="16"/>
              </w:rPr>
            </w:pPr>
            <w:r>
              <w:rPr>
                <w:rFonts w:ascii="Times New Roman" w:hAnsi="Times New Roman"/>
                <w:b/>
                <w:sz w:val="16"/>
              </w:rPr>
              <w:t>this Global Security</w:t>
            </w:r>
          </w:p>
          <w:p>
            <w:pPr>
              <w:pStyle w:val="TableContents"/>
              <w:bidi w:val="0"/>
              <w:spacing w:before="0" w:after="0"/>
              <w:jc w:val="center"/>
              <w:rPr>
                <w:rFonts w:ascii="Times New Roman" w:hAnsi="Times New Roman"/>
                <w:b/>
                <w:sz w:val="16"/>
              </w:rPr>
            </w:pPr>
            <w:r>
              <w:rPr>
                <w:rFonts w:ascii="Times New Roman" w:hAnsi="Times New Roman"/>
                <w:b/>
                <w:sz w:val="16"/>
              </w:rPr>
              <w:t>following such decrease</w:t>
            </w:r>
          </w:p>
          <w:p>
            <w:pPr>
              <w:pStyle w:val="TableContents"/>
              <w:bidi w:val="0"/>
              <w:spacing w:before="0" w:after="20"/>
              <w:jc w:val="center"/>
              <w:rPr>
                <w:rFonts w:ascii="Times New Roman" w:hAnsi="Times New Roman"/>
                <w:b/>
                <w:sz w:val="16"/>
              </w:rPr>
            </w:pPr>
            <w:r>
              <w:rPr>
                <w:rFonts w:ascii="Times New Roman" w:hAnsi="Times New Roman"/>
                <w:b/>
                <w:sz w:val="16"/>
              </w:rPr>
              <w:t>(or increase)</w:t>
            </w:r>
          </w:p>
        </w:tc>
        <w:tc>
          <w:tcPr>
            <w:tcW w:w="121" w:type="dxa"/>
            <w:tcBorders/>
            <w:vAlign w:val="bottom"/>
          </w:tcPr>
          <w:p>
            <w:pPr>
              <w:pStyle w:val="TableContents"/>
              <w:bidi w:val="0"/>
              <w:spacing w:before="0" w:after="283"/>
              <w:jc w:val="left"/>
              <w:rPr/>
            </w:pPr>
            <w:r>
              <w:rPr/>
              <w:t>  </w:t>
            </w:r>
          </w:p>
        </w:tc>
        <w:tc>
          <w:tcPr>
            <w:tcW w:w="1672"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Signature of</w:t>
            </w:r>
          </w:p>
          <w:p>
            <w:pPr>
              <w:pStyle w:val="TableContents"/>
              <w:bidi w:val="0"/>
              <w:spacing w:before="0" w:after="0"/>
              <w:jc w:val="center"/>
              <w:rPr>
                <w:rFonts w:ascii="Times New Roman" w:hAnsi="Times New Roman"/>
                <w:b/>
                <w:sz w:val="16"/>
              </w:rPr>
            </w:pPr>
            <w:r>
              <w:rPr>
                <w:rFonts w:ascii="Times New Roman" w:hAnsi="Times New Roman"/>
                <w:b/>
                <w:sz w:val="16"/>
              </w:rPr>
              <w:t>authorized officer of</w:t>
            </w:r>
          </w:p>
          <w:p>
            <w:pPr>
              <w:pStyle w:val="TableContents"/>
              <w:bidi w:val="0"/>
              <w:spacing w:before="0" w:after="0"/>
              <w:jc w:val="center"/>
              <w:rPr>
                <w:rFonts w:ascii="Times New Roman" w:hAnsi="Times New Roman"/>
                <w:b/>
                <w:sz w:val="16"/>
              </w:rPr>
            </w:pPr>
            <w:r>
              <w:rPr>
                <w:rFonts w:ascii="Times New Roman" w:hAnsi="Times New Roman"/>
                <w:b/>
                <w:sz w:val="16"/>
              </w:rPr>
              <w:t>Trustee or</w:t>
            </w:r>
          </w:p>
          <w:p>
            <w:pPr>
              <w:pStyle w:val="TableContents"/>
              <w:bidi w:val="0"/>
              <w:spacing w:before="0" w:after="20"/>
              <w:jc w:val="center"/>
              <w:rPr>
                <w:rFonts w:ascii="Times New Roman" w:hAnsi="Times New Roman"/>
                <w:b/>
                <w:sz w:val="16"/>
              </w:rPr>
            </w:pPr>
            <w:r>
              <w:rPr>
                <w:rFonts w:ascii="Times New Roman" w:hAnsi="Times New Roman"/>
                <w:b/>
                <w:sz w:val="16"/>
              </w:rPr>
              <w:t>Custodian</w:t>
            </w:r>
          </w:p>
        </w:tc>
      </w:tr>
      <w:tr>
        <w:trPr/>
        <w:tc>
          <w:tcPr>
            <w:tcW w:w="2434"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911"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2003"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64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672"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schedule should be included only if the Security is issued in global 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A-1-10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EXHIBIT A-2 </w:t>
      </w:r>
    </w:p>
    <w:p>
      <w:pPr>
        <w:pStyle w:val="TextBody"/>
        <w:bidi w:val="0"/>
        <w:spacing w:before="480" w:after="0"/>
        <w:jc w:val="center"/>
        <w:rPr>
          <w:rFonts w:ascii="Times New Roman" w:hAnsi="Times New Roman"/>
          <w:sz w:val="20"/>
        </w:rPr>
      </w:pPr>
      <w:r>
        <w:rPr>
          <w:rFonts w:ascii="Times New Roman" w:hAnsi="Times New Roman"/>
          <w:sz w:val="20"/>
        </w:rPr>
        <w:t xml:space="preserve">[Face of Security]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AMERICAN TOWER CORPORATION </w:t>
      </w:r>
    </w:p>
    <w:p>
      <w:pPr>
        <w:pStyle w:val="TextBody"/>
        <w:bidi w:val="0"/>
        <w:spacing w:before="240" w:after="0"/>
        <w:jc w:val="left"/>
        <w:rPr>
          <w:rFonts w:ascii="Times New Roman" w:hAnsi="Times New Roman"/>
          <w:sz w:val="20"/>
        </w:rPr>
      </w:pPr>
      <w:r>
        <w:rPr>
          <w:rFonts w:ascii="Times New Roman" w:hAnsi="Times New Roman"/>
          <w:sz w:val="20"/>
        </w:rPr>
        <w:t xml:space="preserve">Certificate No. _______ </w:t>
      </w:r>
    </w:p>
    <w:p>
      <w:pPr>
        <w:pStyle w:val="TextBody"/>
        <w:bidi w:val="0"/>
        <w:spacing w:before="240" w:after="0"/>
        <w:jc w:val="center"/>
        <w:rPr>
          <w:rFonts w:ascii="Times New Roman" w:hAnsi="Times New Roman"/>
          <w:sz w:val="20"/>
        </w:rPr>
      </w:pPr>
      <w:r>
        <w:rPr>
          <w:rFonts w:ascii="Times New Roman" w:hAnsi="Times New Roman"/>
          <w:sz w:val="20"/>
        </w:rPr>
        <w:t xml:space="preserve">[INSERT GLOBAL SECURITY LEGEND AS REQUIRED] </w:t>
      </w:r>
    </w:p>
    <w:p>
      <w:pPr>
        <w:pStyle w:val="TextBody"/>
        <w:bidi w:val="0"/>
        <w:spacing w:before="240" w:after="0"/>
        <w:jc w:val="center"/>
        <w:rPr>
          <w:rFonts w:ascii="Times New Roman" w:hAnsi="Times New Roman"/>
          <w:sz w:val="20"/>
        </w:rPr>
      </w:pPr>
      <w:r>
        <w:rPr>
          <w:rFonts w:ascii="Times New Roman" w:hAnsi="Times New Roman"/>
          <w:sz w:val="20"/>
        </w:rPr>
        <w:t xml:space="preserve">5.560% Senior Notes due 2033 </w:t>
      </w:r>
    </w:p>
    <w:p>
      <w:pPr>
        <w:pStyle w:val="TextBody"/>
        <w:bidi w:val="0"/>
        <w:spacing w:before="240" w:after="0"/>
        <w:jc w:val="center"/>
        <w:rPr>
          <w:rFonts w:ascii="Times New Roman" w:hAnsi="Times New Roman"/>
          <w:sz w:val="20"/>
        </w:rPr>
      </w:pPr>
      <w:r>
        <w:rPr>
          <w:rFonts w:ascii="Times New Roman" w:hAnsi="Times New Roman"/>
          <w:sz w:val="20"/>
        </w:rPr>
        <w:t xml:space="preserve">CUSIP No. 03027XCU2 </w:t>
      </w:r>
    </w:p>
    <w:p>
      <w:pPr>
        <w:pStyle w:val="TextBody"/>
        <w:bidi w:val="0"/>
        <w:spacing w:before="240" w:after="0"/>
        <w:jc w:val="center"/>
        <w:rPr>
          <w:rFonts w:ascii="Times New Roman" w:hAnsi="Times New Roman"/>
          <w:sz w:val="20"/>
        </w:rPr>
      </w:pPr>
      <w:r>
        <w:rPr>
          <w:rFonts w:ascii="Times New Roman" w:hAnsi="Times New Roman"/>
          <w:sz w:val="20"/>
        </w:rPr>
        <w:t xml:space="preserve">ISIN No. US03027XCU28 </w:t>
      </w:r>
    </w:p>
    <w:p>
      <w:pPr>
        <w:pStyle w:val="TextBody"/>
        <w:bidi w:val="0"/>
        <w:spacing w:before="240" w:after="0"/>
        <w:jc w:val="left"/>
        <w:rPr>
          <w:rFonts w:ascii="Times New Roman" w:hAnsi="Times New Roman"/>
          <w:sz w:val="20"/>
        </w:rPr>
      </w:pPr>
      <w:r>
        <w:rPr>
          <w:rFonts w:ascii="Times New Roman" w:hAnsi="Times New Roman"/>
          <w:sz w:val="20"/>
        </w:rPr>
        <w:t>American Tower Corporation, a Delaware corporation (the “</w:t>
      </w:r>
      <w:r>
        <w:rPr>
          <w:rFonts w:ascii="Times New Roman" w:hAnsi="Times New Roman"/>
          <w:b/>
          <w:sz w:val="20"/>
        </w:rPr>
        <w:t>Company</w:t>
      </w:r>
      <w:r>
        <w:rPr>
          <w:rFonts w:ascii="Times New Roman" w:hAnsi="Times New Roman"/>
          <w:sz w:val="20"/>
        </w:rPr>
        <w:t>”), for value received, hereby promises to pay to Cede &amp; Co., or its registered assigns, the principal sum of     dollars ($</w:t>
      </w:r>
      <w:r>
        <w:rPr>
          <w:rFonts w:ascii="Times New Roman" w:hAnsi="Times New Roman"/>
          <w:sz w:val="20"/>
          <w:u w:val="single"/>
        </w:rPr>
        <w:t>    </w:t>
      </w:r>
      <w:r>
        <w:rPr>
          <w:rFonts w:ascii="Times New Roman" w:hAnsi="Times New Roman"/>
          <w:sz w:val="20"/>
        </w:rPr>
        <w:t xml:space="preserve">) on September 15, 2033 and to pay interest thereon, as provided on the reverse hereof, until the principal and any unpaid and accrued interest are paid or duly provided for.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Dates: March 15 and September 15, with the first payment to be made on March 15, 2027. </w:t>
      </w:r>
    </w:p>
    <w:p>
      <w:pPr>
        <w:pStyle w:val="TextBody"/>
        <w:bidi w:val="0"/>
        <w:spacing w:before="240" w:after="0"/>
        <w:jc w:val="left"/>
        <w:rPr>
          <w:rFonts w:ascii="Times New Roman" w:hAnsi="Times New Roman"/>
          <w:sz w:val="20"/>
        </w:rPr>
      </w:pPr>
      <w:r>
        <w:rPr>
          <w:rFonts w:ascii="Times New Roman" w:hAnsi="Times New Roman"/>
          <w:sz w:val="20"/>
        </w:rPr>
        <w:t xml:space="preserve">Regular Record Dates: March 1 and September 1.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on the back of this certificate are incorporated as if set forth on the face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American Tower Corporation has caused this instrument to be duly signed.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25"/>
        <w:gridCol w:w="112"/>
        <w:gridCol w:w="3345"/>
      </w:tblGrid>
      <w:tr>
        <w:trPr/>
        <w:tc>
          <w:tcPr>
            <w:tcW w:w="625"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334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AMERICAN TOWER CORPORATION</w:t>
            </w:r>
          </w:p>
        </w:tc>
      </w:tr>
      <w:tr>
        <w:trPr>
          <w:trHeight w:val="240" w:hRule="atLeast"/>
        </w:trPr>
        <w:tc>
          <w:tcPr>
            <w:tcW w:w="625" w:type="dxa"/>
            <w:tcBorders/>
            <w:vAlign w:val="center"/>
          </w:tcPr>
          <w:p>
            <w:pPr>
              <w:pStyle w:val="TableContents"/>
              <w:bidi w:val="0"/>
              <w:spacing w:before="0" w:after="283"/>
              <w:jc w:val="left"/>
              <w:rPr>
                <w:sz w:val="4"/>
                <w:szCs w:val="4"/>
              </w:rPr>
            </w:pPr>
            <w:r>
              <w:rPr>
                <w:sz w:val="4"/>
                <w:szCs w:val="4"/>
              </w:rPr>
            </w:r>
          </w:p>
        </w:tc>
        <w:tc>
          <w:tcPr>
            <w:tcW w:w="3457" w:type="dxa"/>
            <w:gridSpan w:val="2"/>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283"/>
              <w:jc w:val="left"/>
              <w:rPr/>
            </w:pPr>
            <w:r>
              <w:rPr/>
              <w:t>By:</w:t>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pBdr>
                <w:bottom w:val="single" w:sz="2" w:space="1" w:color="000000"/>
              </w:pBdr>
              <w:bidi w:val="0"/>
              <w:spacing w:before="0" w:after="20"/>
              <w:jc w:val="left"/>
              <w:rPr/>
            </w:pPr>
            <w:r>
              <w:rPr/>
              <w:t> </w:t>
            </w:r>
          </w:p>
        </w:tc>
      </w:tr>
      <w:tr>
        <w:trPr/>
        <w:tc>
          <w:tcPr>
            <w:tcW w:w="62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bidi w:val="0"/>
              <w:spacing w:before="0" w:after="283"/>
              <w:jc w:val="left"/>
              <w:rPr/>
            </w:pPr>
            <w:r>
              <w:rPr/>
              <w:t>Name:</w:t>
            </w:r>
          </w:p>
        </w:tc>
      </w:tr>
      <w:tr>
        <w:trPr/>
        <w:tc>
          <w:tcPr>
            <w:tcW w:w="62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bidi w:val="0"/>
              <w:spacing w:before="0" w:after="283"/>
              <w:jc w:val="left"/>
              <w:rPr/>
            </w:pPr>
            <w:r>
              <w:rPr/>
              <w:t>Title:</w:t>
            </w:r>
          </w:p>
        </w:tc>
      </w:tr>
      <w:tr>
        <w:trPr>
          <w:trHeight w:val="240" w:hRule="atLeast"/>
        </w:trPr>
        <w:tc>
          <w:tcPr>
            <w:tcW w:w="625" w:type="dxa"/>
            <w:tcBorders/>
            <w:vAlign w:val="center"/>
          </w:tcPr>
          <w:p>
            <w:pPr>
              <w:pStyle w:val="TableContents"/>
              <w:bidi w:val="0"/>
              <w:spacing w:before="0" w:after="283"/>
              <w:jc w:val="left"/>
              <w:rPr>
                <w:sz w:val="4"/>
                <w:szCs w:val="4"/>
              </w:rPr>
            </w:pPr>
            <w:r>
              <w:rPr>
                <w:sz w:val="4"/>
                <w:szCs w:val="4"/>
              </w:rPr>
            </w:r>
          </w:p>
        </w:tc>
        <w:tc>
          <w:tcPr>
            <w:tcW w:w="3457" w:type="dxa"/>
            <w:gridSpan w:val="2"/>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283"/>
              <w:jc w:val="left"/>
              <w:rPr/>
            </w:pPr>
            <w:r>
              <w:rPr/>
              <w:t>By:</w:t>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pBdr>
                <w:bottom w:val="single" w:sz="2" w:space="1" w:color="000000"/>
              </w:pBdr>
              <w:bidi w:val="0"/>
              <w:spacing w:before="0" w:after="20"/>
              <w:jc w:val="left"/>
              <w:rPr/>
            </w:pPr>
            <w:r>
              <w:rPr/>
              <w:t> </w:t>
            </w:r>
          </w:p>
        </w:tc>
      </w:tr>
      <w:tr>
        <w:trPr/>
        <w:tc>
          <w:tcPr>
            <w:tcW w:w="62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bidi w:val="0"/>
              <w:spacing w:before="0" w:after="283"/>
              <w:jc w:val="left"/>
              <w:rPr/>
            </w:pPr>
            <w:r>
              <w:rPr/>
              <w:t>Name:</w:t>
            </w:r>
          </w:p>
        </w:tc>
      </w:tr>
      <w:tr>
        <w:trPr/>
        <w:tc>
          <w:tcPr>
            <w:tcW w:w="62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_______________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TRUSTEE’S CERTIFICATE OF AUTHENTICATION </w:t>
      </w:r>
    </w:p>
    <w:p>
      <w:pPr>
        <w:pStyle w:val="TextBody"/>
        <w:bidi w:val="0"/>
        <w:spacing w:before="120" w:after="0"/>
        <w:jc w:val="left"/>
        <w:rPr>
          <w:rFonts w:ascii="Times New Roman" w:hAnsi="Times New Roman"/>
          <w:sz w:val="20"/>
        </w:rPr>
      </w:pPr>
      <w:r>
        <w:rPr>
          <w:rFonts w:ascii="Times New Roman" w:hAnsi="Times New Roman"/>
          <w:sz w:val="20"/>
        </w:rPr>
        <w:t xml:space="preserve">This is one of the Securities of the series designated therein referred to in the within-mentioned Indenture. </w:t>
      </w:r>
    </w:p>
    <w:p>
      <w:pPr>
        <w:pStyle w:val="TextBody"/>
        <w:bidi w:val="0"/>
        <w:spacing w:before="240" w:after="0"/>
        <w:jc w:val="left"/>
        <w:rPr>
          <w:rFonts w:ascii="Times New Roman" w:hAnsi="Times New Roman"/>
          <w:sz w:val="20"/>
        </w:rPr>
      </w:pPr>
      <w:r>
        <w:rPr>
          <w:rFonts w:ascii="Times New Roman" w:hAnsi="Times New Roman"/>
          <w:sz w:val="20"/>
        </w:rPr>
        <w:t xml:space="preserve">U.S. BANK TRUST COMPANY, NATIONAL ASSOCIATION, as Trustee </w:t>
      </w:r>
    </w:p>
    <w:tbl>
      <w:tblPr>
        <w:tblW w:w="2000" w:type="pct"/>
        <w:jc w:val="lef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sz w:val="4"/>
                <w:szCs w:val="4"/>
              </w:rPr>
            </w:pPr>
            <w:r>
              <w:rPr>
                <w:sz w:val="4"/>
                <w:szCs w:val="4"/>
              </w:rPr>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pBdr>
                <w:bottom w:val="single" w:sz="2" w:space="1" w:color="000000"/>
              </w:pBdr>
              <w:bidi w:val="0"/>
              <w:spacing w:before="0" w:after="20"/>
              <w:jc w:val="left"/>
              <w:rPr/>
            </w:pPr>
            <w:r>
              <w:rPr/>
              <w:t> </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center"/>
              <w:rPr/>
            </w:pPr>
            <w:r>
              <w:rPr/>
              <w:t>Authorized Signatory</w:t>
            </w:r>
          </w:p>
        </w:tc>
      </w:tr>
    </w:tbl>
    <w:tbl>
      <w:tblPr>
        <w:tblW w:w="2000" w:type="pct"/>
        <w:jc w:val="left"/>
        <w:tblInd w:w="0" w:type="dxa"/>
        <w:tblLayout w:type="fixed"/>
        <w:tblCellMar>
          <w:top w:w="0" w:type="dxa"/>
          <w:left w:w="0" w:type="dxa"/>
          <w:bottom w:w="0" w:type="dxa"/>
          <w:right w:w="0" w:type="dxa"/>
        </w:tblCellMar>
      </w:tblPr>
      <w:tblGrid>
        <w:gridCol w:w="748"/>
        <w:gridCol w:w="60"/>
        <w:gridCol w:w="3274"/>
      </w:tblGrid>
      <w:tr>
        <w:trPr/>
        <w:tc>
          <w:tcPr>
            <w:tcW w:w="74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74"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748" w:type="dxa"/>
            <w:tcBorders/>
            <w:vAlign w:val="center"/>
          </w:tcPr>
          <w:p>
            <w:pPr>
              <w:pStyle w:val="TableContents"/>
              <w:bidi w:val="0"/>
              <w:spacing w:before="0" w:after="283"/>
              <w:jc w:val="left"/>
              <w:rPr>
                <w:sz w:val="4"/>
                <w:szCs w:val="4"/>
              </w:rPr>
            </w:pPr>
            <w:r>
              <w:rPr>
                <w:sz w:val="4"/>
                <w:szCs w:val="4"/>
              </w:rPr>
            </w:r>
          </w:p>
        </w:tc>
        <w:tc>
          <w:tcPr>
            <w:tcW w:w="3334" w:type="dxa"/>
            <w:gridSpan w:val="2"/>
            <w:tcBorders/>
            <w:vAlign w:val="center"/>
          </w:tcPr>
          <w:p>
            <w:pPr>
              <w:pStyle w:val="TableContents"/>
              <w:bidi w:val="0"/>
              <w:spacing w:before="0" w:after="283"/>
              <w:jc w:val="left"/>
              <w:rPr>
                <w:sz w:val="4"/>
                <w:szCs w:val="4"/>
              </w:rPr>
            </w:pPr>
            <w:r>
              <w:rPr>
                <w:sz w:val="4"/>
                <w:szCs w:val="4"/>
              </w:rPr>
            </w:r>
          </w:p>
        </w:tc>
      </w:tr>
      <w:tr>
        <w:trPr/>
        <w:tc>
          <w:tcPr>
            <w:tcW w:w="748" w:type="dxa"/>
            <w:tcBorders/>
          </w:tcPr>
          <w:p>
            <w:pPr>
              <w:pStyle w:val="TableContents"/>
              <w:bidi w:val="0"/>
              <w:spacing w:before="0" w:after="283"/>
              <w:jc w:val="left"/>
              <w:rPr/>
            </w:pPr>
            <w:r>
              <w:rPr/>
              <w:t>Dated:</w:t>
            </w:r>
          </w:p>
        </w:tc>
        <w:tc>
          <w:tcPr>
            <w:tcW w:w="60" w:type="dxa"/>
            <w:tcBorders/>
            <w:vAlign w:val="bottom"/>
          </w:tcPr>
          <w:p>
            <w:pPr>
              <w:pStyle w:val="TableContents"/>
              <w:bidi w:val="0"/>
              <w:spacing w:before="0" w:after="283"/>
              <w:jc w:val="left"/>
              <w:rPr/>
            </w:pPr>
            <w:r>
              <w:rPr/>
              <w:t> </w:t>
            </w:r>
          </w:p>
        </w:tc>
        <w:tc>
          <w:tcPr>
            <w:tcW w:w="3274" w:type="dxa"/>
            <w:tcBorders/>
          </w:tcPr>
          <w:p>
            <w:pPr>
              <w:pStyle w:val="TableContents"/>
              <w:bidi w:val="0"/>
              <w:spacing w:before="0" w:after="283"/>
              <w:jc w:val="left"/>
              <w:rPr>
                <w:u w:val="single"/>
              </w:rPr>
            </w:pPr>
            <w:r>
              <w:rPr>
                <w:u w:val="single"/>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OF SECURITY]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AMERICAN TOWER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5.560% Senior Notes due 2033 </w:t>
      </w:r>
    </w:p>
    <w:p>
      <w:pPr>
        <w:pStyle w:val="TextBody"/>
        <w:bidi w:val="0"/>
        <w:spacing w:before="0" w:after="0"/>
        <w:jc w:val="center"/>
        <w:rPr>
          <w:rFonts w:ascii="Times New Roman" w:hAnsi="Times New Roman"/>
          <w:b/>
          <w:sz w:val="20"/>
        </w:rPr>
      </w:pPr>
      <w:r>
        <w:rPr>
          <w:rFonts w:ascii="Times New Roman" w:hAnsi="Times New Roman"/>
          <w:b/>
          <w:sz w:val="20"/>
        </w:rPr>
        <w:t xml:space="preserve">(the “Securities”)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b/>
          <w:sz w:val="20"/>
        </w:rPr>
        <w:t>Interest</w:t>
      </w:r>
      <w:r>
        <w:rPr>
          <w:rFonts w:ascii="Times New Roman" w:hAnsi="Times New Roman"/>
          <w:sz w:val="20"/>
        </w:rPr>
        <w:t>. American Tower Corporation, a Delaware corporation (the “</w:t>
      </w:r>
      <w:r>
        <w:rPr>
          <w:rFonts w:ascii="Times New Roman" w:hAnsi="Times New Roman"/>
          <w:b/>
          <w:sz w:val="20"/>
        </w:rPr>
        <w:t>Company</w:t>
      </w:r>
      <w:r>
        <w:rPr>
          <w:rFonts w:ascii="Times New Roman" w:hAnsi="Times New Roman"/>
          <w:sz w:val="20"/>
        </w:rPr>
        <w:t xml:space="preserve">”), promises to pay interest on the principal amount of this Security at the rate </w:t>
      </w:r>
      <w:r>
        <w:rPr>
          <w:rFonts w:ascii="Times New Roman" w:hAnsi="Times New Roman"/>
          <w:i/>
          <w:sz w:val="20"/>
        </w:rPr>
        <w:t>per annum</w:t>
      </w:r>
      <w:r>
        <w:rPr>
          <w:rFonts w:ascii="Times New Roman" w:hAnsi="Times New Roman"/>
          <w:sz w:val="20"/>
        </w:rPr>
        <w:t xml:space="preserve"> shown above. The Company will pay interest, payable semi-annually in arrears, on March 15 and September 15 of each year, with the first payment to be made on March 15, 2027. Interest on the Securities will accrue on the principal amount from, and including, the most recent date to which interest has been paid or provided for or, if no interest has been paid, from, and including, September 14, 2026, in each case to, but excluding, the next Interest Payment Date or the Stated Maturity for the payment of principal on the Securities, as the case may be; </w:t>
      </w:r>
      <w:r>
        <w:rPr>
          <w:rFonts w:ascii="Times New Roman" w:hAnsi="Times New Roman"/>
          <w:i/>
          <w:sz w:val="20"/>
        </w:rPr>
        <w:t>provided</w:t>
      </w:r>
      <w:r>
        <w:rPr>
          <w:rFonts w:ascii="Times New Roman" w:hAnsi="Times New Roman"/>
          <w:sz w:val="20"/>
        </w:rPr>
        <w:t xml:space="preserve"> that if there is no existing Default in the payment of interest, the Company shall pay interest (including post-petition interest in any proceeding under any Bankruptcy Law) on overdue principal and premium, if any, from time to time on demand at a rate that is 1% per annum in excess of the rate then in effect; it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b/>
          <w:sz w:val="20"/>
        </w:rPr>
        <w:t>Maturity</w:t>
      </w:r>
      <w:r>
        <w:rPr>
          <w:rFonts w:ascii="Times New Roman" w:hAnsi="Times New Roman"/>
          <w:sz w:val="20"/>
        </w:rPr>
        <w:t xml:space="preserve">. The Securities will mature on September 15, 2033.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b/>
          <w:sz w:val="20"/>
        </w:rPr>
        <w:t>Method of Payment</w:t>
      </w:r>
      <w:r>
        <w:rPr>
          <w:rFonts w:ascii="Times New Roman" w:hAnsi="Times New Roman"/>
          <w:sz w:val="20"/>
        </w:rPr>
        <w:t xml:space="preserve">. Except as provided in the Indenture (as defined below), the Company shall pay interest on the Securities to the persons who are Holders of record of Securities at the close of business on the Regular Record Date set forth on the face of this Security next preceding the applicable Interest Payment Date. Holders must surrender Securities to a Paying Agent to collect the principal amount. The Company shall pay, in money of the United States that at the time of payment is legal tender for payment of public and private debts, all amounts due in cash with respect to the Securities, which amounts shall be paid (A) in the case this Security is a Global Security, by wire transfer of immediately available funds to the account designated by the Depository for the Securities or its nominee; and (B) in the case this Security is a Physical Security, by mailing a check to the address of the relevant Holder set forth in the Security Register for the Securities. The Company shall pay, in cash, interest on any overdue amount (including, to the extent permitted by applicable law, overdue interest) at the rate borne by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b/>
          <w:sz w:val="20"/>
        </w:rPr>
        <w:t>Paying Agent and Registrar</w:t>
      </w:r>
      <w:r>
        <w:rPr>
          <w:rFonts w:ascii="Times New Roman" w:hAnsi="Times New Roman"/>
          <w:sz w:val="20"/>
        </w:rPr>
        <w:t>. Initially, U.S. Bank Trust Company, National Association (the “</w:t>
      </w:r>
      <w:r>
        <w:rPr>
          <w:rFonts w:ascii="Times New Roman" w:hAnsi="Times New Roman"/>
          <w:b/>
          <w:sz w:val="20"/>
        </w:rPr>
        <w:t>Trustee</w:t>
      </w:r>
      <w:r>
        <w:rPr>
          <w:rFonts w:ascii="Times New Roman" w:hAnsi="Times New Roman"/>
          <w:sz w:val="20"/>
        </w:rPr>
        <w:t xml:space="preserve">”) shall act as Paying Agent and Registrar. The Company may change any Paying Agent or Registrar upon prior written notice to the Trustee. The Company or any of its Subsidiaries may act in any such capacity.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b/>
          <w:sz w:val="20"/>
        </w:rPr>
        <w:t>Indenture</w:t>
      </w:r>
      <w:r>
        <w:rPr>
          <w:rFonts w:ascii="Times New Roman" w:hAnsi="Times New Roman"/>
          <w:sz w:val="20"/>
        </w:rPr>
        <w:t>. The Company issued the Securities under an indenture dated as of June 2, 2025 (as amended, supplemented or otherwise modified from time to time prior to the date hereof, the “</w:t>
      </w:r>
      <w:r>
        <w:rPr>
          <w:rFonts w:ascii="Times New Roman" w:hAnsi="Times New Roman"/>
          <w:b/>
          <w:sz w:val="20"/>
        </w:rPr>
        <w:t>Base Indenture</w:t>
      </w:r>
      <w:r>
        <w:rPr>
          <w:rFonts w:ascii="Times New Roman" w:hAnsi="Times New Roman"/>
          <w:sz w:val="20"/>
        </w:rPr>
        <w:t>”) between the Company and the Trustee, as amended, supplemented or otherwise modified by the Supplemental Indenture No. 3 (the “</w:t>
      </w:r>
      <w:r>
        <w:rPr>
          <w:rFonts w:ascii="Times New Roman" w:hAnsi="Times New Roman"/>
          <w:b/>
          <w:sz w:val="20"/>
        </w:rPr>
        <w:t>Supplemental Indenture</w:t>
      </w:r>
      <w:r>
        <w:rPr>
          <w:rFonts w:ascii="Times New Roman" w:hAnsi="Times New Roman"/>
          <w:sz w:val="20"/>
        </w:rPr>
        <w:t>”), dated as of September 14, 2026, between the Company and the Trustee (the Base Indenture, as amended, supplemented or otherwise modified by the Supplemental Indenture, the “</w:t>
      </w:r>
      <w:r>
        <w:rPr>
          <w:rFonts w:ascii="Times New Roman" w:hAnsi="Times New Roman"/>
          <w:b/>
          <w:sz w:val="20"/>
        </w:rPr>
        <w:t>Indenture</w:t>
      </w:r>
      <w:r>
        <w:rPr>
          <w:rFonts w:ascii="Times New Roman" w:hAnsi="Times New Roman"/>
          <w:sz w:val="20"/>
        </w:rPr>
        <w:t>”). The terms of the Securities include those stated in the Indenture and those made part of the Indenture by reference to the Trust Indenture Act of 1939 (15 U.S. Code §§ 77aaa-77bbbb) (the “</w:t>
      </w:r>
      <w:r>
        <w:rPr>
          <w:rFonts w:ascii="Times New Roman" w:hAnsi="Times New Roman"/>
          <w:b/>
          <w:sz w:val="20"/>
        </w:rPr>
        <w:t>TIA</w:t>
      </w:r>
      <w:r>
        <w:rPr>
          <w:rFonts w:ascii="Times New Roman" w:hAnsi="Times New Roman"/>
          <w:sz w:val="20"/>
        </w:rPr>
        <w:t xml:space="preserve">”) as amended and in effect from time to time. The Securities are subject to all such terms, and Holders are referred to the Indenture and the TIA for a statement of such terms. To the extent any provision of this Security conflicts with the express provisions of the Indenture, the provisions of the Indenture shall govern and be controlling. The Securities are general unsecured senior obligations of the Company. The Original Securities are limited to $500,000,000 aggregate principal amount, except as otherwise provided in the Indenture (except for Securities issued in substitution for destroyed, mutilated, lost or stolen Securities). Subject to the conditions set forth in the Indenture and without the consent of the Holders, the Company may issue Additional Securities. All Securities, including any Additional Securities, shall be treated as a single class of securities under the Indenture. Terms used herein without definition and that are defined in the Indenture have the meanings assigned to them in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b/>
          <w:sz w:val="20"/>
        </w:rPr>
        <w:t>Optional Redemption</w:t>
      </w:r>
      <w:r>
        <w:rPr>
          <w:rFonts w:ascii="Times New Roman" w:hAnsi="Times New Roman"/>
          <w:sz w:val="20"/>
        </w:rPr>
        <w:t xml:space="preserve">. The Securities are redeemable at the Company’s election, in whole or in part, at any time and from time to time. If the Company redeems the Securities prior to the First Par Call Date, the Company will pay a redemption price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 100% of the principal amount of the Securities to be redeemed then outstanding; and </w:t>
      </w:r>
    </w:p>
    <w:p>
      <w:pPr>
        <w:pStyle w:val="TextBody"/>
        <w:bidi w:val="0"/>
        <w:spacing w:before="120" w:after="0"/>
        <w:jc w:val="left"/>
        <w:rPr>
          <w:rFonts w:ascii="Times New Roman" w:hAnsi="Times New Roman"/>
          <w:sz w:val="20"/>
        </w:rPr>
      </w:pPr>
      <w:r>
        <w:rPr>
          <w:rFonts w:ascii="Times New Roman" w:hAnsi="Times New Roman"/>
          <w:sz w:val="20"/>
        </w:rPr>
        <w:t xml:space="preserve">(2) (a) the sum of the present values of the remaining scheduled payments of principal and interest thereon discounted to the redemption date (assuming the Securities matured on the First Par Call Date) on a semi-annual basis (assuming a 360-day year consisting of twelve 30-day months) at the Treasury Rate for the Securities plus 15 basis points less (b) interest accrued to the date of redemption;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of the above cases, accrued and unpaid interest to the date of redemption on the Securities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redeems the Securities on or after the First Par Call Date, the Company will pay a redemption price equal to 100% of the principal amount of the Securities to be redeemed plus accrued and unpaid interest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actions and determinations in calculating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selects a redemption date that is on or after a Regular Record Date and on or before the related Interest Payment Date, the accrued and unpaid interest, if any, shall be paid to the person in whose name the Security is registered at the close of business on such Regular Record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give a notice of redemption at least 10 days, but not more than 60 days, before the redemption date to each Holder of the Securities to be redeemed, except that redemption notices may be given more than 60 days prior to a redemption date if the notice is issued in connection with a defeasance of the Securities or a satisfaction and discharge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Unless the Company defaults in payment of the redemption price, on and after the redemption date, interest shall cease to accrue on the Securities or portions thereof called for redemption. Securities called for redemption become due on the date fixed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the following terms have the following meanings: </w:t>
      </w:r>
    </w:p>
    <w:p>
      <w:pPr>
        <w:pStyle w:val="TextBody"/>
        <w:bidi w:val="0"/>
        <w:spacing w:before="240" w:after="0"/>
        <w:jc w:val="left"/>
        <w:rPr/>
      </w:pPr>
      <w:r>
        <w:rPr/>
        <w:t>“</w:t>
      </w:r>
      <w:r>
        <w:rPr>
          <w:rFonts w:ascii="Times New Roman" w:hAnsi="Times New Roman"/>
          <w:b/>
          <w:sz w:val="20"/>
        </w:rPr>
        <w:t>First Par Call Date</w:t>
      </w:r>
      <w:r>
        <w:rPr>
          <w:rFonts w:ascii="Times New Roman" w:hAnsi="Times New Roman"/>
          <w:sz w:val="20"/>
        </w:rPr>
        <w:t xml:space="preserve">” means July 15, 2033. </w:t>
      </w:r>
    </w:p>
    <w:p>
      <w:pPr>
        <w:pStyle w:val="TextBody"/>
        <w:bidi w:val="0"/>
        <w:spacing w:before="240" w:after="0"/>
        <w:jc w:val="left"/>
        <w:rPr/>
      </w:pPr>
      <w:r>
        <w:rPr/>
        <w:t>“</w:t>
      </w:r>
      <w:r>
        <w:rPr>
          <w:rFonts w:ascii="Times New Roman" w:hAnsi="Times New Roman"/>
          <w:b/>
          <w:sz w:val="20"/>
        </w:rPr>
        <w:t>Treasury Rate</w:t>
      </w:r>
      <w:r>
        <w:rPr>
          <w:rFonts w:ascii="Times New Roman" w:hAnsi="Times New Roman"/>
          <w:sz w:val="20"/>
        </w:rPr>
        <w:t xml:space="preserve">” means, with respect to any redemption date, the yield determined by the Company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hAnsi="Times New Roman"/>
          <w:b/>
          <w:sz w:val="20"/>
        </w:rPr>
        <w:t>H.15</w:t>
      </w:r>
      <w:r>
        <w:rPr>
          <w:rFonts w:ascii="Times New Roman" w:hAnsi="Times New Roman"/>
          <w:sz w:val="20"/>
        </w:rPr>
        <w:t>”) under the caption “U.S. government securities–Treasury constant maturities–Nominal” (or any successor caption or heading) (“</w:t>
      </w:r>
      <w:r>
        <w:rPr>
          <w:rFonts w:ascii="Times New Roman" w:hAnsi="Times New Roman"/>
          <w:b/>
          <w:sz w:val="20"/>
        </w:rPr>
        <w:t>H.15 TCM</w:t>
      </w:r>
      <w:r>
        <w:rPr>
          <w:rFonts w:ascii="Times New Roman" w:hAnsi="Times New Roman"/>
          <w:sz w:val="20"/>
        </w:rPr>
        <w:t>”). In determining the Treasury Rate, the Company shall select, as applicable: (1) the yield for the Treasury constant maturity on H.15 exactly equal to the period from the redemption date to the First Par Call Date (the “</w:t>
      </w:r>
      <w:r>
        <w:rPr>
          <w:rFonts w:ascii="Times New Roman" w:hAnsi="Times New Roman"/>
          <w:b/>
          <w:sz w:val="20"/>
        </w:rPr>
        <w:t>Remaining Life</w:t>
      </w:r>
      <w:r>
        <w:rPr>
          <w:rFonts w:ascii="Times New Roman" w:hAnsi="Times New Roman"/>
          <w:sz w:val="20"/>
        </w:rPr>
        <w:t xml:space="preserv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First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First Par Call Date, as applicable. If there is no United States Treasury security maturing on the First Par Call Date but there are two or more United States Treasury securities with a maturity date equally distant from the First Par Call Date, one with a maturity date preceding the First Par Call Date and one with a maturity date following the First Par Call Date, the Company shall select the United States Treasury security with a maturity date preceding the First Par Call Date. If there are two or more United States Treasury securities maturing on the First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b/>
          <w:sz w:val="20"/>
        </w:rPr>
        <w:t xml:space="preserve">No Mandatory Redemption. </w:t>
      </w:r>
      <w:r>
        <w:rPr>
          <w:rFonts w:ascii="Times New Roman" w:hAnsi="Times New Roman"/>
          <w:sz w:val="20"/>
        </w:rPr>
        <w:t xml:space="preserve">The Company shall not be required to make mandatory redemption payments with respect to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b/>
          <w:sz w:val="20"/>
        </w:rPr>
        <w:t>Repurchase at Option of Holder</w:t>
      </w:r>
      <w:r>
        <w:rPr>
          <w:rFonts w:ascii="Times New Roman" w:hAnsi="Times New Roman"/>
          <w:sz w:val="20"/>
        </w:rPr>
        <w:t xml:space="preserve">. Upon the occurrence of a Change of Control Triggering Event, and subject to certain conditions set forth in the Indenture, the Company shall be required to offer to purchase all of the outstanding Securities at a purchase price equal to 101% of the principal amount thereof, plus accrued and unpaid interest, if any, thereon to the date of repurchase.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b/>
          <w:sz w:val="20"/>
        </w:rPr>
        <w:t>Notice of Redemption.</w:t>
      </w:r>
      <w:r>
        <w:rPr>
          <w:rFonts w:ascii="Times New Roman" w:hAnsi="Times New Roman"/>
          <w:sz w:val="20"/>
        </w:rPr>
        <w:t xml:space="preserve"> Notice of redemption shall be given at least 10 days but not more than 60 days before the redemption date to each Holder whose Securities are to be redeemed, except that redemption notices may be given more than 60 days prior to a redemption date if the notice is issued in connection with Article 10 or Article 11 of the Base Indenture. Securities in denominations larger than $2,000 may be redeemed in part but only in whole multiples of $1,000, unless all of the Securities held by a Holder are to be redeemed. Unless the Company defaults in payment of the redemption price, on and after the redemption date interest shall cease to accrue on Securities or portions thereof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b/>
          <w:sz w:val="20"/>
        </w:rPr>
        <w:t>Denominations, Transfer, Exchange</w:t>
      </w:r>
      <w:r>
        <w:rPr>
          <w:rFonts w:ascii="Times New Roman" w:hAnsi="Times New Roman"/>
          <w:sz w:val="20"/>
        </w:rPr>
        <w:t xml:space="preserve">. The Securities are in registered form, without coupons, in denominations of $2,000 principal amount and integral multiples of $1,000 principal amount. The transfer of Securities may be registered and Securities may be exchanged as provided in the Indenture. The Registrar may require a Holder, among other things, to furnish appropriate endorsements and transfer documents. No service charge shall be made for any such registration of transfer or exchange, but the Company may require payment of a sum sufficient to cover any tax or similar governmental charge that may be imposed in connection with certain transfers or exchanges. The Company shall not be required to register the transfer of or exchange any Security selected for redemption, except for the unredeemed portion of any Security being redeemed in part. Also, the Company need not exchange or register the transfer of any Securities for a period of 10 days next preceding the date notice of redemption of Securities to be redeemed was first given.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rPr>
        <w:t>Persons Deemed Owners</w:t>
      </w:r>
      <w:r>
        <w:rPr>
          <w:rFonts w:ascii="Times New Roman" w:hAnsi="Times New Roman"/>
          <w:sz w:val="20"/>
        </w:rPr>
        <w:t xml:space="preserve">. The registered Holder of a Security shall be treated as the owner of such Security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rPr>
        <w:t>Merger or Consolidation</w:t>
      </w:r>
      <w:r>
        <w:rPr>
          <w:rFonts w:ascii="Times New Roman" w:hAnsi="Times New Roman"/>
          <w:sz w:val="20"/>
        </w:rPr>
        <w:t xml:space="preserve">. The Company shall not consolidate with or merge with or into, or sell, transfer, lease, convey or otherwise dispose of all or substantially all of its property or assets to, another Person (including pursuant to a statutory arrangement), whether in a single transaction or series of related transactions, unless it complies with Article 8 of the Base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w:t>
      </w:r>
      <w:r>
        <w:rPr>
          <w:rFonts w:ascii="Times New Roman" w:hAnsi="Times New Roman"/>
          <w:b/>
          <w:sz w:val="20"/>
        </w:rPr>
        <w:t>Amendments, Supplements and Waivers</w:t>
      </w:r>
      <w:r>
        <w:rPr>
          <w:rFonts w:ascii="Times New Roman" w:hAnsi="Times New Roman"/>
          <w:sz w:val="20"/>
        </w:rPr>
        <w:t xml:space="preserve">. The Indenture or the Securities may be amended or supplemented as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b/>
          <w:sz w:val="20"/>
        </w:rPr>
        <w:t>Defaults and Remedies</w:t>
      </w:r>
      <w:r>
        <w:rPr>
          <w:rFonts w:ascii="Times New Roman" w:hAnsi="Times New Roman"/>
          <w:sz w:val="20"/>
        </w:rPr>
        <w:t xml:space="preserve">. The Events of Default relating to the Securities are defined in Section 5.01 of the Base Indenture. If any Event of Default occurs and is continuing, the Trustee or the Holders of at least 25% in principal amount of the then outstanding Securities may declare the principal, premium, if any, interest and any other monetary obligations on all the then outstanding Securities to be due and payable immediately. Notwithstanding the foregoing, in the case of an Event of Default arising from certain events of bankruptcy or insolvency, all outstanding Securities shall become due and payable immediately without further action or notice. </w:t>
      </w:r>
    </w:p>
    <w:p>
      <w:pPr>
        <w:pStyle w:val="TextBody"/>
        <w:bidi w:val="0"/>
        <w:spacing w:before="240" w:after="0"/>
        <w:jc w:val="left"/>
        <w:rPr>
          <w:rFonts w:ascii="Times New Roman" w:hAnsi="Times New Roman"/>
          <w:sz w:val="20"/>
        </w:rPr>
      </w:pPr>
      <w:r>
        <w:rPr>
          <w:rFonts w:ascii="Times New Roman" w:hAnsi="Times New Roman"/>
          <w:sz w:val="20"/>
        </w:rPr>
        <w:t xml:space="preserve">Holders may not enforce the Indenture or the Securities except as provided in the Indenture. Subject to certain limitations, Holders of a majority in aggregate principal amount of the then outstanding Securities may direct the Trustee in its exercise of any trust or power. The Trustee may withhold from Holders of the Securities notice of any continuing Default (except a Default relating to the payment of principal, premium, if any, or interest) if it determines that withholding notice is in their interest. The Holders of a majority in aggregate principal amount of the Securities then outstanding by notice to the Trustee may on behalf of the Holders of all of the Securities waive any existing Default and its consequences under the Indenture except a continuing Default in payment of the principal of, premium, if any, or interest, if any, on, any of the Securities held by a non-consenting Holder. The Company is required to deliver to the Trustee annually a statement regarding compliance with the Indenture, and the Company is required upon becoming aware of any Default or Event of Default, to deliver to the Trustee a statement specifying such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b/>
          <w:sz w:val="20"/>
        </w:rPr>
        <w:t>Trustee Dealings with the Company</w:t>
      </w:r>
      <w:r>
        <w:rPr>
          <w:rFonts w:ascii="Times New Roman" w:hAnsi="Times New Roman"/>
          <w:sz w:val="20"/>
        </w:rPr>
        <w:t xml:space="preserve">. The Trustee, in its individual or any other capacity, may make loans to, accept deposits from, and perform services for the Company or its affiliates, and may otherwise deal with the Company or its affiliates, as if it were not the Trustee.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b/>
          <w:sz w:val="20"/>
        </w:rPr>
        <w:t>No Recourse Against Others</w:t>
      </w:r>
      <w:r>
        <w:rPr>
          <w:rFonts w:ascii="Times New Roman" w:hAnsi="Times New Roman"/>
          <w:sz w:val="20"/>
        </w:rPr>
        <w:t xml:space="preserve">. A director, officer, employee, incorporator or stockholder, of the Company, as such, shall not have any liability for any obligations of the Company under the Securities or the Indenture or for any claim based on, in respect of, or by reason of, such obligations or their creation. Each Holder by accepting a Security waives and releases all such liability. The waiver and release are part of the consideration for the issuance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b/>
          <w:sz w:val="20"/>
        </w:rPr>
        <w:t>Authentication</w:t>
      </w:r>
      <w:r>
        <w:rPr>
          <w:rFonts w:ascii="Times New Roman" w:hAnsi="Times New Roman"/>
          <w:sz w:val="20"/>
        </w:rPr>
        <w:t xml:space="preserve">. This Security shall not be valid until authenticated by the manual, facsimile or electronic signature of the Trustee or an authenticating agent in accordance with the Indenture.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b/>
          <w:sz w:val="20"/>
        </w:rPr>
        <w:t>Abbreviations</w:t>
      </w:r>
      <w:r>
        <w:rPr>
          <w:rFonts w:ascii="Times New Roman" w:hAnsi="Times New Roman"/>
          <w:sz w:val="20"/>
        </w:rPr>
        <w:t xml:space="preserve">. Customary abbreviations may be used in the name of a Holder or an assignee, such as: TEN COM (= tenants in common), TEN ENT (= tenants by the entireties), JT TEN (= joint tenants with right of survivorship and not as tenants in common), CUST (= Custodian), and U/G/M/A (= Uniform Gifts to Minors Act).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b/>
          <w:sz w:val="20"/>
        </w:rPr>
        <w:t>CUSIP and ISIN Numbers</w:t>
      </w:r>
      <w:r>
        <w:rPr>
          <w:rFonts w:ascii="Times New Roman" w:hAnsi="Times New Roman"/>
          <w:sz w:val="20"/>
        </w:rPr>
        <w:t xml:space="preserve">. Pursuant to a recommendation promulgated by the Committee on Uniform Security Identification Procedures, the Company has caused CUSIP and ISIN numbers to be printed on the Securities and the Trustee may use CUSIP and ISIN numbers in notices of redemption as a convenience to Holders. No representation is made as to the accuracy of such numbers either as printed on the Securities or as contained in any notice of redemption and reliance may be placed only on the other identification numbers placed thereon.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FURNISH TO ANY HOLDER UPON WRITTEN REQUEST AND WITHOUT CHARGE A COPY OF THE BASE INDENTURE OR THE SUPPLEMENTAL INDENTURE. REQUESTS MAY BE MADE TO: </w:t>
      </w:r>
    </w:p>
    <w:p>
      <w:pPr>
        <w:pStyle w:val="TextBody"/>
        <w:bidi w:val="0"/>
        <w:spacing w:before="240" w:after="0"/>
        <w:jc w:val="center"/>
        <w:rPr>
          <w:rFonts w:ascii="Times New Roman" w:hAnsi="Times New Roman"/>
          <w:sz w:val="20"/>
        </w:rPr>
      </w:pPr>
      <w:r>
        <w:rPr>
          <w:rFonts w:ascii="Times New Roman" w:hAnsi="Times New Roman"/>
          <w:sz w:val="20"/>
        </w:rPr>
        <w:t xml:space="preserve">American Tower Corporation </w:t>
      </w:r>
    </w:p>
    <w:p>
      <w:pPr>
        <w:pStyle w:val="TextBody"/>
        <w:bidi w:val="0"/>
        <w:spacing w:before="0" w:after="0"/>
        <w:jc w:val="center"/>
        <w:rPr>
          <w:rFonts w:ascii="Times New Roman" w:hAnsi="Times New Roman"/>
          <w:sz w:val="20"/>
        </w:rPr>
      </w:pPr>
      <w:r>
        <w:rPr>
          <w:rFonts w:ascii="Times New Roman" w:hAnsi="Times New Roman"/>
          <w:sz w:val="20"/>
        </w:rPr>
        <w:t xml:space="preserve">222 Berkeley Street </w:t>
      </w:r>
    </w:p>
    <w:p>
      <w:pPr>
        <w:pStyle w:val="TextBody"/>
        <w:bidi w:val="0"/>
        <w:spacing w:before="0" w:after="0"/>
        <w:jc w:val="center"/>
        <w:rPr>
          <w:rFonts w:ascii="Times New Roman" w:hAnsi="Times New Roman"/>
          <w:sz w:val="20"/>
        </w:rPr>
      </w:pPr>
      <w:r>
        <w:rPr>
          <w:rFonts w:ascii="Times New Roman" w:hAnsi="Times New Roman"/>
          <w:sz w:val="20"/>
        </w:rPr>
        <w:t xml:space="preserve">Boston, MA 02116 </w:t>
      </w:r>
    </w:p>
    <w:p>
      <w:pPr>
        <w:pStyle w:val="TextBody"/>
        <w:bidi w:val="0"/>
        <w:spacing w:before="0" w:after="0"/>
        <w:jc w:val="center"/>
        <w:rPr>
          <w:rFonts w:ascii="Times New Roman" w:hAnsi="Times New Roman"/>
          <w:sz w:val="20"/>
        </w:rPr>
      </w:pPr>
      <w:r>
        <w:rPr>
          <w:rFonts w:ascii="Times New Roman" w:hAnsi="Times New Roman"/>
          <w:sz w:val="20"/>
        </w:rPr>
        <w:t xml:space="preserve">Telephone No.: (617) 375-7500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[FORM OF ASSIGNMENT] </w:t>
      </w:r>
    </w:p>
    <w:p>
      <w:pPr>
        <w:pStyle w:val="TextBody"/>
        <w:bidi w:val="0"/>
        <w:spacing w:before="240" w:after="0"/>
        <w:jc w:val="left"/>
        <w:rPr>
          <w:rFonts w:ascii="Times New Roman" w:hAnsi="Times New Roman"/>
          <w:sz w:val="20"/>
        </w:rPr>
      </w:pPr>
      <w:r>
        <w:rPr>
          <w:rFonts w:ascii="Times New Roman" w:hAnsi="Times New Roman"/>
          <w:sz w:val="20"/>
        </w:rPr>
        <w:t xml:space="preserve">I or we assign to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2017"/>
        <w:gridCol w:w="411"/>
        <w:gridCol w:w="1654"/>
      </w:tblGrid>
      <w:tr>
        <w:trPr/>
        <w:tc>
          <w:tcPr>
            <w:tcW w:w="2017" w:type="dxa"/>
            <w:tcBorders/>
            <w:vAlign w:val="center"/>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PLEASE INSERT SOCIAL SECURITY OR</w:t>
            </w:r>
          </w:p>
        </w:tc>
      </w:tr>
      <w:tr>
        <w:trPr/>
        <w:tc>
          <w:tcPr>
            <w:tcW w:w="4082" w:type="dxa"/>
            <w:gridSpan w:val="3"/>
            <w:tcBorders/>
          </w:tcPr>
          <w:p>
            <w:pPr>
              <w:pStyle w:val="TableContents"/>
              <w:bidi w:val="0"/>
              <w:spacing w:before="0" w:after="283"/>
              <w:jc w:val="left"/>
              <w:rPr/>
            </w:pPr>
            <w:r>
              <w:rPr/>
              <w:t>OTHER IDENTIFYING NUMBER</w:t>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(please print or type name and address)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within Security and all rights thereunder, and hereby irrevocably constitute and appoint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2041"/>
        <w:gridCol w:w="40"/>
        <w:gridCol w:w="2001"/>
      </w:tblGrid>
      <w:tr>
        <w:trPr/>
        <w:tc>
          <w:tcPr>
            <w:tcW w:w="2041" w:type="dxa"/>
            <w:tcBorders/>
            <w:vAlign w:val="center"/>
          </w:tcPr>
          <w:p>
            <w:pPr>
              <w:pStyle w:val="TableContents"/>
              <w:bidi w:val="0"/>
              <w:spacing w:before="0" w:after="283"/>
              <w:jc w:val="left"/>
              <w:rPr>
                <w:sz w:val="4"/>
                <w:szCs w:val="4"/>
              </w:rPr>
            </w:pPr>
            <w:r>
              <w:rPr>
                <w:sz w:val="4"/>
                <w:szCs w:val="4"/>
              </w:rPr>
            </w:r>
          </w:p>
        </w:tc>
        <w:tc>
          <w:tcPr>
            <w:tcW w:w="40" w:type="dxa"/>
            <w:tcBorders/>
            <w:vAlign w:val="bottom"/>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Attorney to transfer the Security on the books of the Company with full power of substitution in the premises.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10"/>
        <w:gridCol w:w="60"/>
        <w:gridCol w:w="3312"/>
      </w:tblGrid>
      <w:tr>
        <w:trPr/>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2" w:type="dxa"/>
            <w:tcBorders/>
            <w:vAlign w:val="center"/>
          </w:tcPr>
          <w:p>
            <w:pPr>
              <w:pStyle w:val="TableContents"/>
              <w:bidi w:val="0"/>
              <w:spacing w:before="0" w:after="283"/>
              <w:jc w:val="left"/>
              <w:rPr>
                <w:sz w:val="4"/>
                <w:szCs w:val="4"/>
              </w:rPr>
            </w:pPr>
            <w:r>
              <w:rPr>
                <w:sz w:val="4"/>
                <w:szCs w:val="4"/>
              </w:rPr>
            </w:r>
          </w:p>
        </w:tc>
      </w:tr>
      <w:tr>
        <w:trPr/>
        <w:tc>
          <w:tcPr>
            <w:tcW w:w="710" w:type="dxa"/>
            <w:tcBorders/>
          </w:tcPr>
          <w:p>
            <w:pPr>
              <w:pStyle w:val="TableContents"/>
              <w:bidi w:val="0"/>
              <w:spacing w:before="0" w:after="283"/>
              <w:jc w:val="left"/>
              <w:rPr/>
            </w:pPr>
            <w:r>
              <w:rPr/>
              <w:t>Dated:</w:t>
            </w:r>
          </w:p>
        </w:tc>
        <w:tc>
          <w:tcPr>
            <w:tcW w:w="60" w:type="dxa"/>
            <w:tcBorders/>
            <w:vAlign w:val="bottom"/>
          </w:tcPr>
          <w:p>
            <w:pPr>
              <w:pStyle w:val="TableContents"/>
              <w:bidi w:val="0"/>
              <w:spacing w:before="0" w:after="283"/>
              <w:jc w:val="left"/>
              <w:rPr/>
            </w:pPr>
            <w:r>
              <w:rPr/>
              <w:t> </w:t>
            </w:r>
          </w:p>
        </w:tc>
        <w:tc>
          <w:tcPr>
            <w:tcW w:w="3312" w:type="dxa"/>
            <w:tcBorders/>
          </w:tcPr>
          <w:p>
            <w:pPr>
              <w:pStyle w:val="TableContents"/>
              <w:bidi w:val="0"/>
              <w:spacing w:before="0" w:after="283"/>
              <w:jc w:val="left"/>
              <w:rPr>
                <w:u w:val="single"/>
              </w:rPr>
            </w:pPr>
            <w:r>
              <w:rPr>
                <w:u w:val="single"/>
              </w:rPr>
              <w:t>     </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NOTICE: The signature on this assignment must correspond with the name as it appears upon the face of the within Security in every particular without alteration or enlargement or any change whatsoever and be guaranteed by a guarantor institution participating in the Securities Transfer Agents Medallion Program or in such other guarantee program acceptable to the Trustee.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2257"/>
        <w:gridCol w:w="60"/>
        <w:gridCol w:w="1765"/>
      </w:tblGrid>
      <w:tr>
        <w:trPr/>
        <w:tc>
          <w:tcPr>
            <w:tcW w:w="225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r>
      <w:tr>
        <w:trPr/>
        <w:tc>
          <w:tcPr>
            <w:tcW w:w="2257" w:type="dxa"/>
            <w:tcBorders/>
          </w:tcPr>
          <w:p>
            <w:pPr>
              <w:pStyle w:val="TableContents"/>
              <w:bidi w:val="0"/>
              <w:spacing w:before="0" w:after="283"/>
              <w:jc w:val="left"/>
              <w:rPr/>
            </w:pPr>
            <w:r>
              <w:rPr/>
              <w:t>Signature Guarantee:</w:t>
            </w:r>
          </w:p>
        </w:tc>
        <w:tc>
          <w:tcPr>
            <w:tcW w:w="60" w:type="dxa"/>
            <w:tcBorders/>
            <w:vAlign w:val="bottom"/>
          </w:tcPr>
          <w:p>
            <w:pPr>
              <w:pStyle w:val="TableContents"/>
              <w:bidi w:val="0"/>
              <w:spacing w:before="0" w:after="283"/>
              <w:jc w:val="left"/>
              <w:rPr/>
            </w:pPr>
            <w:r>
              <w:rPr/>
              <w:t> </w:t>
            </w:r>
          </w:p>
        </w:tc>
        <w:tc>
          <w:tcPr>
            <w:tcW w:w="1765"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Option of Holder to Elect Purchase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only part of the Security purchased by the Company pursuant to Section 4.01(b) of the Supplemental Indenture, state the amount you elect to have purchased: </w:t>
      </w:r>
    </w:p>
    <w:p>
      <w:pPr>
        <w:pStyle w:val="TextBody"/>
        <w:bidi w:val="0"/>
        <w:spacing w:before="240" w:after="0"/>
        <w:jc w:val="center"/>
        <w:rPr>
          <w:rFonts w:ascii="Times New Roman" w:hAnsi="Times New Roman"/>
          <w:sz w:val="20"/>
        </w:rPr>
      </w:pPr>
      <w:r>
        <w:rPr>
          <w:rFonts w:ascii="Times New Roman" w:hAnsi="Times New Roman"/>
          <w:sz w:val="20"/>
        </w:rPr>
        <w:t xml:space="preserve">$_______________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Date:________________ </w:t>
      </w:r>
    </w:p>
    <w:p>
      <w:pPr>
        <w:pStyle w:val="TextBody"/>
        <w:bidi w:val="0"/>
        <w:spacing w:before="240" w:after="0"/>
        <w:jc w:val="center"/>
        <w:rPr>
          <w:rFonts w:ascii="Times New Roman" w:hAnsi="Times New Roman"/>
          <w:sz w:val="20"/>
        </w:rPr>
      </w:pPr>
      <w:r>
        <w:rPr>
          <w:rFonts w:ascii="Times New Roman" w:hAnsi="Times New Roman"/>
          <w:sz w:val="20"/>
        </w:rPr>
        <w:t xml:space="preserve">Your Signature:______________________________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 exactly as your name appears 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i/>
          <w:sz w:val="20"/>
        </w:rPr>
        <w:t>the face of this Security</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Tax Identification No.:______________________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Signature Guarantee*:___________________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in a recognized Signature Guarantee Medallion Program (or other signature guarantor acceptable to the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SCHEDULE OF EXCHANGES OF INTERESTS IN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The initial principal amount of this Global Security is $    . The following exchanges of a part of this Global Security for an interest in another Global Security or for Securities in certificated form,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30"/>
        <w:gridCol w:w="121"/>
        <w:gridCol w:w="1885"/>
        <w:gridCol w:w="121"/>
        <w:gridCol w:w="1885"/>
        <w:gridCol w:w="121"/>
        <w:gridCol w:w="1889"/>
        <w:gridCol w:w="121"/>
        <w:gridCol w:w="1832"/>
      </w:tblGrid>
      <w:tr>
        <w:trPr/>
        <w:tc>
          <w:tcPr>
            <w:tcW w:w="223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r>
      <w:tr>
        <w:trPr/>
        <w:tc>
          <w:tcPr>
            <w:tcW w:w="22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 of Exchange</w:t>
            </w:r>
          </w:p>
        </w:tc>
        <w:tc>
          <w:tcPr>
            <w:tcW w:w="121" w:type="dxa"/>
            <w:tcBorders/>
            <w:vAlign w:val="bottom"/>
          </w:tcPr>
          <w:p>
            <w:pPr>
              <w:pStyle w:val="TableContents"/>
              <w:bidi w:val="0"/>
              <w:spacing w:before="0" w:after="283"/>
              <w:jc w:val="left"/>
              <w:rPr/>
            </w:pPr>
            <w:r>
              <w:rPr/>
              <w:t>  </w:t>
            </w:r>
          </w:p>
        </w:tc>
        <w:tc>
          <w:tcPr>
            <w:tcW w:w="188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Amount of decrease in</w:t>
            </w:r>
          </w:p>
          <w:p>
            <w:pPr>
              <w:pStyle w:val="TableContents"/>
              <w:bidi w:val="0"/>
              <w:spacing w:before="0" w:after="0"/>
              <w:jc w:val="center"/>
              <w:rPr>
                <w:rFonts w:ascii="Times New Roman" w:hAnsi="Times New Roman"/>
                <w:b/>
                <w:sz w:val="16"/>
              </w:rPr>
            </w:pPr>
            <w:r>
              <w:rPr>
                <w:rFonts w:ascii="Times New Roman" w:hAnsi="Times New Roman"/>
                <w:b/>
                <w:sz w:val="16"/>
              </w:rPr>
              <w:t>Principal Amount of</w:t>
            </w:r>
          </w:p>
          <w:p>
            <w:pPr>
              <w:pStyle w:val="TableContents"/>
              <w:bidi w:val="0"/>
              <w:spacing w:before="0" w:after="20"/>
              <w:jc w:val="center"/>
              <w:rPr>
                <w:rFonts w:ascii="Times New Roman" w:hAnsi="Times New Roman"/>
                <w:b/>
                <w:sz w:val="16"/>
              </w:rPr>
            </w:pPr>
            <w:r>
              <w:rPr>
                <w:rFonts w:ascii="Times New Roman" w:hAnsi="Times New Roman"/>
                <w:b/>
                <w:sz w:val="16"/>
              </w:rPr>
              <w:t>this Global Security</w:t>
            </w:r>
          </w:p>
        </w:tc>
        <w:tc>
          <w:tcPr>
            <w:tcW w:w="121" w:type="dxa"/>
            <w:tcBorders/>
            <w:vAlign w:val="bottom"/>
          </w:tcPr>
          <w:p>
            <w:pPr>
              <w:pStyle w:val="TableContents"/>
              <w:bidi w:val="0"/>
              <w:spacing w:before="0" w:after="283"/>
              <w:jc w:val="left"/>
              <w:rPr/>
            </w:pPr>
            <w:r>
              <w:rPr/>
              <w:t>  </w:t>
            </w:r>
          </w:p>
        </w:tc>
        <w:tc>
          <w:tcPr>
            <w:tcW w:w="188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Amount of increase in</w:t>
            </w:r>
          </w:p>
          <w:p>
            <w:pPr>
              <w:pStyle w:val="TableContents"/>
              <w:bidi w:val="0"/>
              <w:spacing w:before="0" w:after="0"/>
              <w:jc w:val="center"/>
              <w:rPr>
                <w:rFonts w:ascii="Times New Roman" w:hAnsi="Times New Roman"/>
                <w:b/>
                <w:sz w:val="16"/>
              </w:rPr>
            </w:pPr>
            <w:r>
              <w:rPr>
                <w:rFonts w:ascii="Times New Roman" w:hAnsi="Times New Roman"/>
                <w:b/>
                <w:sz w:val="16"/>
              </w:rPr>
              <w:t>Principal Amount of</w:t>
            </w:r>
          </w:p>
          <w:p>
            <w:pPr>
              <w:pStyle w:val="TableContents"/>
              <w:bidi w:val="0"/>
              <w:spacing w:before="0" w:after="20"/>
              <w:jc w:val="center"/>
              <w:rPr>
                <w:rFonts w:ascii="Times New Roman" w:hAnsi="Times New Roman"/>
                <w:b/>
                <w:sz w:val="16"/>
              </w:rPr>
            </w:pPr>
            <w:r>
              <w:rPr>
                <w:rFonts w:ascii="Times New Roman" w:hAnsi="Times New Roman"/>
                <w:b/>
                <w:sz w:val="16"/>
              </w:rPr>
              <w:t>this Global Security</w:t>
            </w:r>
          </w:p>
        </w:tc>
        <w:tc>
          <w:tcPr>
            <w:tcW w:w="121" w:type="dxa"/>
            <w:tcBorders/>
            <w:vAlign w:val="bottom"/>
          </w:tcPr>
          <w:p>
            <w:pPr>
              <w:pStyle w:val="TableContents"/>
              <w:bidi w:val="0"/>
              <w:spacing w:before="0" w:after="283"/>
              <w:jc w:val="left"/>
              <w:rPr/>
            </w:pPr>
            <w:r>
              <w:rPr/>
              <w:t>  </w:t>
            </w:r>
          </w:p>
        </w:tc>
        <w:tc>
          <w:tcPr>
            <w:tcW w:w="188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Principal Amount of</w:t>
            </w:r>
          </w:p>
          <w:p>
            <w:pPr>
              <w:pStyle w:val="TableContents"/>
              <w:bidi w:val="0"/>
              <w:spacing w:before="0" w:after="0"/>
              <w:jc w:val="center"/>
              <w:rPr>
                <w:rFonts w:ascii="Times New Roman" w:hAnsi="Times New Roman"/>
                <w:b/>
                <w:sz w:val="16"/>
              </w:rPr>
            </w:pPr>
            <w:r>
              <w:rPr>
                <w:rFonts w:ascii="Times New Roman" w:hAnsi="Times New Roman"/>
                <w:b/>
                <w:sz w:val="16"/>
              </w:rPr>
              <w:t>this Global Security</w:t>
            </w:r>
          </w:p>
          <w:p>
            <w:pPr>
              <w:pStyle w:val="TableContents"/>
              <w:bidi w:val="0"/>
              <w:spacing w:before="0" w:after="0"/>
              <w:jc w:val="center"/>
              <w:rPr>
                <w:rFonts w:ascii="Times New Roman" w:hAnsi="Times New Roman"/>
                <w:b/>
                <w:sz w:val="16"/>
              </w:rPr>
            </w:pPr>
            <w:r>
              <w:rPr>
                <w:rFonts w:ascii="Times New Roman" w:hAnsi="Times New Roman"/>
                <w:b/>
                <w:sz w:val="16"/>
              </w:rPr>
              <w:t>following such decrease</w:t>
            </w:r>
          </w:p>
          <w:p>
            <w:pPr>
              <w:pStyle w:val="TableContents"/>
              <w:bidi w:val="0"/>
              <w:spacing w:before="0" w:after="20"/>
              <w:jc w:val="center"/>
              <w:rPr>
                <w:rFonts w:ascii="Times New Roman" w:hAnsi="Times New Roman"/>
                <w:b/>
                <w:sz w:val="16"/>
              </w:rPr>
            </w:pPr>
            <w:r>
              <w:rPr>
                <w:rFonts w:ascii="Times New Roman" w:hAnsi="Times New Roman"/>
                <w:b/>
                <w:sz w:val="16"/>
              </w:rPr>
              <w:t>(or increase)</w:t>
            </w:r>
          </w:p>
        </w:tc>
        <w:tc>
          <w:tcPr>
            <w:tcW w:w="121" w:type="dxa"/>
            <w:tcBorders/>
            <w:vAlign w:val="bottom"/>
          </w:tcPr>
          <w:p>
            <w:pPr>
              <w:pStyle w:val="TableContents"/>
              <w:bidi w:val="0"/>
              <w:spacing w:before="0" w:after="283"/>
              <w:jc w:val="left"/>
              <w:rPr/>
            </w:pPr>
            <w:r>
              <w:rPr/>
              <w:t>  </w:t>
            </w:r>
          </w:p>
        </w:tc>
        <w:tc>
          <w:tcPr>
            <w:tcW w:w="1832"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Signature of</w:t>
            </w:r>
          </w:p>
          <w:p>
            <w:pPr>
              <w:pStyle w:val="TableContents"/>
              <w:bidi w:val="0"/>
              <w:spacing w:before="0" w:after="0"/>
              <w:jc w:val="center"/>
              <w:rPr>
                <w:rFonts w:ascii="Times New Roman" w:hAnsi="Times New Roman"/>
                <w:b/>
                <w:sz w:val="16"/>
              </w:rPr>
            </w:pPr>
            <w:r>
              <w:rPr>
                <w:rFonts w:ascii="Times New Roman" w:hAnsi="Times New Roman"/>
                <w:b/>
                <w:sz w:val="16"/>
              </w:rPr>
              <w:t>authorized officer of</w:t>
            </w:r>
          </w:p>
          <w:p>
            <w:pPr>
              <w:pStyle w:val="TableContents"/>
              <w:bidi w:val="0"/>
              <w:spacing w:before="0" w:after="0"/>
              <w:jc w:val="center"/>
              <w:rPr>
                <w:rFonts w:ascii="Times New Roman" w:hAnsi="Times New Roman"/>
                <w:b/>
                <w:sz w:val="16"/>
              </w:rPr>
            </w:pPr>
            <w:r>
              <w:rPr>
                <w:rFonts w:ascii="Times New Roman" w:hAnsi="Times New Roman"/>
                <w:b/>
                <w:sz w:val="16"/>
              </w:rPr>
              <w:t>Trustee or</w:t>
            </w:r>
          </w:p>
          <w:p>
            <w:pPr>
              <w:pStyle w:val="TableContents"/>
              <w:bidi w:val="0"/>
              <w:spacing w:before="0" w:after="20"/>
              <w:jc w:val="center"/>
              <w:rPr>
                <w:rFonts w:ascii="Times New Roman" w:hAnsi="Times New Roman"/>
                <w:b/>
                <w:sz w:val="16"/>
              </w:rPr>
            </w:pPr>
            <w:r>
              <w:rPr>
                <w:rFonts w:ascii="Times New Roman" w:hAnsi="Times New Roman"/>
                <w:b/>
                <w:sz w:val="16"/>
              </w:rPr>
              <w:t>Custodian</w:t>
            </w:r>
          </w:p>
        </w:tc>
      </w:tr>
      <w:tr>
        <w:trPr/>
        <w:tc>
          <w:tcPr>
            <w:tcW w:w="223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88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88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889"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832"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schedule should be included only if the Security is issued in global 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A-2-10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EXHIBIT A-3 </w:t>
      </w:r>
    </w:p>
    <w:p>
      <w:pPr>
        <w:pStyle w:val="TextBody"/>
        <w:bidi w:val="0"/>
        <w:spacing w:before="480" w:after="0"/>
        <w:jc w:val="center"/>
        <w:rPr>
          <w:rFonts w:ascii="Times New Roman" w:hAnsi="Times New Roman"/>
          <w:sz w:val="20"/>
        </w:rPr>
      </w:pPr>
      <w:r>
        <w:rPr>
          <w:rFonts w:ascii="Times New Roman" w:hAnsi="Times New Roman"/>
          <w:sz w:val="20"/>
        </w:rPr>
        <w:t xml:space="preserve">[Face of Security]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AMERICAN TOWER CORPORATION </w:t>
      </w:r>
    </w:p>
    <w:p>
      <w:pPr>
        <w:pStyle w:val="TextBody"/>
        <w:bidi w:val="0"/>
        <w:spacing w:before="240" w:after="0"/>
        <w:jc w:val="left"/>
        <w:rPr>
          <w:rFonts w:ascii="Times New Roman" w:hAnsi="Times New Roman"/>
          <w:sz w:val="20"/>
        </w:rPr>
      </w:pPr>
      <w:r>
        <w:rPr>
          <w:rFonts w:ascii="Times New Roman" w:hAnsi="Times New Roman"/>
          <w:sz w:val="20"/>
        </w:rPr>
        <w:t xml:space="preserve">Certificate No. _______ </w:t>
      </w:r>
    </w:p>
    <w:p>
      <w:pPr>
        <w:pStyle w:val="TextBody"/>
        <w:bidi w:val="0"/>
        <w:spacing w:before="240" w:after="0"/>
        <w:jc w:val="center"/>
        <w:rPr>
          <w:rFonts w:ascii="Times New Roman" w:hAnsi="Times New Roman"/>
          <w:sz w:val="20"/>
        </w:rPr>
      </w:pPr>
      <w:r>
        <w:rPr>
          <w:rFonts w:ascii="Times New Roman" w:hAnsi="Times New Roman"/>
          <w:sz w:val="20"/>
        </w:rPr>
        <w:t xml:space="preserve">[INSERT GLOBAL SECURITY LEGEND AS REQUIRED] </w:t>
      </w:r>
    </w:p>
    <w:p>
      <w:pPr>
        <w:pStyle w:val="TextBody"/>
        <w:bidi w:val="0"/>
        <w:spacing w:before="240" w:after="0"/>
        <w:jc w:val="center"/>
        <w:rPr>
          <w:rFonts w:ascii="Times New Roman" w:hAnsi="Times New Roman"/>
          <w:sz w:val="20"/>
        </w:rPr>
      </w:pPr>
      <w:r>
        <w:rPr>
          <w:rFonts w:ascii="Times New Roman" w:hAnsi="Times New Roman"/>
          <w:sz w:val="20"/>
        </w:rPr>
        <w:t xml:space="preserve">5.750% Senior Notes due 2036 </w:t>
      </w:r>
    </w:p>
    <w:p>
      <w:pPr>
        <w:pStyle w:val="TextBody"/>
        <w:bidi w:val="0"/>
        <w:spacing w:before="240" w:after="0"/>
        <w:jc w:val="center"/>
        <w:rPr>
          <w:rFonts w:ascii="Times New Roman" w:hAnsi="Times New Roman"/>
          <w:sz w:val="20"/>
        </w:rPr>
      </w:pPr>
      <w:r>
        <w:rPr>
          <w:rFonts w:ascii="Times New Roman" w:hAnsi="Times New Roman"/>
          <w:sz w:val="20"/>
        </w:rPr>
        <w:t xml:space="preserve">CUSIP No. 03027XCV0 </w:t>
      </w:r>
    </w:p>
    <w:p>
      <w:pPr>
        <w:pStyle w:val="TextBody"/>
        <w:bidi w:val="0"/>
        <w:spacing w:before="240" w:after="0"/>
        <w:jc w:val="center"/>
        <w:rPr>
          <w:rFonts w:ascii="Times New Roman" w:hAnsi="Times New Roman"/>
          <w:sz w:val="20"/>
        </w:rPr>
      </w:pPr>
      <w:r>
        <w:rPr>
          <w:rFonts w:ascii="Times New Roman" w:hAnsi="Times New Roman"/>
          <w:sz w:val="20"/>
        </w:rPr>
        <w:t xml:space="preserve">ISIN No. US03027XCV01 </w:t>
      </w:r>
    </w:p>
    <w:p>
      <w:pPr>
        <w:pStyle w:val="TextBody"/>
        <w:bidi w:val="0"/>
        <w:spacing w:before="240" w:after="0"/>
        <w:jc w:val="left"/>
        <w:rPr>
          <w:rFonts w:ascii="Times New Roman" w:hAnsi="Times New Roman"/>
          <w:sz w:val="20"/>
        </w:rPr>
      </w:pPr>
      <w:r>
        <w:rPr>
          <w:rFonts w:ascii="Times New Roman" w:hAnsi="Times New Roman"/>
          <w:sz w:val="20"/>
        </w:rPr>
        <w:t>American Tower Corporation, a Delaware corporation (the “</w:t>
      </w:r>
      <w:r>
        <w:rPr>
          <w:rFonts w:ascii="Times New Roman" w:hAnsi="Times New Roman"/>
          <w:b/>
          <w:sz w:val="20"/>
        </w:rPr>
        <w:t>Company</w:t>
      </w:r>
      <w:r>
        <w:rPr>
          <w:rFonts w:ascii="Times New Roman" w:hAnsi="Times New Roman"/>
          <w:sz w:val="20"/>
        </w:rPr>
        <w:t>”), for value received, hereby promises to pay to Cede &amp; Co., or its registered assigns, the principal sum of     dollars ($</w:t>
      </w:r>
      <w:r>
        <w:rPr>
          <w:rFonts w:ascii="Times New Roman" w:hAnsi="Times New Roman"/>
          <w:sz w:val="20"/>
          <w:u w:val="single"/>
        </w:rPr>
        <w:t>    </w:t>
      </w:r>
      <w:r>
        <w:rPr>
          <w:rFonts w:ascii="Times New Roman" w:hAnsi="Times New Roman"/>
          <w:sz w:val="20"/>
        </w:rPr>
        <w:t xml:space="preserve">) on September 15, 2036 and to pay interest thereon, as provided on the reverse hereof, until the principal and any unpaid and accrued interest are paid or duly provided for.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Dates: March 15 and September 15, with the first payment to be made on March 15, 2027. </w:t>
      </w:r>
    </w:p>
    <w:p>
      <w:pPr>
        <w:pStyle w:val="TextBody"/>
        <w:bidi w:val="0"/>
        <w:spacing w:before="240" w:after="0"/>
        <w:jc w:val="left"/>
        <w:rPr>
          <w:rFonts w:ascii="Times New Roman" w:hAnsi="Times New Roman"/>
          <w:sz w:val="20"/>
        </w:rPr>
      </w:pPr>
      <w:r>
        <w:rPr>
          <w:rFonts w:ascii="Times New Roman" w:hAnsi="Times New Roman"/>
          <w:sz w:val="20"/>
        </w:rPr>
        <w:t xml:space="preserve">Regular Record Dates: March 1 and September 1.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on the back of this certificate are incorporated as if set forth on the face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American Tower Corporation has caused this instrument to be duly signed.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25"/>
        <w:gridCol w:w="112"/>
        <w:gridCol w:w="3345"/>
      </w:tblGrid>
      <w:tr>
        <w:trPr/>
        <w:tc>
          <w:tcPr>
            <w:tcW w:w="625"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334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AMERICAN TOWER CORPORATION</w:t>
            </w:r>
          </w:p>
        </w:tc>
      </w:tr>
      <w:tr>
        <w:trPr>
          <w:trHeight w:val="240" w:hRule="atLeast"/>
        </w:trPr>
        <w:tc>
          <w:tcPr>
            <w:tcW w:w="625" w:type="dxa"/>
            <w:tcBorders/>
            <w:vAlign w:val="center"/>
          </w:tcPr>
          <w:p>
            <w:pPr>
              <w:pStyle w:val="TableContents"/>
              <w:bidi w:val="0"/>
              <w:spacing w:before="0" w:after="283"/>
              <w:jc w:val="left"/>
              <w:rPr>
                <w:sz w:val="4"/>
                <w:szCs w:val="4"/>
              </w:rPr>
            </w:pPr>
            <w:r>
              <w:rPr>
                <w:sz w:val="4"/>
                <w:szCs w:val="4"/>
              </w:rPr>
            </w:r>
          </w:p>
        </w:tc>
        <w:tc>
          <w:tcPr>
            <w:tcW w:w="3457" w:type="dxa"/>
            <w:gridSpan w:val="2"/>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283"/>
              <w:jc w:val="left"/>
              <w:rPr/>
            </w:pPr>
            <w:r>
              <w:rPr/>
              <w:t>By:</w:t>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pBdr>
                <w:bottom w:val="single" w:sz="2" w:space="1" w:color="000000"/>
              </w:pBdr>
              <w:bidi w:val="0"/>
              <w:spacing w:before="0" w:after="20"/>
              <w:jc w:val="left"/>
              <w:rPr/>
            </w:pPr>
            <w:r>
              <w:rPr/>
              <w:t> </w:t>
            </w:r>
          </w:p>
        </w:tc>
      </w:tr>
      <w:tr>
        <w:trPr/>
        <w:tc>
          <w:tcPr>
            <w:tcW w:w="62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bidi w:val="0"/>
              <w:spacing w:before="0" w:after="283"/>
              <w:jc w:val="left"/>
              <w:rPr/>
            </w:pPr>
            <w:r>
              <w:rPr/>
              <w:t>Name:</w:t>
            </w:r>
          </w:p>
        </w:tc>
      </w:tr>
      <w:tr>
        <w:trPr/>
        <w:tc>
          <w:tcPr>
            <w:tcW w:w="62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bidi w:val="0"/>
              <w:spacing w:before="0" w:after="283"/>
              <w:jc w:val="left"/>
              <w:rPr/>
            </w:pPr>
            <w:r>
              <w:rPr/>
              <w:t>Title:</w:t>
            </w:r>
          </w:p>
        </w:tc>
      </w:tr>
      <w:tr>
        <w:trPr>
          <w:trHeight w:val="240" w:hRule="atLeast"/>
        </w:trPr>
        <w:tc>
          <w:tcPr>
            <w:tcW w:w="625" w:type="dxa"/>
            <w:tcBorders/>
            <w:vAlign w:val="center"/>
          </w:tcPr>
          <w:p>
            <w:pPr>
              <w:pStyle w:val="TableContents"/>
              <w:bidi w:val="0"/>
              <w:spacing w:before="0" w:after="283"/>
              <w:jc w:val="left"/>
              <w:rPr>
                <w:sz w:val="4"/>
                <w:szCs w:val="4"/>
              </w:rPr>
            </w:pPr>
            <w:r>
              <w:rPr>
                <w:sz w:val="4"/>
                <w:szCs w:val="4"/>
              </w:rPr>
            </w:r>
          </w:p>
        </w:tc>
        <w:tc>
          <w:tcPr>
            <w:tcW w:w="3457" w:type="dxa"/>
            <w:gridSpan w:val="2"/>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283"/>
              <w:jc w:val="left"/>
              <w:rPr/>
            </w:pPr>
            <w:r>
              <w:rPr/>
              <w:t>By:</w:t>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pBdr>
                <w:bottom w:val="single" w:sz="2" w:space="1" w:color="000000"/>
              </w:pBdr>
              <w:bidi w:val="0"/>
              <w:spacing w:before="0" w:after="20"/>
              <w:jc w:val="left"/>
              <w:rPr/>
            </w:pPr>
            <w:r>
              <w:rPr/>
              <w:t> </w:t>
            </w:r>
          </w:p>
        </w:tc>
      </w:tr>
      <w:tr>
        <w:trPr/>
        <w:tc>
          <w:tcPr>
            <w:tcW w:w="62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bidi w:val="0"/>
              <w:spacing w:before="0" w:after="283"/>
              <w:jc w:val="left"/>
              <w:rPr/>
            </w:pPr>
            <w:r>
              <w:rPr/>
              <w:t>Name:</w:t>
            </w:r>
          </w:p>
        </w:tc>
      </w:tr>
      <w:tr>
        <w:trPr/>
        <w:tc>
          <w:tcPr>
            <w:tcW w:w="62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_______________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TRUSTEE’S CERTIFICATE OF AUTHENTICATION </w:t>
      </w:r>
    </w:p>
    <w:p>
      <w:pPr>
        <w:pStyle w:val="TextBody"/>
        <w:bidi w:val="0"/>
        <w:spacing w:before="120" w:after="0"/>
        <w:jc w:val="left"/>
        <w:rPr>
          <w:rFonts w:ascii="Times New Roman" w:hAnsi="Times New Roman"/>
          <w:sz w:val="20"/>
        </w:rPr>
      </w:pPr>
      <w:r>
        <w:rPr>
          <w:rFonts w:ascii="Times New Roman" w:hAnsi="Times New Roman"/>
          <w:sz w:val="20"/>
        </w:rPr>
        <w:t xml:space="preserve">This is one of the Securities of the series designated therein referred to in the within-mentioned Indenture. </w:t>
      </w:r>
    </w:p>
    <w:p>
      <w:pPr>
        <w:pStyle w:val="TextBody"/>
        <w:bidi w:val="0"/>
        <w:spacing w:before="240" w:after="0"/>
        <w:jc w:val="left"/>
        <w:rPr>
          <w:rFonts w:ascii="Times New Roman" w:hAnsi="Times New Roman"/>
          <w:sz w:val="20"/>
        </w:rPr>
      </w:pPr>
      <w:r>
        <w:rPr>
          <w:rFonts w:ascii="Times New Roman" w:hAnsi="Times New Roman"/>
          <w:sz w:val="20"/>
        </w:rPr>
        <w:t xml:space="preserve">U.S. BANK TRUST COMPANY, NATIONAL ASSOCIATION, as Trustee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pBdr>
                <w:bottom w:val="single" w:sz="2" w:space="1" w:color="000000"/>
              </w:pBdr>
              <w:bidi w:val="0"/>
              <w:spacing w:before="0" w:after="20"/>
              <w:jc w:val="left"/>
              <w:rPr/>
            </w:pPr>
            <w:r>
              <w:rPr/>
              <w:t> </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center"/>
              <w:rPr/>
            </w:pPr>
            <w:r>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Dated:</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OF SECURITY]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AMERICAN TOWER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5.750% Senior Notes due 2036 </w:t>
      </w:r>
    </w:p>
    <w:p>
      <w:pPr>
        <w:pStyle w:val="TextBody"/>
        <w:bidi w:val="0"/>
        <w:spacing w:before="0" w:after="0"/>
        <w:jc w:val="center"/>
        <w:rPr>
          <w:rFonts w:ascii="Times New Roman" w:hAnsi="Times New Roman"/>
          <w:b/>
          <w:sz w:val="20"/>
        </w:rPr>
      </w:pPr>
      <w:r>
        <w:rPr>
          <w:rFonts w:ascii="Times New Roman" w:hAnsi="Times New Roman"/>
          <w:b/>
          <w:sz w:val="20"/>
        </w:rPr>
        <w:t xml:space="preserve">(the “Securities”)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b/>
          <w:sz w:val="20"/>
        </w:rPr>
        <w:t>Interest</w:t>
      </w:r>
      <w:r>
        <w:rPr>
          <w:rFonts w:ascii="Times New Roman" w:hAnsi="Times New Roman"/>
          <w:sz w:val="20"/>
        </w:rPr>
        <w:t>. American Tower Corporation, a Delaware corporation (the “</w:t>
      </w:r>
      <w:r>
        <w:rPr>
          <w:rFonts w:ascii="Times New Roman" w:hAnsi="Times New Roman"/>
          <w:b/>
          <w:sz w:val="20"/>
        </w:rPr>
        <w:t>Company</w:t>
      </w:r>
      <w:r>
        <w:rPr>
          <w:rFonts w:ascii="Times New Roman" w:hAnsi="Times New Roman"/>
          <w:sz w:val="20"/>
        </w:rPr>
        <w:t xml:space="preserve">”), promises to pay interest on the principal amount of this Security at the rate </w:t>
      </w:r>
      <w:r>
        <w:rPr>
          <w:rFonts w:ascii="Times New Roman" w:hAnsi="Times New Roman"/>
          <w:i/>
          <w:sz w:val="20"/>
        </w:rPr>
        <w:t>per annum</w:t>
      </w:r>
      <w:r>
        <w:rPr>
          <w:rFonts w:ascii="Times New Roman" w:hAnsi="Times New Roman"/>
          <w:sz w:val="20"/>
        </w:rPr>
        <w:t xml:space="preserve"> shown above. The Company will pay interest, payable semi-annually in arrears, on March 15 and September 15 of each year, with the first payment to be made on March 15, 2027. Interest on the Securities will accrue on the principal amount from, and including, the most recent date to which interest has been paid or provided for or, if no interest has been paid, from, and including, September 14, 2026, in each case to, but excluding, the next Interest Payment Date or the Stated Maturity for the payment of principal on the Securities, as the case may be; </w:t>
      </w:r>
      <w:r>
        <w:rPr>
          <w:rFonts w:ascii="Times New Roman" w:hAnsi="Times New Roman"/>
          <w:i/>
          <w:sz w:val="20"/>
        </w:rPr>
        <w:t>provided</w:t>
      </w:r>
      <w:r>
        <w:rPr>
          <w:rFonts w:ascii="Times New Roman" w:hAnsi="Times New Roman"/>
          <w:sz w:val="20"/>
        </w:rPr>
        <w:t xml:space="preserve"> that if there is no existing Default in the payment of interest, the Company shall pay interest (including post-petition interest in any proceeding under any Bankruptcy Law) on overdue principal and premium, if any, from time to time on demand at a rate that is 1% per annum in excess of the rate then in effect; it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b/>
          <w:sz w:val="20"/>
        </w:rPr>
        <w:t>Maturity</w:t>
      </w:r>
      <w:r>
        <w:rPr>
          <w:rFonts w:ascii="Times New Roman" w:hAnsi="Times New Roman"/>
          <w:sz w:val="20"/>
        </w:rPr>
        <w:t xml:space="preserve">. The Securities will mature on September 15, 2036.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b/>
          <w:sz w:val="20"/>
        </w:rPr>
        <w:t>Method of Payment</w:t>
      </w:r>
      <w:r>
        <w:rPr>
          <w:rFonts w:ascii="Times New Roman" w:hAnsi="Times New Roman"/>
          <w:sz w:val="20"/>
        </w:rPr>
        <w:t xml:space="preserve">. Except as provided in the Indenture (as defined below), the Company shall pay interest on the Securities to the persons who are Holders of record of Securities at the close of business on the Regular Record Date set forth on the face of this Security next preceding the applicable Interest Payment Date. Holders must surrender Securities to a Paying Agent to collect the principal amount. The Company shall pay, in money of the United States that at the time of payment is legal tender for payment of public and private debts, all amounts due in cash with respect to the Securities, which amounts shall be paid (A) in the case this Security is a Global Security, by wire transfer of immediately available funds to the account designated by the Depository for the Securities or its nominee; and (B) in the case this Security is a Physical Security, by mailing a check to the address of the relevant Holder set forth in the Security Register for the Securities. The Company shall pay, in cash, interest on any overdue amount (including, to the extent permitted by applicable law, overdue interest) at the rate borne by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b/>
          <w:sz w:val="20"/>
        </w:rPr>
        <w:t>Paying Agent and Registrar</w:t>
      </w:r>
      <w:r>
        <w:rPr>
          <w:rFonts w:ascii="Times New Roman" w:hAnsi="Times New Roman"/>
          <w:sz w:val="20"/>
        </w:rPr>
        <w:t>. Initially, U.S. Bank Trust Company, National Association (the “</w:t>
      </w:r>
      <w:r>
        <w:rPr>
          <w:rFonts w:ascii="Times New Roman" w:hAnsi="Times New Roman"/>
          <w:b/>
          <w:sz w:val="20"/>
        </w:rPr>
        <w:t>Trustee</w:t>
      </w:r>
      <w:r>
        <w:rPr>
          <w:rFonts w:ascii="Times New Roman" w:hAnsi="Times New Roman"/>
          <w:sz w:val="20"/>
        </w:rPr>
        <w:t xml:space="preserve">”) shall act as Paying Agent and Registrar. The Company may change any Paying Agent or Registrar upon prior written notice to the Trustee. The Company or any of its Subsidiaries may act in any such capacity.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b/>
          <w:sz w:val="20"/>
        </w:rPr>
        <w:t>Indenture</w:t>
      </w:r>
      <w:r>
        <w:rPr>
          <w:rFonts w:ascii="Times New Roman" w:hAnsi="Times New Roman"/>
          <w:sz w:val="20"/>
        </w:rPr>
        <w:t>. The Company issued the Securities under an indenture dated as of June 2, 2025 (as amended, supplemented or otherwise modified from time to time prior to the date hereof, the “</w:t>
      </w:r>
      <w:r>
        <w:rPr>
          <w:rFonts w:ascii="Times New Roman" w:hAnsi="Times New Roman"/>
          <w:b/>
          <w:sz w:val="20"/>
        </w:rPr>
        <w:t>Base Indenture</w:t>
      </w:r>
      <w:r>
        <w:rPr>
          <w:rFonts w:ascii="Times New Roman" w:hAnsi="Times New Roman"/>
          <w:sz w:val="20"/>
        </w:rPr>
        <w:t>”) between the Company and the Trustee, as amended, supplemented or otherwise modified by the Supplemental Indenture No. 3 (the “</w:t>
      </w:r>
      <w:r>
        <w:rPr>
          <w:rFonts w:ascii="Times New Roman" w:hAnsi="Times New Roman"/>
          <w:b/>
          <w:sz w:val="20"/>
        </w:rPr>
        <w:t>Supplemental Indenture</w:t>
      </w:r>
      <w:r>
        <w:rPr>
          <w:rFonts w:ascii="Times New Roman" w:hAnsi="Times New Roman"/>
          <w:sz w:val="20"/>
        </w:rPr>
        <w:t>”), dated as of September 14, 2026, between the Company and the Trustee (the Base Indenture, as amended, supplemented or otherwise modified by the Supplemental Indenture, the “</w:t>
      </w:r>
      <w:r>
        <w:rPr>
          <w:rFonts w:ascii="Times New Roman" w:hAnsi="Times New Roman"/>
          <w:b/>
          <w:sz w:val="20"/>
        </w:rPr>
        <w:t>Indenture</w:t>
      </w:r>
      <w:r>
        <w:rPr>
          <w:rFonts w:ascii="Times New Roman" w:hAnsi="Times New Roman"/>
          <w:sz w:val="20"/>
        </w:rPr>
        <w:t>”). The terms of the Securities include those stated in the Indenture and those made part of the Indenture by reference to the Trust Indenture Act of 1939 (15 U.S. Code §§ 77aaa-77bbbb) (the “</w:t>
      </w:r>
      <w:r>
        <w:rPr>
          <w:rFonts w:ascii="Times New Roman" w:hAnsi="Times New Roman"/>
          <w:b/>
          <w:sz w:val="20"/>
        </w:rPr>
        <w:t>TIA</w:t>
      </w:r>
      <w:r>
        <w:rPr>
          <w:rFonts w:ascii="Times New Roman" w:hAnsi="Times New Roman"/>
          <w:sz w:val="20"/>
        </w:rPr>
        <w:t xml:space="preserve">”) as amended and in effect from time to time. The Securities are subject to all such terms, and Holders are referred to the Indenture and the TIA for a statement of such terms. To the extent any provision of this Security conflicts with the express provisions of the Indenture, the provisions of the Indenture shall govern and be controlling. The Securities are general unsecured senior obligations of the Company. The Original Securities are limited to $600,000,000 aggregate principal amount, except as otherwise provided in the Indenture (except for Securities issued in substitution for destroyed, mutilated, lost or stolen Securities). Subject to the conditions set forth in the Indenture and without the consent of the Holders, the Company may issue Additional Securities. All Securities, including any Additional Securities, shall be treated as a single class of securities under the Indenture. Terms used herein without definition and that are defined in the Indenture have the meanings assigned to them in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b/>
          <w:sz w:val="20"/>
        </w:rPr>
        <w:t>Optional Redemption</w:t>
      </w:r>
      <w:r>
        <w:rPr>
          <w:rFonts w:ascii="Times New Roman" w:hAnsi="Times New Roman"/>
          <w:sz w:val="20"/>
        </w:rPr>
        <w:t xml:space="preserve">. The Securities are redeemable at the Company’s election, in whole or in part, at any time and from time to time. If the Company redeems the Securities prior to the First Par Call Date, the Company will pay a redemption price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 100% of the principal amount of the Securities to be redeemed then outstanding; and </w:t>
      </w:r>
    </w:p>
    <w:p>
      <w:pPr>
        <w:pStyle w:val="TextBody"/>
        <w:bidi w:val="0"/>
        <w:spacing w:before="120" w:after="0"/>
        <w:jc w:val="left"/>
        <w:rPr>
          <w:rFonts w:ascii="Times New Roman" w:hAnsi="Times New Roman"/>
          <w:sz w:val="20"/>
        </w:rPr>
      </w:pPr>
      <w:r>
        <w:rPr>
          <w:rFonts w:ascii="Times New Roman" w:hAnsi="Times New Roman"/>
          <w:sz w:val="20"/>
        </w:rPr>
        <w:t xml:space="preserve">(2) (a) the sum of the present values of the remaining scheduled payments of principal and interest thereon discounted to the redemption date (assuming the Securities matured on the First Par Call Date) on a semi-annual basis (assuming a 360-day year consisting of twelve 30-day months) at the Treasury Rate for the Securities plus 15 basis points less (b) interest accrued to the date of redemption;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of the above cases, accrued and unpaid interest to the date of redemption on the Securities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redeems the Securities on or after the First Par Call Date, the Company will pay a redemption price equal to 100% of the principal amount of the Securities to be redeemed plus accrued and unpaid interest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actions and determinations in calculating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selects a redemption date that is on or after a Regular Record Date and on or before the related Interest Payment Date, the accrued and unpaid interest, if any, shall be paid to the person in whose name the Security is registered at the close of business on such Regular Record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give a notice of redemption at least 10 days, but not more than 60 days, before the redemption date to each Holder of the Securities to be redeemed, except that redemption notices may be given more than 60 days prior to a redemption date if the notice is issued in connection with a defeasance of the Securities or a satisfaction and discharge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Unless the Company defaults in payment of the redemption price, on and after the redemption date, interest shall cease to accrue on the Securities or portions thereof called for redemption. Securities called for redemption become due on the date fixed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the following terms have the following meanings: </w:t>
      </w:r>
    </w:p>
    <w:p>
      <w:pPr>
        <w:pStyle w:val="TextBody"/>
        <w:bidi w:val="0"/>
        <w:spacing w:before="240" w:after="0"/>
        <w:jc w:val="left"/>
        <w:rPr/>
      </w:pPr>
      <w:r>
        <w:rPr/>
        <w:t>“</w:t>
      </w:r>
      <w:r>
        <w:rPr>
          <w:rFonts w:ascii="Times New Roman" w:hAnsi="Times New Roman"/>
          <w:b/>
          <w:sz w:val="20"/>
        </w:rPr>
        <w:t>First Par Call Date</w:t>
      </w:r>
      <w:r>
        <w:rPr>
          <w:rFonts w:ascii="Times New Roman" w:hAnsi="Times New Roman"/>
          <w:sz w:val="20"/>
        </w:rPr>
        <w:t xml:space="preserve">” means June 15, 2036. </w:t>
      </w:r>
    </w:p>
    <w:p>
      <w:pPr>
        <w:pStyle w:val="TextBody"/>
        <w:bidi w:val="0"/>
        <w:spacing w:before="240" w:after="0"/>
        <w:jc w:val="left"/>
        <w:rPr/>
      </w:pPr>
      <w:r>
        <w:rPr/>
        <w:t>“</w:t>
      </w:r>
      <w:r>
        <w:rPr>
          <w:rFonts w:ascii="Times New Roman" w:hAnsi="Times New Roman"/>
          <w:b/>
          <w:sz w:val="20"/>
        </w:rPr>
        <w:t>Treasury Rate</w:t>
      </w:r>
      <w:r>
        <w:rPr>
          <w:rFonts w:ascii="Times New Roman" w:hAnsi="Times New Roman"/>
          <w:sz w:val="20"/>
        </w:rPr>
        <w:t xml:space="preserve">” means, with respect to any redemption date, the yield determined by the Company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hAnsi="Times New Roman"/>
          <w:b/>
          <w:sz w:val="20"/>
        </w:rPr>
        <w:t>H.15</w:t>
      </w:r>
      <w:r>
        <w:rPr>
          <w:rFonts w:ascii="Times New Roman" w:hAnsi="Times New Roman"/>
          <w:sz w:val="20"/>
        </w:rPr>
        <w:t>”) under the caption “U.S. government securities–Treasury constant maturities–Nominal” (or any successor caption or heading) (“</w:t>
      </w:r>
      <w:r>
        <w:rPr>
          <w:rFonts w:ascii="Times New Roman" w:hAnsi="Times New Roman"/>
          <w:b/>
          <w:sz w:val="20"/>
        </w:rPr>
        <w:t>H.15 TCM</w:t>
      </w:r>
      <w:r>
        <w:rPr>
          <w:rFonts w:ascii="Times New Roman" w:hAnsi="Times New Roman"/>
          <w:sz w:val="20"/>
        </w:rPr>
        <w:t>”). In determining the Treasury Rate, the Company shall select, as applicable: (1) the yield for the Treasury constant maturity on H.15 exactly equal to the period from the redemption date to the First Par Call Date (the “</w:t>
      </w:r>
      <w:r>
        <w:rPr>
          <w:rFonts w:ascii="Times New Roman" w:hAnsi="Times New Roman"/>
          <w:b/>
          <w:sz w:val="20"/>
        </w:rPr>
        <w:t>Remaining Life</w:t>
      </w:r>
      <w:r>
        <w:rPr>
          <w:rFonts w:ascii="Times New Roman" w:hAnsi="Times New Roman"/>
          <w:sz w:val="20"/>
        </w:rPr>
        <w:t xml:space="preserv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First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First Par Call Date, as applicable. If there is no United States Treasury security maturing on the First Par Call Date but there are two or more United States Treasury securities with a maturity date equally distant from the First Par Call Date, one with a maturity date preceding the First Par Call Date and one with a maturity date following the First Par Call Date, the Company shall select the United States Treasury security with a maturity date preceding the First Par Call Date. If there are two or more United States Treasury securities maturing on the First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b/>
          <w:sz w:val="20"/>
        </w:rPr>
        <w:t xml:space="preserve">No Mandatory Redemption. </w:t>
      </w:r>
      <w:r>
        <w:rPr>
          <w:rFonts w:ascii="Times New Roman" w:hAnsi="Times New Roman"/>
          <w:sz w:val="20"/>
        </w:rPr>
        <w:t xml:space="preserve">The Company shall not be required to make mandatory redemption payments with respect to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b/>
          <w:sz w:val="20"/>
        </w:rPr>
        <w:t>Repurchase at Option of Holder</w:t>
      </w:r>
      <w:r>
        <w:rPr>
          <w:rFonts w:ascii="Times New Roman" w:hAnsi="Times New Roman"/>
          <w:sz w:val="20"/>
        </w:rPr>
        <w:t xml:space="preserve">. Upon the occurrence of a Change of Control Triggering Event, and subject to certain conditions set forth in the Indenture, the Company shall be required to offer to purchase all of the outstanding Securities at a purchase price equal to 101% of the principal amount thereof, plus accrued and unpaid interest, if any, thereon to the date of repurchase.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b/>
          <w:sz w:val="20"/>
        </w:rPr>
        <w:t>Notice of Redemption.</w:t>
      </w:r>
      <w:r>
        <w:rPr>
          <w:rFonts w:ascii="Times New Roman" w:hAnsi="Times New Roman"/>
          <w:sz w:val="20"/>
        </w:rPr>
        <w:t xml:space="preserve"> Notice of redemption shall be given at least 10 days but not more than 60 days before the redemption date to each Holder whose Securities are to be redeemed, except that redemption notices may be given more than 60 days prior to a redemption date if the notice is issued in connection with Article 10 or Article 11 of the Base Indenture. Securities in denominations larger than $2,000 may be redeemed in part but only in whole multiples of $1,000, unless all of the Securities held by a Holder are to be redeemed. Unless the Company defaults in payment of the redemption price, on and after the redemption date interest shall cease to accrue on Securities or portions thereof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b/>
          <w:sz w:val="20"/>
        </w:rPr>
        <w:t>Denominations, Transfer, Exchange</w:t>
      </w:r>
      <w:r>
        <w:rPr>
          <w:rFonts w:ascii="Times New Roman" w:hAnsi="Times New Roman"/>
          <w:sz w:val="20"/>
        </w:rPr>
        <w:t xml:space="preserve">. The Securities are in registered form, without coupons, in denominations of $2,000 principal amount and integral multiples of $1,000 principal amount. The transfer of Securities may be registered and Securities may be exchanged as provided in the Indenture. The Registrar may require a Holder, among other things, to furnish appropriate endorsements and transfer documents. No service charge shall be made for any such registration of transfer or exchange, but the Company may require payment of a sum sufficient to cover any tax or similar governmental charge that may be imposed in connection with certain transfers or exchanges. The Company shall not be required to register the transfer of or exchange any Security selected for redemption, except for the unredeemed portion of any Security being redeemed in part. Also, the Company need not exchange or register the transfer of any Securities for a period of 10 days next preceding the date notice of redemption of Securities to be redeemed was first given.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rPr>
        <w:t>Persons Deemed Owners</w:t>
      </w:r>
      <w:r>
        <w:rPr>
          <w:rFonts w:ascii="Times New Roman" w:hAnsi="Times New Roman"/>
          <w:sz w:val="20"/>
        </w:rPr>
        <w:t xml:space="preserve">. The registered Holder of a Security shall be treated as the owner of such Security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rPr>
        <w:t>Merger or Consolidation</w:t>
      </w:r>
      <w:r>
        <w:rPr>
          <w:rFonts w:ascii="Times New Roman" w:hAnsi="Times New Roman"/>
          <w:sz w:val="20"/>
        </w:rPr>
        <w:t xml:space="preserve">. The Company shall not consolidate with or merge with or into, or sell, transfer, lease, convey or otherwise dispose of all or substantially all of its property or assets to, another Person (including pursuant to a statutory arrangement), whether in a single transaction or series of related transactions, unless it complies with Article 8 of the Base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w:t>
      </w:r>
      <w:r>
        <w:rPr>
          <w:rFonts w:ascii="Times New Roman" w:hAnsi="Times New Roman"/>
          <w:b/>
          <w:sz w:val="20"/>
        </w:rPr>
        <w:t>Amendments, Supplements and Waivers</w:t>
      </w:r>
      <w:r>
        <w:rPr>
          <w:rFonts w:ascii="Times New Roman" w:hAnsi="Times New Roman"/>
          <w:sz w:val="20"/>
        </w:rPr>
        <w:t xml:space="preserve">. The Indenture or the Securities may be amended or supplemented as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b/>
          <w:sz w:val="20"/>
        </w:rPr>
        <w:t>Defaults and Remedies</w:t>
      </w:r>
      <w:r>
        <w:rPr>
          <w:rFonts w:ascii="Times New Roman" w:hAnsi="Times New Roman"/>
          <w:sz w:val="20"/>
        </w:rPr>
        <w:t xml:space="preserve">. The Events of Default relating to the Securities are defined in Section 5.01 of the Base Indenture. If any Event of Default occurs and is continuing, the Trustee or the Holders of at least 25% in principal amount of the then outstanding Securities may declare the principal, premium, if any, interest and any other monetary obligations on all the then outstanding Securities to be due and payable immediately. Notwithstanding the foregoing, in the case of an Event of Default arising from certain events of bankruptcy or insolvency, all outstanding Securities shall become due and payable immediately without further action or notice. </w:t>
      </w:r>
    </w:p>
    <w:p>
      <w:pPr>
        <w:pStyle w:val="TextBody"/>
        <w:bidi w:val="0"/>
        <w:spacing w:before="240" w:after="0"/>
        <w:jc w:val="left"/>
        <w:rPr>
          <w:rFonts w:ascii="Times New Roman" w:hAnsi="Times New Roman"/>
          <w:sz w:val="20"/>
        </w:rPr>
      </w:pPr>
      <w:r>
        <w:rPr>
          <w:rFonts w:ascii="Times New Roman" w:hAnsi="Times New Roman"/>
          <w:sz w:val="20"/>
        </w:rPr>
        <w:t xml:space="preserve">Holders may not enforce the Indenture or the Securities except as provided in the Indenture. Subject to certain limitations, Holders of a majority in aggregate principal amount of the then outstanding Securities may direct the Trustee in its exercise of any trust or power. The Trustee may withhold from Holders of the Securities notice of any continuing Default (except a Default relating to the payment of principal, premium, if any, or interest) if it determines that withholding notice is in their interest. The Holders of a majority in aggregate principal amount of the Securities then outstanding by notice to the Trustee may on behalf of the Holders of all of the Securities waive any existing Default and its consequences under the Indenture except a continuing Default in payment of the principal of, premium, if any, or interest, if any, on, any of the Securities held by a non-consenting Holder. The Company is required to deliver to the Trustee annually a statement regarding compliance with the Indenture, and the Company is required upon becoming aware of any Default or Event of Default, to deliver to the Trustee a statement specifying such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b/>
          <w:sz w:val="20"/>
        </w:rPr>
        <w:t>Trustee Dealings with the Company</w:t>
      </w:r>
      <w:r>
        <w:rPr>
          <w:rFonts w:ascii="Times New Roman" w:hAnsi="Times New Roman"/>
          <w:sz w:val="20"/>
        </w:rPr>
        <w:t xml:space="preserve">. The Trustee, in its individual or any other capacity, may make loans to, accept deposits from, and perform services for the Company or its affiliates, and may otherwise deal with the Company or its affiliates, as if it were not the Trustee.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b/>
          <w:sz w:val="20"/>
        </w:rPr>
        <w:t>No Recourse Against Others</w:t>
      </w:r>
      <w:r>
        <w:rPr>
          <w:rFonts w:ascii="Times New Roman" w:hAnsi="Times New Roman"/>
          <w:sz w:val="20"/>
        </w:rPr>
        <w:t xml:space="preserve">. A director, officer, employee, incorporator or stockholder, of the Company, as such, shall not have any liability for any obligations of the Company under the Securities or the Indenture or for any claim based on, in respect of, or by reason of, such obligations or their creation. Each Holder by accepting a Security waives and releases all such liability. The waiver and release are part of the consideration for the issuance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b/>
          <w:sz w:val="20"/>
        </w:rPr>
        <w:t>Authentication</w:t>
      </w:r>
      <w:r>
        <w:rPr>
          <w:rFonts w:ascii="Times New Roman" w:hAnsi="Times New Roman"/>
          <w:sz w:val="20"/>
        </w:rPr>
        <w:t xml:space="preserve">. This Security shall not be valid until authenticated by the manual, facsimile or electronic signature of the Trustee or an authenticating agent in accordance with the Indenture.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b/>
          <w:sz w:val="20"/>
        </w:rPr>
        <w:t>Abbreviations</w:t>
      </w:r>
      <w:r>
        <w:rPr>
          <w:rFonts w:ascii="Times New Roman" w:hAnsi="Times New Roman"/>
          <w:sz w:val="20"/>
        </w:rPr>
        <w:t xml:space="preserve">. Customary abbreviations may be used in the name of a Holder or an assignee, such as: TEN COM (= tenants in common), TEN ENT (= tenants by the entireties), JT TEN (= joint tenants with right of survivorship and not as tenants in common), CUST (= Custodian), and U/G/M/A (= Uniform Gifts to Minors Act).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b/>
          <w:sz w:val="20"/>
        </w:rPr>
        <w:t>CUSIP and ISIN Numbers</w:t>
      </w:r>
      <w:r>
        <w:rPr>
          <w:rFonts w:ascii="Times New Roman" w:hAnsi="Times New Roman"/>
          <w:sz w:val="20"/>
        </w:rPr>
        <w:t xml:space="preserve">. Pursuant to a recommendation promulgated by the Committee on Uniform Security Identification Procedures, the Company has caused CUSIP and ISIN numbers to be printed on the Securities and the Trustee may use CUSIP and ISIN numbers in notices of redemption as a convenience to Holders. No representation is made as to the accuracy of such numbers either as printed on the Securities or as contained in any notice of redemption and reliance may be placed only on the other identification numbers placed thereon.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FURNISH TO ANY HOLDER UPON WRITTEN REQUEST AND WITHOUT CHARGE A COPY OF THE BASE INDENTURE OR THE SUPPLEMENTAL INDENTURE. REQUESTS MAY BE MADE TO: </w:t>
      </w:r>
    </w:p>
    <w:p>
      <w:pPr>
        <w:pStyle w:val="TextBody"/>
        <w:bidi w:val="0"/>
        <w:spacing w:before="240" w:after="0"/>
        <w:jc w:val="center"/>
        <w:rPr>
          <w:rFonts w:ascii="Times New Roman" w:hAnsi="Times New Roman"/>
          <w:sz w:val="20"/>
        </w:rPr>
      </w:pPr>
      <w:r>
        <w:rPr>
          <w:rFonts w:ascii="Times New Roman" w:hAnsi="Times New Roman"/>
          <w:sz w:val="20"/>
        </w:rPr>
        <w:t xml:space="preserve">American Tower Corporation </w:t>
      </w:r>
    </w:p>
    <w:p>
      <w:pPr>
        <w:pStyle w:val="TextBody"/>
        <w:bidi w:val="0"/>
        <w:spacing w:before="0" w:after="0"/>
        <w:jc w:val="center"/>
        <w:rPr>
          <w:rFonts w:ascii="Times New Roman" w:hAnsi="Times New Roman"/>
          <w:sz w:val="20"/>
        </w:rPr>
      </w:pPr>
      <w:r>
        <w:rPr>
          <w:rFonts w:ascii="Times New Roman" w:hAnsi="Times New Roman"/>
          <w:sz w:val="20"/>
        </w:rPr>
        <w:t xml:space="preserve">222 Berkeley Street </w:t>
      </w:r>
    </w:p>
    <w:p>
      <w:pPr>
        <w:pStyle w:val="TextBody"/>
        <w:bidi w:val="0"/>
        <w:spacing w:before="0" w:after="0"/>
        <w:jc w:val="center"/>
        <w:rPr>
          <w:rFonts w:ascii="Times New Roman" w:hAnsi="Times New Roman"/>
          <w:sz w:val="20"/>
        </w:rPr>
      </w:pPr>
      <w:r>
        <w:rPr>
          <w:rFonts w:ascii="Times New Roman" w:hAnsi="Times New Roman"/>
          <w:sz w:val="20"/>
        </w:rPr>
        <w:t xml:space="preserve">Boston, MA 02116 </w:t>
      </w:r>
    </w:p>
    <w:p>
      <w:pPr>
        <w:pStyle w:val="TextBody"/>
        <w:bidi w:val="0"/>
        <w:spacing w:before="0" w:after="0"/>
        <w:jc w:val="center"/>
        <w:rPr>
          <w:rFonts w:ascii="Times New Roman" w:hAnsi="Times New Roman"/>
          <w:sz w:val="20"/>
        </w:rPr>
      </w:pPr>
      <w:r>
        <w:rPr>
          <w:rFonts w:ascii="Times New Roman" w:hAnsi="Times New Roman"/>
          <w:sz w:val="20"/>
        </w:rPr>
        <w:t xml:space="preserve">Telephone No.: (617) 375-7500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[FORM OF ASSIGNMENT] </w:t>
      </w:r>
    </w:p>
    <w:p>
      <w:pPr>
        <w:pStyle w:val="TextBody"/>
        <w:bidi w:val="0"/>
        <w:spacing w:before="0" w:after="0"/>
        <w:jc w:val="left"/>
        <w:rPr>
          <w:rFonts w:ascii="Times New Roman" w:hAnsi="Times New Roman"/>
          <w:sz w:val="20"/>
        </w:rPr>
      </w:pPr>
      <w:r>
        <w:rPr>
          <w:rFonts w:ascii="Times New Roman" w:hAnsi="Times New Roman"/>
          <w:sz w:val="20"/>
        </w:rPr>
        <w:t xml:space="preserve">I or we assign to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2017"/>
        <w:gridCol w:w="411"/>
        <w:gridCol w:w="1654"/>
      </w:tblGrid>
      <w:tr>
        <w:trPr/>
        <w:tc>
          <w:tcPr>
            <w:tcW w:w="2017" w:type="dxa"/>
            <w:tcBorders/>
            <w:vAlign w:val="center"/>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PLEASE INSERT SOCIAL SECURITY OR</w:t>
            </w:r>
          </w:p>
        </w:tc>
      </w:tr>
      <w:tr>
        <w:trPr/>
        <w:tc>
          <w:tcPr>
            <w:tcW w:w="4082" w:type="dxa"/>
            <w:gridSpan w:val="3"/>
            <w:tcBorders/>
          </w:tcPr>
          <w:p>
            <w:pPr>
              <w:pStyle w:val="TableContents"/>
              <w:bidi w:val="0"/>
              <w:spacing w:before="0" w:after="283"/>
              <w:jc w:val="left"/>
              <w:rPr/>
            </w:pPr>
            <w:r>
              <w:rPr/>
              <w:t>OTHER IDENTIFYING NUMBER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(please print or type name and address)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within Security and all rights thereunder, and hereby irrevocably constitute and appoint </w:t>
      </w:r>
    </w:p>
    <w:tbl>
      <w:tblPr>
        <w:tblW w:w="2000" w:type="pct"/>
        <w:jc w:val="left"/>
        <w:tblInd w:w="0" w:type="dxa"/>
        <w:tblLayout w:type="fixed"/>
        <w:tblCellMar>
          <w:top w:w="0" w:type="dxa"/>
          <w:left w:w="0" w:type="dxa"/>
          <w:bottom w:w="0" w:type="dxa"/>
          <w:right w:w="0" w:type="dxa"/>
        </w:tblCellMar>
      </w:tblPr>
      <w:tblGrid>
        <w:gridCol w:w="2041"/>
        <w:gridCol w:w="40"/>
        <w:gridCol w:w="2001"/>
      </w:tblGrid>
      <w:tr>
        <w:trPr/>
        <w:tc>
          <w:tcPr>
            <w:tcW w:w="2041" w:type="dxa"/>
            <w:tcBorders/>
            <w:vAlign w:val="center"/>
          </w:tcPr>
          <w:p>
            <w:pPr>
              <w:pStyle w:val="TableContents"/>
              <w:bidi w:val="0"/>
              <w:spacing w:before="0" w:after="283"/>
              <w:jc w:val="left"/>
              <w:rPr>
                <w:sz w:val="4"/>
                <w:szCs w:val="4"/>
              </w:rPr>
            </w:pPr>
            <w:r>
              <w:rPr>
                <w:sz w:val="4"/>
                <w:szCs w:val="4"/>
              </w:rPr>
            </w:r>
          </w:p>
        </w:tc>
        <w:tc>
          <w:tcPr>
            <w:tcW w:w="40" w:type="dxa"/>
            <w:tcBorders/>
            <w:vAlign w:val="bottom"/>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Attorney to transfer the Security on the books of the Company with full power of substitution in the premises. </w:t>
      </w:r>
    </w:p>
    <w:tbl>
      <w:tblPr>
        <w:tblW w:w="2000" w:type="pct"/>
        <w:jc w:val="left"/>
        <w:tblInd w:w="0" w:type="dxa"/>
        <w:tblLayout w:type="fixed"/>
        <w:tblCellMar>
          <w:top w:w="0" w:type="dxa"/>
          <w:left w:w="0" w:type="dxa"/>
          <w:bottom w:w="0" w:type="dxa"/>
          <w:right w:w="0" w:type="dxa"/>
        </w:tblCellMar>
      </w:tblPr>
      <w:tblGrid>
        <w:gridCol w:w="710"/>
        <w:gridCol w:w="60"/>
        <w:gridCol w:w="3312"/>
      </w:tblGrid>
      <w:tr>
        <w:trPr/>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710" w:type="dxa"/>
            <w:tcBorders/>
            <w:vAlign w:val="center"/>
          </w:tcPr>
          <w:p>
            <w:pPr>
              <w:pStyle w:val="TableContents"/>
              <w:bidi w:val="0"/>
              <w:spacing w:before="0" w:after="283"/>
              <w:jc w:val="left"/>
              <w:rPr>
                <w:sz w:val="4"/>
                <w:szCs w:val="4"/>
              </w:rPr>
            </w:pPr>
            <w:r>
              <w:rPr>
                <w:sz w:val="4"/>
                <w:szCs w:val="4"/>
              </w:rPr>
            </w:r>
          </w:p>
        </w:tc>
        <w:tc>
          <w:tcPr>
            <w:tcW w:w="3372"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tcPr>
          <w:p>
            <w:pPr>
              <w:pStyle w:val="TableContents"/>
              <w:bidi w:val="0"/>
              <w:spacing w:before="0" w:after="283"/>
              <w:jc w:val="left"/>
              <w:rPr/>
            </w:pPr>
            <w:r>
              <w:rPr/>
              <w:t>Dated:</w:t>
            </w:r>
          </w:p>
        </w:tc>
        <w:tc>
          <w:tcPr>
            <w:tcW w:w="60" w:type="dxa"/>
            <w:tcBorders/>
            <w:vAlign w:val="bottom"/>
          </w:tcPr>
          <w:p>
            <w:pPr>
              <w:pStyle w:val="TableContents"/>
              <w:bidi w:val="0"/>
              <w:spacing w:before="0" w:after="283"/>
              <w:jc w:val="left"/>
              <w:rPr/>
            </w:pPr>
            <w:r>
              <w:rPr/>
              <w:t> </w:t>
            </w:r>
          </w:p>
        </w:tc>
        <w:tc>
          <w:tcPr>
            <w:tcW w:w="3312" w:type="dxa"/>
            <w:tcBorders/>
          </w:tcPr>
          <w:p>
            <w:pPr>
              <w:pStyle w:val="TableContents"/>
              <w:bidi w:val="0"/>
              <w:spacing w:before="0" w:after="283"/>
              <w:jc w:val="left"/>
              <w:rPr>
                <w:u w:val="single"/>
              </w:rPr>
            </w:pPr>
            <w:r>
              <w:rPr>
                <w:u w:val="single"/>
              </w:rPr>
              <w:t>     </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NOTICE: The signature on this assignment must correspond with the name as it appears upon the face of the within Security in every particular without alteration or enlargement or any change whatsoever and be guaranteed by a guarantor institution participating in the Securities Transfer Agents Medallion Program or in such other guarantee program acceptable to the Trustee.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2257"/>
        <w:gridCol w:w="60"/>
        <w:gridCol w:w="1765"/>
      </w:tblGrid>
      <w:tr>
        <w:trPr/>
        <w:tc>
          <w:tcPr>
            <w:tcW w:w="225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r>
      <w:tr>
        <w:trPr/>
        <w:tc>
          <w:tcPr>
            <w:tcW w:w="2257" w:type="dxa"/>
            <w:tcBorders/>
          </w:tcPr>
          <w:p>
            <w:pPr>
              <w:pStyle w:val="TableContents"/>
              <w:bidi w:val="0"/>
              <w:spacing w:before="0" w:after="283"/>
              <w:jc w:val="left"/>
              <w:rPr/>
            </w:pPr>
            <w:r>
              <w:rPr/>
              <w:t>Signature Guarantee:</w:t>
            </w:r>
          </w:p>
        </w:tc>
        <w:tc>
          <w:tcPr>
            <w:tcW w:w="60" w:type="dxa"/>
            <w:tcBorders/>
            <w:vAlign w:val="bottom"/>
          </w:tcPr>
          <w:p>
            <w:pPr>
              <w:pStyle w:val="TableContents"/>
              <w:bidi w:val="0"/>
              <w:spacing w:before="0" w:after="283"/>
              <w:jc w:val="left"/>
              <w:rPr/>
            </w:pPr>
            <w:r>
              <w:rPr/>
              <w:t> </w:t>
            </w:r>
          </w:p>
        </w:tc>
        <w:tc>
          <w:tcPr>
            <w:tcW w:w="1765"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Option of Holder to Elect Purchase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only part of the Security purchased by the Company pursuant to Section 4.01(b) of the Supplemental Indenture, state the amount you elect to have purchased: </w:t>
      </w:r>
    </w:p>
    <w:p>
      <w:pPr>
        <w:pStyle w:val="TextBody"/>
        <w:bidi w:val="0"/>
        <w:spacing w:before="240" w:after="0"/>
        <w:jc w:val="center"/>
        <w:rPr>
          <w:rFonts w:ascii="Times New Roman" w:hAnsi="Times New Roman"/>
          <w:sz w:val="20"/>
        </w:rPr>
      </w:pPr>
      <w:r>
        <w:rPr>
          <w:rFonts w:ascii="Times New Roman" w:hAnsi="Times New Roman"/>
          <w:sz w:val="20"/>
        </w:rPr>
        <w:t xml:space="preserve">$_______________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Date:________________ </w:t>
      </w:r>
    </w:p>
    <w:p>
      <w:pPr>
        <w:pStyle w:val="TextBody"/>
        <w:bidi w:val="0"/>
        <w:spacing w:before="240" w:after="0"/>
        <w:jc w:val="center"/>
        <w:rPr>
          <w:rFonts w:ascii="Times New Roman" w:hAnsi="Times New Roman"/>
          <w:sz w:val="20"/>
        </w:rPr>
      </w:pPr>
      <w:r>
        <w:rPr>
          <w:rFonts w:ascii="Times New Roman" w:hAnsi="Times New Roman"/>
          <w:sz w:val="20"/>
        </w:rPr>
        <w:t xml:space="preserve">Your Signature:______________________________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 exactly as your name appears 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i/>
          <w:sz w:val="20"/>
        </w:rPr>
        <w:t>the face of this Security</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Tax Identification No.:______________________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Signature Guarantee*:___________________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in a recognized Signature Guarantee Medallion Program (or other signature guarantor acceptable to the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SCHEDULE OF EXCHANGES OF INTERESTS IN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The initial principal amount of this Global Security is $    . The following exchanges of a part of this Global Security for an interest in another Global Security or for Securities in certificated form,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34"/>
        <w:gridCol w:w="106"/>
        <w:gridCol w:w="1911"/>
        <w:gridCol w:w="106"/>
        <w:gridCol w:w="2003"/>
        <w:gridCol w:w="212"/>
        <w:gridCol w:w="1640"/>
        <w:gridCol w:w="121"/>
        <w:gridCol w:w="1672"/>
      </w:tblGrid>
      <w:tr>
        <w:trPr/>
        <w:tc>
          <w:tcPr>
            <w:tcW w:w="2434"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r>
      <w:tr>
        <w:trPr/>
        <w:tc>
          <w:tcPr>
            <w:tcW w:w="243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 of Exchange</w:t>
            </w:r>
          </w:p>
        </w:tc>
        <w:tc>
          <w:tcPr>
            <w:tcW w:w="106" w:type="dxa"/>
            <w:tcBorders/>
            <w:vAlign w:val="bottom"/>
          </w:tcPr>
          <w:p>
            <w:pPr>
              <w:pStyle w:val="TableContents"/>
              <w:bidi w:val="0"/>
              <w:spacing w:before="0" w:after="283"/>
              <w:jc w:val="left"/>
              <w:rPr/>
            </w:pPr>
            <w:r>
              <w:rPr/>
              <w:t> </w:t>
            </w:r>
          </w:p>
        </w:tc>
        <w:tc>
          <w:tcPr>
            <w:tcW w:w="1911"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Amount of decrease in</w:t>
            </w:r>
          </w:p>
          <w:p>
            <w:pPr>
              <w:pStyle w:val="TableContents"/>
              <w:bidi w:val="0"/>
              <w:spacing w:before="0" w:after="0"/>
              <w:jc w:val="center"/>
              <w:rPr>
                <w:rFonts w:ascii="Times New Roman" w:hAnsi="Times New Roman"/>
                <w:b/>
                <w:sz w:val="16"/>
              </w:rPr>
            </w:pPr>
            <w:r>
              <w:rPr>
                <w:rFonts w:ascii="Times New Roman" w:hAnsi="Times New Roman"/>
                <w:b/>
                <w:sz w:val="16"/>
              </w:rPr>
              <w:t>Principal Amount of</w:t>
            </w:r>
          </w:p>
          <w:p>
            <w:pPr>
              <w:pStyle w:val="TableContents"/>
              <w:bidi w:val="0"/>
              <w:spacing w:before="0" w:after="20"/>
              <w:jc w:val="center"/>
              <w:rPr>
                <w:rFonts w:ascii="Times New Roman" w:hAnsi="Times New Roman"/>
                <w:b/>
                <w:sz w:val="16"/>
              </w:rPr>
            </w:pPr>
            <w:r>
              <w:rPr>
                <w:rFonts w:ascii="Times New Roman" w:hAnsi="Times New Roman"/>
                <w:b/>
                <w:sz w:val="16"/>
              </w:rPr>
              <w:t>this Global Security</w:t>
            </w:r>
          </w:p>
        </w:tc>
        <w:tc>
          <w:tcPr>
            <w:tcW w:w="106" w:type="dxa"/>
            <w:tcBorders/>
            <w:vAlign w:val="bottom"/>
          </w:tcPr>
          <w:p>
            <w:pPr>
              <w:pStyle w:val="TableContents"/>
              <w:bidi w:val="0"/>
              <w:spacing w:before="0" w:after="283"/>
              <w:jc w:val="left"/>
              <w:rPr/>
            </w:pPr>
            <w:r>
              <w:rPr/>
              <w:t> </w:t>
            </w:r>
          </w:p>
        </w:tc>
        <w:tc>
          <w:tcPr>
            <w:tcW w:w="2003"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Amount of increase in</w:t>
            </w:r>
          </w:p>
          <w:p>
            <w:pPr>
              <w:pStyle w:val="TableContents"/>
              <w:bidi w:val="0"/>
              <w:spacing w:before="0" w:after="0"/>
              <w:jc w:val="center"/>
              <w:rPr>
                <w:rFonts w:ascii="Times New Roman" w:hAnsi="Times New Roman"/>
                <w:b/>
                <w:sz w:val="16"/>
              </w:rPr>
            </w:pPr>
            <w:r>
              <w:rPr>
                <w:rFonts w:ascii="Times New Roman" w:hAnsi="Times New Roman"/>
                <w:b/>
                <w:sz w:val="16"/>
              </w:rPr>
              <w:t>Principal Amount of</w:t>
            </w:r>
          </w:p>
          <w:p>
            <w:pPr>
              <w:pStyle w:val="TableContents"/>
              <w:bidi w:val="0"/>
              <w:spacing w:before="0" w:after="20"/>
              <w:jc w:val="center"/>
              <w:rPr>
                <w:rFonts w:ascii="Times New Roman" w:hAnsi="Times New Roman"/>
                <w:b/>
                <w:sz w:val="16"/>
              </w:rPr>
            </w:pPr>
            <w:r>
              <w:rPr>
                <w:rFonts w:ascii="Times New Roman" w:hAnsi="Times New Roman"/>
                <w:b/>
                <w:sz w:val="16"/>
              </w:rPr>
              <w:t>this Global Security</w:t>
            </w:r>
          </w:p>
        </w:tc>
        <w:tc>
          <w:tcPr>
            <w:tcW w:w="212" w:type="dxa"/>
            <w:tcBorders/>
            <w:vAlign w:val="bottom"/>
          </w:tcPr>
          <w:p>
            <w:pPr>
              <w:pStyle w:val="TableContents"/>
              <w:bidi w:val="0"/>
              <w:spacing w:before="0" w:after="283"/>
              <w:jc w:val="left"/>
              <w:rPr/>
            </w:pPr>
            <w:r>
              <w:rPr/>
              <w:t>  </w:t>
            </w:r>
          </w:p>
        </w:tc>
        <w:tc>
          <w:tcPr>
            <w:tcW w:w="164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Principal Amount of</w:t>
            </w:r>
          </w:p>
          <w:p>
            <w:pPr>
              <w:pStyle w:val="TableContents"/>
              <w:bidi w:val="0"/>
              <w:spacing w:before="0" w:after="0"/>
              <w:jc w:val="center"/>
              <w:rPr>
                <w:rFonts w:ascii="Times New Roman" w:hAnsi="Times New Roman"/>
                <w:b/>
                <w:sz w:val="16"/>
              </w:rPr>
            </w:pPr>
            <w:r>
              <w:rPr>
                <w:rFonts w:ascii="Times New Roman" w:hAnsi="Times New Roman"/>
                <w:b/>
                <w:sz w:val="16"/>
              </w:rPr>
              <w:t>this Global Security</w:t>
            </w:r>
          </w:p>
          <w:p>
            <w:pPr>
              <w:pStyle w:val="TableContents"/>
              <w:bidi w:val="0"/>
              <w:spacing w:before="0" w:after="0"/>
              <w:jc w:val="center"/>
              <w:rPr>
                <w:rFonts w:ascii="Times New Roman" w:hAnsi="Times New Roman"/>
                <w:b/>
                <w:sz w:val="16"/>
              </w:rPr>
            </w:pPr>
            <w:r>
              <w:rPr>
                <w:rFonts w:ascii="Times New Roman" w:hAnsi="Times New Roman"/>
                <w:b/>
                <w:sz w:val="16"/>
              </w:rPr>
              <w:t>following such decrease</w:t>
            </w:r>
          </w:p>
          <w:p>
            <w:pPr>
              <w:pStyle w:val="TableContents"/>
              <w:bidi w:val="0"/>
              <w:spacing w:before="0" w:after="20"/>
              <w:jc w:val="center"/>
              <w:rPr>
                <w:rFonts w:ascii="Times New Roman" w:hAnsi="Times New Roman"/>
                <w:b/>
                <w:sz w:val="16"/>
              </w:rPr>
            </w:pPr>
            <w:r>
              <w:rPr>
                <w:rFonts w:ascii="Times New Roman" w:hAnsi="Times New Roman"/>
                <w:b/>
                <w:sz w:val="16"/>
              </w:rPr>
              <w:t>(or increase)</w:t>
            </w:r>
          </w:p>
        </w:tc>
        <w:tc>
          <w:tcPr>
            <w:tcW w:w="121" w:type="dxa"/>
            <w:tcBorders/>
            <w:vAlign w:val="bottom"/>
          </w:tcPr>
          <w:p>
            <w:pPr>
              <w:pStyle w:val="TableContents"/>
              <w:bidi w:val="0"/>
              <w:spacing w:before="0" w:after="283"/>
              <w:jc w:val="left"/>
              <w:rPr/>
            </w:pPr>
            <w:r>
              <w:rPr/>
              <w:t>  </w:t>
            </w:r>
          </w:p>
        </w:tc>
        <w:tc>
          <w:tcPr>
            <w:tcW w:w="1672"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Signature of</w:t>
            </w:r>
          </w:p>
          <w:p>
            <w:pPr>
              <w:pStyle w:val="TableContents"/>
              <w:bidi w:val="0"/>
              <w:spacing w:before="0" w:after="0"/>
              <w:jc w:val="center"/>
              <w:rPr>
                <w:rFonts w:ascii="Times New Roman" w:hAnsi="Times New Roman"/>
                <w:b/>
                <w:sz w:val="16"/>
              </w:rPr>
            </w:pPr>
            <w:r>
              <w:rPr>
                <w:rFonts w:ascii="Times New Roman" w:hAnsi="Times New Roman"/>
                <w:b/>
                <w:sz w:val="16"/>
              </w:rPr>
              <w:t>authorized officer of</w:t>
            </w:r>
          </w:p>
          <w:p>
            <w:pPr>
              <w:pStyle w:val="TableContents"/>
              <w:bidi w:val="0"/>
              <w:spacing w:before="0" w:after="0"/>
              <w:jc w:val="center"/>
              <w:rPr>
                <w:rFonts w:ascii="Times New Roman" w:hAnsi="Times New Roman"/>
                <w:b/>
                <w:sz w:val="16"/>
              </w:rPr>
            </w:pPr>
            <w:r>
              <w:rPr>
                <w:rFonts w:ascii="Times New Roman" w:hAnsi="Times New Roman"/>
                <w:b/>
                <w:sz w:val="16"/>
              </w:rPr>
              <w:t>Trustee or</w:t>
            </w:r>
          </w:p>
          <w:p>
            <w:pPr>
              <w:pStyle w:val="TableContents"/>
              <w:bidi w:val="0"/>
              <w:spacing w:before="0" w:after="20"/>
              <w:jc w:val="center"/>
              <w:rPr>
                <w:rFonts w:ascii="Times New Roman" w:hAnsi="Times New Roman"/>
                <w:b/>
                <w:sz w:val="16"/>
              </w:rPr>
            </w:pPr>
            <w:r>
              <w:rPr>
                <w:rFonts w:ascii="Times New Roman" w:hAnsi="Times New Roman"/>
                <w:b/>
                <w:sz w:val="16"/>
              </w:rPr>
              <w:t>Custodian</w:t>
            </w:r>
          </w:p>
        </w:tc>
      </w:tr>
      <w:tr>
        <w:trPr/>
        <w:tc>
          <w:tcPr>
            <w:tcW w:w="2434"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911"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2003"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64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672"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schedule should be included only if the Security is issued in global 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A-3-10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480" w:after="0"/>
        <w:jc w:val="center"/>
        <w:rPr>
          <w:rFonts w:ascii="Times New Roman" w:hAnsi="Times New Roman"/>
          <w:sz w:val="20"/>
        </w:rPr>
      </w:pPr>
      <w:r>
        <w:rPr>
          <w:rFonts w:ascii="Times New Roman" w:hAnsi="Times New Roman"/>
          <w:sz w:val="20"/>
        </w:rPr>
        <w:t xml:space="preserve">FORM OF LEGEND FOR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Any Global Security authenticated and delivered hereunder shall bear a legend in substantially the following form: </w:t>
      </w:r>
    </w:p>
    <w:p>
      <w:pPr>
        <w:pStyle w:val="TextBody"/>
        <w:bidi w:val="0"/>
        <w:spacing w:before="120" w:after="0"/>
        <w:jc w:val="left"/>
        <w:rPr>
          <w:rFonts w:ascii="Times New Roman" w:hAnsi="Times New Roman"/>
          <w:sz w:val="20"/>
        </w:rPr>
      </w:pPr>
      <w:r>
        <w:rPr>
          <w:rFonts w:ascii="Times New Roman" w:hAnsi="Times New Roman"/>
          <w:sz w:val="20"/>
        </w:rPr>
        <w:t xml:space="preserve">THIS SECURITY IS A GLOBAL SECURITY WITHIN THE MEANING OF THE INDENTURE HEREINAFTER REFERRED TO AND IS REGISTERED IN THE NAME OF THE DEPOSITARY OR A NOMINEE OF THE DEPOSITARY, WHICH SHALL BE TREATED BY THE COMPANY, THE TRUSTEE AND ANY AGENT THEREOF AS OWNER AND HOLDER OF THIS SECURITY FOR ALL PURPOSES. </w:t>
      </w:r>
    </w:p>
    <w:p>
      <w:pPr>
        <w:pStyle w:val="TextBody"/>
        <w:bidi w:val="0"/>
        <w:spacing w:before="120" w:after="0"/>
        <w:jc w:val="left"/>
        <w:rPr>
          <w:rFonts w:ascii="Times New Roman" w:hAnsi="Times New Roman"/>
          <w:sz w:val="20"/>
        </w:rPr>
      </w:pPr>
      <w:r>
        <w:rPr>
          <w:rFonts w:ascii="Times New Roman" w:hAnsi="Times New Roman"/>
          <w:sz w:val="20"/>
        </w:rPr>
        <w:t xml:space="preserve">UNLESS THIS CERTIFICATE IS PRESENTED BY AN AUTHORIZED REPRESENTATIVE OF THE DEPOSITORY TRUST COMPANY, TO THE COMPANY OR ITS AGENT FOR REGISTRATION OF TRANSFER, EXCHANGE OR PAYMENT, AND ANY CERTIFICATE ISSUED IS REGISTERED IN THE NAME OF CEDE &amp; CO. OR IN SUCH OTHER NAME AS IS REQUESTED BY AN AUTHORIZED REPRESENTATIVE OF THE DEPOSITORY TRUST COMPANY (AND ANY PAYMENT HEREON IS MADE TO CEDE &amp; CO. OR TO SUCH OTHER ENTITY AS IS REQUESTED BY AN AUTHORIZED REPRESENTATIVE OF THE DEPOSITORY TRUST COMPANY), ANY TRANSFER, PLEDGE OR OTHER USE HEREOF FOR VALUE OR OTHERWISE BY OR TO ANY PERSON IS WRONGFUL SINCE THE REGISTERED OWNER HEREOF, CEDE &amp; CO., HAS AN INTEREST HEREIN. </w:t>
      </w:r>
    </w:p>
    <w:p>
      <w:pPr>
        <w:pStyle w:val="TextBody"/>
        <w:bidi w:val="0"/>
        <w:spacing w:before="120" w:after="0"/>
        <w:jc w:val="left"/>
        <w:rPr>
          <w:rFonts w:ascii="Times New Roman" w:hAnsi="Times New Roman"/>
          <w:sz w:val="20"/>
        </w:rPr>
      </w:pPr>
      <w:r>
        <w:rPr>
          <w:rFonts w:ascii="Times New Roman" w:hAnsi="Times New Roman"/>
          <w:sz w:val="20"/>
        </w:rPr>
        <w:t xml:space="preserve">TRANSFERS OF THIS GLOBAL SECURITY SHALL BE LIMITED TO TRANSFERS IN WHOLE, BUT NOT IN PART, TO NOMINEES OF THE DEPOSITORY TRUST COMPANY OR TO A SUCCESSOR THEREOF OR SUCH SUCCESSOR’S NOMINEE.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p>
    <w:p>
      <w:pPr>
        <w:pStyle w:val="TextBody"/>
        <w:bidi w:val="0"/>
        <w:spacing w:before="0" w:after="0"/>
        <w:jc w:val="right"/>
        <w:rPr>
          <w:rFonts w:ascii="Times New Roman" w:hAnsi="Times New Roman"/>
          <w:b/>
          <w:sz w:val="20"/>
        </w:rPr>
      </w:pPr>
      <w:bookmarkStart w:id="4" w:name="d156192dex51.htm"/>
      <w:bookmarkStart w:id="5" w:name="ksd156192dex51"/>
      <w:bookmarkEnd w:id="4"/>
      <w:bookmarkEnd w:id="5"/>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4067175"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67175" cy="26670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2"/>
        <w:gridCol w:w="3266"/>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0"/>
              <w:jc w:val="left"/>
              <w:rPr>
                <w:rFonts w:ascii="Times New Roman" w:hAnsi="Times New Roman"/>
                <w:b/>
                <w:sz w:val="20"/>
              </w:rPr>
            </w:pPr>
            <w:r>
              <w:rPr>
                <w:rFonts w:ascii="Times New Roman" w:hAnsi="Times New Roman"/>
                <w:b/>
                <w:sz w:val="20"/>
              </w:rPr>
              <w:t>AMERICAS</w:t>
            </w:r>
          </w:p>
          <w:p>
            <w:pPr>
              <w:pStyle w:val="TableContents"/>
              <w:bidi w:val="0"/>
              <w:spacing w:before="0" w:after="0"/>
              <w:jc w:val="left"/>
              <w:rPr>
                <w:rFonts w:ascii="Times New Roman" w:hAnsi="Times New Roman"/>
                <w:sz w:val="20"/>
              </w:rPr>
            </w:pPr>
            <w:r>
              <w:rPr>
                <w:rFonts w:ascii="Times New Roman" w:hAnsi="Times New Roman"/>
                <w:sz w:val="20"/>
              </w:rPr>
              <w:t>NEW YORK</w:t>
            </w:r>
          </w:p>
          <w:p>
            <w:pPr>
              <w:pStyle w:val="TableContents"/>
              <w:bidi w:val="0"/>
              <w:spacing w:before="0" w:after="0"/>
              <w:jc w:val="left"/>
              <w:rPr>
                <w:rFonts w:ascii="Times New Roman" w:hAnsi="Times New Roman"/>
                <w:sz w:val="20"/>
              </w:rPr>
            </w:pPr>
            <w:r>
              <w:rPr>
                <w:rFonts w:ascii="Times New Roman" w:hAnsi="Times New Roman"/>
                <w:sz w:val="20"/>
              </w:rPr>
              <w:t>SAN FRANCISCO</w:t>
            </w:r>
          </w:p>
          <w:p>
            <w:pPr>
              <w:pStyle w:val="TableContents"/>
              <w:bidi w:val="0"/>
              <w:spacing w:before="0" w:after="0"/>
              <w:jc w:val="left"/>
              <w:rPr>
                <w:rFonts w:ascii="Times New Roman" w:hAnsi="Times New Roman"/>
                <w:sz w:val="20"/>
              </w:rPr>
            </w:pPr>
            <w:r>
              <w:rPr>
                <w:rFonts w:ascii="Times New Roman" w:hAnsi="Times New Roman"/>
                <w:sz w:val="20"/>
              </w:rPr>
              <w:t>SÃO PAULO</w:t>
            </w:r>
          </w:p>
          <w:p>
            <w:pPr>
              <w:pStyle w:val="TableContents"/>
              <w:bidi w:val="0"/>
              <w:spacing w:before="0" w:after="0"/>
              <w:jc w:val="left"/>
              <w:rPr>
                <w:rFonts w:ascii="Times New Roman" w:hAnsi="Times New Roman"/>
                <w:sz w:val="20"/>
              </w:rPr>
            </w:pPr>
            <w:r>
              <w:rPr>
                <w:rFonts w:ascii="Times New Roman" w:hAnsi="Times New Roman"/>
                <w:sz w:val="20"/>
              </w:rPr>
              <w:t>SILICON VALLEY</w:t>
            </w:r>
          </w:p>
          <w:p>
            <w:pPr>
              <w:pStyle w:val="TableContents"/>
              <w:bidi w:val="0"/>
              <w:spacing w:before="0" w:after="0"/>
              <w:jc w:val="left"/>
              <w:rPr>
                <w:rFonts w:ascii="Times New Roman" w:hAnsi="Times New Roman"/>
                <w:sz w:val="20"/>
              </w:rPr>
            </w:pPr>
            <w:r>
              <w:rPr>
                <w:rFonts w:ascii="Times New Roman" w:hAnsi="Times New Roman"/>
                <w:sz w:val="20"/>
              </w:rPr>
              <w:t>WASHINGTON, D.C.</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ASIA</w:t>
            </w:r>
          </w:p>
          <w:p>
            <w:pPr>
              <w:pStyle w:val="TableContents"/>
              <w:bidi w:val="0"/>
              <w:spacing w:before="0" w:after="0"/>
              <w:jc w:val="left"/>
              <w:rPr>
                <w:rFonts w:ascii="Times New Roman" w:hAnsi="Times New Roman"/>
                <w:sz w:val="20"/>
              </w:rPr>
            </w:pPr>
            <w:r>
              <w:rPr>
                <w:rFonts w:ascii="Times New Roman" w:hAnsi="Times New Roman"/>
                <w:sz w:val="20"/>
              </w:rPr>
              <w:t>HONG KONG</w:t>
            </w:r>
          </w:p>
          <w:p>
            <w:pPr>
              <w:pStyle w:val="TableContents"/>
              <w:bidi w:val="0"/>
              <w:spacing w:before="0" w:after="20"/>
              <w:jc w:val="left"/>
              <w:rPr>
                <w:rFonts w:ascii="Times New Roman" w:hAnsi="Times New Roman"/>
                <w:sz w:val="20"/>
              </w:rPr>
            </w:pPr>
            <w:r>
              <w:rPr>
                <w:rFonts w:ascii="Times New Roman" w:hAnsi="Times New Roman"/>
                <w:sz w:val="20"/>
              </w:rPr>
              <w:t>SEOUL</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sz w:val="20"/>
              </w:rPr>
            </w:pPr>
            <w:r>
              <w:rPr>
                <w:rFonts w:ascii="Times New Roman" w:hAnsi="Times New Roman"/>
                <w:sz w:val="20"/>
              </w:rPr>
              <w:t>One Liberty Plaza</w:t>
            </w:r>
          </w:p>
          <w:p>
            <w:pPr>
              <w:pStyle w:val="TableContents"/>
              <w:bidi w:val="0"/>
              <w:spacing w:before="0" w:after="0"/>
              <w:jc w:val="center"/>
              <w:rPr>
                <w:rFonts w:ascii="Times New Roman" w:hAnsi="Times New Roman"/>
                <w:sz w:val="20"/>
              </w:rPr>
            </w:pPr>
            <w:r>
              <w:rPr>
                <w:rFonts w:ascii="Times New Roman" w:hAnsi="Times New Roman"/>
                <w:sz w:val="20"/>
              </w:rPr>
              <w:t>New York, NY 10006-1470</w:t>
            </w:r>
          </w:p>
          <w:p>
            <w:pPr>
              <w:pStyle w:val="TableContents"/>
              <w:bidi w:val="0"/>
              <w:spacing w:before="0" w:after="0"/>
              <w:jc w:val="center"/>
              <w:rPr>
                <w:rFonts w:ascii="Times New Roman" w:hAnsi="Times New Roman"/>
                <w:sz w:val="20"/>
              </w:rPr>
            </w:pPr>
            <w:r>
              <w:rPr>
                <w:rFonts w:ascii="Times New Roman" w:hAnsi="Times New Roman"/>
                <w:sz w:val="20"/>
              </w:rPr>
              <w:t>T: +1 212 225 2000</w:t>
            </w:r>
          </w:p>
          <w:p>
            <w:pPr>
              <w:pStyle w:val="TableContents"/>
              <w:bidi w:val="0"/>
              <w:spacing w:before="0" w:after="0"/>
              <w:jc w:val="center"/>
              <w:rPr>
                <w:rFonts w:ascii="Times New Roman" w:hAnsi="Times New Roman"/>
                <w:sz w:val="20"/>
              </w:rPr>
            </w:pPr>
            <w:r>
              <w:rPr>
                <w:rFonts w:ascii="Times New Roman" w:hAnsi="Times New Roman"/>
                <w:sz w:val="20"/>
              </w:rPr>
              <w:t>F: +1 212 225 3999</w:t>
            </w:r>
          </w:p>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clearygottlieb.com</w:t>
            </w:r>
          </w:p>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Writer’s Direct Dial: +1 212 225 2342</w:t>
            </w:r>
          </w:p>
          <w:p>
            <w:pPr>
              <w:pStyle w:val="TableContents"/>
              <w:bidi w:val="0"/>
              <w:spacing w:before="0" w:after="20"/>
              <w:jc w:val="center"/>
              <w:rPr>
                <w:rFonts w:ascii="Times New Roman" w:hAnsi="Times New Roman"/>
                <w:sz w:val="20"/>
              </w:rPr>
            </w:pPr>
            <w:r>
              <w:rPr>
                <w:rFonts w:ascii="Times New Roman" w:hAnsi="Times New Roman"/>
                <w:sz w:val="20"/>
              </w:rPr>
              <w:t>E-Mail: ljanzen@cgsh.com</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right"/>
              <w:rPr>
                <w:rFonts w:ascii="Times New Roman" w:hAnsi="Times New Roman"/>
                <w:b/>
                <w:sz w:val="20"/>
              </w:rPr>
            </w:pPr>
            <w:r>
              <w:rPr>
                <w:rFonts w:ascii="Times New Roman" w:hAnsi="Times New Roman"/>
                <w:b/>
                <w:sz w:val="20"/>
              </w:rPr>
              <w:t xml:space="preserve">EUROPE &amp; MIDDLE EAST </w:t>
            </w:r>
          </w:p>
          <w:p>
            <w:pPr>
              <w:pStyle w:val="TableContents"/>
              <w:bidi w:val="0"/>
              <w:spacing w:before="0" w:after="0"/>
              <w:jc w:val="right"/>
              <w:rPr>
                <w:rFonts w:ascii="Times New Roman" w:hAnsi="Times New Roman"/>
                <w:sz w:val="20"/>
              </w:rPr>
            </w:pPr>
            <w:r>
              <w:rPr>
                <w:rFonts w:ascii="Times New Roman" w:hAnsi="Times New Roman"/>
                <w:sz w:val="20"/>
              </w:rPr>
              <w:t>ABU DHABI</w:t>
            </w:r>
          </w:p>
          <w:p>
            <w:pPr>
              <w:pStyle w:val="TableContents"/>
              <w:bidi w:val="0"/>
              <w:spacing w:before="0" w:after="0"/>
              <w:jc w:val="right"/>
              <w:rPr>
                <w:rFonts w:ascii="Times New Roman" w:hAnsi="Times New Roman"/>
                <w:sz w:val="20"/>
              </w:rPr>
            </w:pPr>
            <w:r>
              <w:rPr>
                <w:rFonts w:ascii="Times New Roman" w:hAnsi="Times New Roman"/>
                <w:sz w:val="20"/>
              </w:rPr>
              <w:t>BRUSSELS</w:t>
            </w:r>
          </w:p>
          <w:p>
            <w:pPr>
              <w:pStyle w:val="TableContents"/>
              <w:bidi w:val="0"/>
              <w:spacing w:before="0" w:after="0"/>
              <w:jc w:val="right"/>
              <w:rPr>
                <w:rFonts w:ascii="Times New Roman" w:hAnsi="Times New Roman"/>
                <w:sz w:val="20"/>
              </w:rPr>
            </w:pPr>
            <w:r>
              <w:rPr>
                <w:rFonts w:ascii="Times New Roman" w:hAnsi="Times New Roman"/>
                <w:sz w:val="20"/>
              </w:rPr>
              <w:t>COLOGNE</w:t>
            </w:r>
          </w:p>
          <w:p>
            <w:pPr>
              <w:pStyle w:val="TableContents"/>
              <w:bidi w:val="0"/>
              <w:spacing w:before="0" w:after="0"/>
              <w:jc w:val="right"/>
              <w:rPr>
                <w:rFonts w:ascii="Times New Roman" w:hAnsi="Times New Roman"/>
                <w:sz w:val="20"/>
              </w:rPr>
            </w:pPr>
            <w:r>
              <w:rPr>
                <w:rFonts w:ascii="Times New Roman" w:hAnsi="Times New Roman"/>
                <w:sz w:val="20"/>
              </w:rPr>
              <w:t>FRANKFURT</w:t>
            </w:r>
          </w:p>
          <w:p>
            <w:pPr>
              <w:pStyle w:val="TableContents"/>
              <w:bidi w:val="0"/>
              <w:spacing w:before="0" w:after="0"/>
              <w:jc w:val="right"/>
              <w:rPr>
                <w:rFonts w:ascii="Times New Roman" w:hAnsi="Times New Roman"/>
                <w:sz w:val="20"/>
              </w:rPr>
            </w:pPr>
            <w:r>
              <w:rPr>
                <w:rFonts w:ascii="Times New Roman" w:hAnsi="Times New Roman"/>
                <w:sz w:val="20"/>
              </w:rPr>
              <w:t>LONDON</w:t>
            </w:r>
          </w:p>
          <w:p>
            <w:pPr>
              <w:pStyle w:val="TableContents"/>
              <w:bidi w:val="0"/>
              <w:spacing w:before="0" w:after="0"/>
              <w:jc w:val="right"/>
              <w:rPr>
                <w:rFonts w:ascii="Times New Roman" w:hAnsi="Times New Roman"/>
                <w:sz w:val="20"/>
              </w:rPr>
            </w:pPr>
            <w:r>
              <w:rPr>
                <w:rFonts w:ascii="Times New Roman" w:hAnsi="Times New Roman"/>
                <w:sz w:val="20"/>
              </w:rPr>
              <w:t>MILAN</w:t>
            </w:r>
          </w:p>
          <w:p>
            <w:pPr>
              <w:pStyle w:val="TableContents"/>
              <w:bidi w:val="0"/>
              <w:spacing w:before="0" w:after="0"/>
              <w:jc w:val="right"/>
              <w:rPr>
                <w:rFonts w:ascii="Times New Roman" w:hAnsi="Times New Roman"/>
                <w:sz w:val="20"/>
              </w:rPr>
            </w:pPr>
            <w:r>
              <w:rPr>
                <w:rFonts w:ascii="Times New Roman" w:hAnsi="Times New Roman"/>
                <w:sz w:val="20"/>
              </w:rPr>
              <w:t>PARIS</w:t>
            </w:r>
          </w:p>
          <w:p>
            <w:pPr>
              <w:pStyle w:val="TableContents"/>
              <w:bidi w:val="0"/>
              <w:spacing w:before="0" w:after="20"/>
              <w:jc w:val="right"/>
              <w:rPr>
                <w:rFonts w:ascii="Times New Roman" w:hAnsi="Times New Roman"/>
                <w:sz w:val="20"/>
              </w:rPr>
            </w:pPr>
            <w:r>
              <w:rPr>
                <w:rFonts w:ascii="Times New Roman" w:hAnsi="Times New Roman"/>
                <w:sz w:val="20"/>
              </w:rPr>
              <w:t>ROME</w:t>
            </w:r>
          </w:p>
        </w:tc>
      </w:tr>
    </w:tbl>
    <w:p>
      <w:pPr>
        <w:pStyle w:val="TextBody"/>
        <w:bidi w:val="0"/>
        <w:spacing w:before="240" w:after="0"/>
        <w:jc w:val="right"/>
        <w:rPr>
          <w:rFonts w:ascii="Times New Roman" w:hAnsi="Times New Roman"/>
          <w:sz w:val="20"/>
        </w:rPr>
      </w:pPr>
      <w:r>
        <w:rPr>
          <w:rFonts w:ascii="Times New Roman" w:hAnsi="Times New Roman"/>
          <w:sz w:val="20"/>
        </w:rPr>
        <w:t xml:space="preserve">September 14, 2026 </w:t>
      </w:r>
    </w:p>
    <w:p>
      <w:pPr>
        <w:pStyle w:val="TextBody"/>
        <w:bidi w:val="0"/>
        <w:spacing w:before="240" w:after="0"/>
        <w:jc w:val="left"/>
        <w:rPr>
          <w:rFonts w:ascii="Times New Roman" w:hAnsi="Times New Roman"/>
          <w:sz w:val="20"/>
        </w:rPr>
      </w:pPr>
      <w:r>
        <w:rPr>
          <w:rFonts w:ascii="Times New Roman" w:hAnsi="Times New Roman"/>
          <w:sz w:val="20"/>
        </w:rPr>
        <w:t xml:space="preserve">American Tower Corporation </w:t>
      </w:r>
    </w:p>
    <w:p>
      <w:pPr>
        <w:pStyle w:val="TextBody"/>
        <w:bidi w:val="0"/>
        <w:spacing w:before="0" w:after="0"/>
        <w:jc w:val="left"/>
        <w:rPr>
          <w:rFonts w:ascii="Times New Roman" w:hAnsi="Times New Roman"/>
          <w:sz w:val="20"/>
        </w:rPr>
      </w:pPr>
      <w:r>
        <w:rPr>
          <w:rFonts w:ascii="Times New Roman" w:hAnsi="Times New Roman"/>
          <w:sz w:val="20"/>
        </w:rPr>
        <w:t xml:space="preserve">222 Berkeley Street </w:t>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02116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acted as special counsel to American Tower Corporation, a Delaware corporation (the “Company”), in connection with its offering pursuant to a registration statement on Form S-3 (No. 333-287714), as amended as of its most recent effective date (September 9, 2026), insofar as it relates to the Securities (as defined below) (as determined for purposes of Rule 430B(f)(2) under the Securities Act of 1933, as amended (the “Securities Act”)) (as so amended, including the documents incorporated by reference therein but excluding Exhibit 25, the “Registration Statement”), and the prospectus dated June 2, 2025 (the “Base Prospectus”), as supplemented by the prospectus supplement thereto dated September 9, 2026 (the “Prospectus Supplement,” and together with the Base Prospectus, the “Prospectus”), of $500,000,000 aggregate principal amount of 5.300% Senior Notes due 2031 (the “2031 Notes”), $500,000,000 aggregate principal amount of 5.560% Senior Notes due 2033 (the “2033 Notes”) and $600,000,000 aggregate principal amount of 5.750% Senior Notes due 2036 (the “2036 Notes” and, together with the 2031 Notes and the 2033 Notes, the “Securities”). The Securities were issued under an indenture dated as of June 2, 2025 (the “Base Indenture”) between the Company and U.S. Bank Trust Company, National Association, as trustee (the “Trustee”), as supplemented, with respect to the Securities, by Supplemental Indenture No. 3 thereto dated as of September 14, 2026 (the “Supplemental Indenture,” and together with the Base Indenture,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the opinion expressed below, we have reviewed the following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executed copy of the Underwriting Agreement dated September 9, 2026 between the Company and the several underwriters named in Schedule A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executed copies of the Base Indenture and the Supplemental Indenture;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4791075" cy="200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791075" cy="20002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American Tower Corporation, p. 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(e)</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facsimile copies of the Securities in global form as executed by the Company and authenticated by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(f)</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copies of the Company’s Restated Certificate of Incorporation and Amended and Restated By-Laws certified by the Secretary of State of the State of Delaware and the corporate secretary of the Company, respectively.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have reviewed the originals or copies certified or otherwise identified to our satisfaction of all such corporate records of the Company and such other documents, and we have made such investigations of law, as we have deemed appropriate as a basis for the opinion expressed below.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 expressed below, we have assumed the authenticity of all documents submitted to us as originals and the conformity to the originals of all documents submitted to us as copies. In addition, we have assumed and have not verified the accuracy as to factual matters of each document we have reviewed.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and subject to the further assumptions and qualifications set forth below, it is our opinion that the Securities are the valid, binding and enforceable obligations of the Company, entitled to the benefits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Insofar as the foregoing opinion relates to the validity, binding effect or enforceability of any agreement or obligation of the Company, (a) we have assumed that the Company and each other party to such agreement or obligation has satisfied those legal requirements that are applicable to it to the extent necessary to make such agreement or obligation enforceable against it (except that no such assumption is made as to the Company regarding matters of the law of the State of New York or the General Corporation Law of the State of Delaware that in our experience normally would be applicable to general business entities with respect to such agreement or obligation), (b) we express no opinion with respect to the effect of any mandatory choice of law rules and (c) such opinion is subject to applicable bankruptcy, insolvency and similar laws affecting creditors’ rights generally and to general principles of equity. </w:t>
      </w:r>
    </w:p>
    <w:p>
      <w:pPr>
        <w:pStyle w:val="TextBody"/>
        <w:bidi w:val="0"/>
        <w:spacing w:before="240" w:after="0"/>
        <w:jc w:val="left"/>
        <w:rPr>
          <w:rFonts w:ascii="Times New Roman" w:hAnsi="Times New Roman"/>
          <w:sz w:val="20"/>
        </w:rPr>
      </w:pPr>
      <w:r>
        <w:rPr>
          <w:rFonts w:ascii="Times New Roman" w:hAnsi="Times New Roman"/>
          <w:sz w:val="20"/>
        </w:rPr>
        <w:t xml:space="preserve">The foregoing opinion is limited to the law of the State of New York and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use of our name in the Prospectus Supplement under the heading “Legal Matters” and in the Base Prospectus under the heading “Validity of the Securities,” as counsel for the Company that has passed on the validity of the Securities and to the filing of this opinion letter as Exhibit 5.1 to the Company’s Current Report on Form 8-K dated September 14, 2026. In giving such consent, we do not thereby admit that we are within the category of persons whose consent is required under Section 7 of the Securities Act or the rules and regulations of the Securities and Exchange Commission thereunder.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opinion expressed herein is rendered on and as of the date hereof, and we assume no obligation to advise you or any other person, or to make any investigations, as to any legal developments or factual matters arising subsequent to the date hereof that might affect the opinion expressed herein.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2"/>
        <w:gridCol w:w="60"/>
        <w:gridCol w:w="3630"/>
      </w:tblGrid>
      <w:tr>
        <w:trPr/>
        <w:tc>
          <w:tcPr>
            <w:tcW w:w="3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CLEARY GOTTLIEB STEEN &amp; HAMILTON LLP</w:t>
            </w:r>
          </w:p>
        </w:tc>
      </w:tr>
      <w:tr>
        <w:trPr>
          <w:trHeight w:val="240" w:hRule="atLeast"/>
        </w:trPr>
        <w:tc>
          <w:tcPr>
            <w:tcW w:w="392" w:type="dxa"/>
            <w:tcBorders/>
            <w:vAlign w:val="center"/>
          </w:tcPr>
          <w:p>
            <w:pPr>
              <w:pStyle w:val="TableContents"/>
              <w:bidi w:val="0"/>
              <w:spacing w:before="0" w:after="283"/>
              <w:jc w:val="left"/>
              <w:rPr>
                <w:sz w:val="4"/>
                <w:szCs w:val="4"/>
              </w:rPr>
            </w:pPr>
            <w:r>
              <w:rPr>
                <w:sz w:val="4"/>
                <w:szCs w:val="4"/>
              </w:rPr>
            </w:r>
          </w:p>
        </w:tc>
        <w:tc>
          <w:tcPr>
            <w:tcW w:w="3690" w:type="dxa"/>
            <w:gridSpan w:val="2"/>
            <w:tcBorders/>
            <w:vAlign w:val="center"/>
          </w:tcPr>
          <w:p>
            <w:pPr>
              <w:pStyle w:val="TableContents"/>
              <w:bidi w:val="0"/>
              <w:spacing w:before="0" w:after="283"/>
              <w:jc w:val="left"/>
              <w:rPr>
                <w:sz w:val="4"/>
                <w:szCs w:val="4"/>
              </w:rPr>
            </w:pPr>
            <w:r>
              <w:rPr>
                <w:sz w:val="4"/>
                <w:szCs w:val="4"/>
              </w:rPr>
            </w:r>
          </w:p>
        </w:tc>
      </w:tr>
      <w:tr>
        <w:trPr/>
        <w:tc>
          <w:tcPr>
            <w:tcW w:w="39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3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Lesley Janzen</w:t>
            </w:r>
          </w:p>
        </w:tc>
      </w:tr>
      <w:tr>
        <w:trPr/>
        <w:tc>
          <w:tcPr>
            <w:tcW w:w="3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283"/>
              <w:jc w:val="left"/>
              <w:rPr/>
            </w:pPr>
            <w:r>
              <w:rPr/>
              <w:t>Lesley Janzen, a Partner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57</Pages>
  <Words>23018</Words>
  <Characters>119024</Characters>
  <CharactersWithSpaces>142220</CharactersWithSpaces>
  <Paragraphs>1316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