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345"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22"/>
        </w:rPr>
      </w:pPr>
      <w:r>
        <w:rPr>
          <w:rFonts w:ascii="Times New Roman;sans-serif" w:hAnsi="Times New Roman;sans-serif"/>
          <w:b/>
          <w:color w:val="000000"/>
          <w:sz w:val="22"/>
        </w:rPr>
        <w:t>CURRENT REPORT PURSUANT</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TO SECTION 13 OR 15(d) OF THE</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EXCHANGE ACT OF 1934</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 xml:space="preserve">Date of Report (Date of Earliest Event Reported): May 14, 2025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AMERICAN TOWER CORPORATION </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229" w:type="dxa"/>
        <w:jc w:val="center"/>
        <w:tblInd w:w="0" w:type="dxa"/>
        <w:tblLayout w:type="fixed"/>
        <w:tblCellMar>
          <w:top w:w="28" w:type="dxa"/>
          <w:left w:w="28" w:type="dxa"/>
          <w:bottom w:w="28" w:type="dxa"/>
          <w:right w:w="28" w:type="dxa"/>
        </w:tblCellMar>
      </w:tblPr>
      <w:tblGrid>
        <w:gridCol w:w="1254"/>
        <w:gridCol w:w="1099"/>
        <w:gridCol w:w="1111"/>
        <w:gridCol w:w="109"/>
        <w:gridCol w:w="109"/>
        <w:gridCol w:w="109"/>
        <w:gridCol w:w="677"/>
        <w:gridCol w:w="677"/>
        <w:gridCol w:w="685"/>
        <w:gridCol w:w="109"/>
        <w:gridCol w:w="109"/>
        <w:gridCol w:w="109"/>
        <w:gridCol w:w="897"/>
        <w:gridCol w:w="897"/>
        <w:gridCol w:w="906"/>
        <w:gridCol w:w="109"/>
        <w:gridCol w:w="109"/>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001-14195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65-0723837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116 Huntington Avenue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Boston, Massachusetts 02116 </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(617) 375-7500 </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 Applicable</w:t>
      </w:r>
    </w:p>
    <w:p>
      <w:pPr>
        <w:pStyle w:val="TextBody"/>
        <w:bidi w:val="0"/>
        <w:spacing w:lineRule="auto" w:line="288" w:before="60" w:after="283"/>
        <w:jc w:val="center"/>
        <w:rPr>
          <w:rFonts w:ascii="Times New Roman;sans-serif" w:hAnsi="Times New Roman;sans-serif"/>
          <w:b/>
          <w:color w:val="231F20"/>
          <w:sz w:val="16"/>
        </w:rPr>
      </w:pPr>
      <w:r>
        <w:rPr>
          <w:rFonts w:ascii="Times New Roman;sans-serif" w:hAnsi="Times New Roman;sans-serif"/>
          <w:b/>
          <w:color w:val="231F20"/>
          <w:sz w:val="16"/>
        </w:rPr>
        <w:t>(Former name or former address, if changed since last report.)</w:t>
      </w:r>
    </w:p>
    <w:p>
      <w:pPr>
        <w:pStyle w:val="TextBody"/>
        <w:bidi w:val="0"/>
        <w:spacing w:lineRule="auto" w:line="288" w:before="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20" w:after="20"/>
        <w:jc w:val="left"/>
        <w:rPr/>
      </w:pPr>
      <w:r>
        <w:rPr>
          <w:color w:val="000000"/>
        </w:rPr>
        <w:t xml:space="preserve">☐ </w:t>
      </w:r>
      <w:r>
        <w:rPr>
          <w:rFonts w:ascii="Times New Roman;sans-serif" w:hAnsi="Times New Roman;sans-serif"/>
          <w:b w:val="false"/>
          <w:color w:val="000000"/>
          <w:sz w:val="18"/>
        </w:rPr>
        <w:t>Written communications pursuant to Rule 425 under the Securities Act (17 CFR 230.425)</w:t>
      </w:r>
    </w:p>
    <w:p>
      <w:pPr>
        <w:pStyle w:val="TextBody"/>
        <w:bidi w:val="0"/>
        <w:spacing w:lineRule="auto" w:line="288" w:before="20" w:after="20"/>
        <w:jc w:val="left"/>
        <w:rPr/>
      </w:pPr>
      <w:r>
        <w:rPr>
          <w:color w:val="000000"/>
        </w:rPr>
        <w:t xml:space="preserve">☐ </w:t>
      </w:r>
      <w:r>
        <w:rPr>
          <w:rFonts w:ascii="Times New Roman;sans-serif" w:hAnsi="Times New Roman;sans-serif"/>
          <w:b w:val="false"/>
          <w:color w:val="231F20"/>
          <w:sz w:val="18"/>
        </w:rPr>
        <w:t xml:space="preserve">Soliciting material pursuant to Rule 14a-12 under the Exchange Act (17 CFR 240.14a-12) </w:t>
      </w:r>
    </w:p>
    <w:p>
      <w:pPr>
        <w:pStyle w:val="TextBody"/>
        <w:bidi w:val="0"/>
        <w:spacing w:lineRule="auto" w:line="288" w:before="20" w:after="20"/>
        <w:jc w:val="left"/>
        <w:rPr/>
      </w:pPr>
      <w:r>
        <w:rPr>
          <w:color w:val="000000"/>
        </w:rPr>
        <w:t xml:space="preserve">☐ </w:t>
      </w:r>
      <w:r>
        <w:rPr>
          <w:rFonts w:ascii="Times New Roman;sans-serif" w:hAnsi="Times New Roman;sans-serif"/>
          <w:b w:val="false"/>
          <w:color w:val="231F20"/>
          <w:sz w:val="18"/>
        </w:rPr>
        <w:t xml:space="preserve">Pre-commencement communications pursuant to Rule 14d-2(b) under the Exchange Act (17 CFR 240.14d-2(b)) </w:t>
      </w:r>
    </w:p>
    <w:p>
      <w:pPr>
        <w:pStyle w:val="TextBody"/>
        <w:bidi w:val="0"/>
        <w:spacing w:lineRule="auto" w:line="288" w:before="20" w:after="20"/>
        <w:jc w:val="left"/>
        <w:rPr/>
      </w:pPr>
      <w:r>
        <w:rPr>
          <w:color w:val="000000"/>
        </w:rPr>
        <w:t>☐</w:t>
      </w:r>
      <w:r>
        <w:rPr>
          <w:color w:val="231F20"/>
        </w:rPr>
        <w:t xml:space="preserve"> </w:t>
      </w:r>
      <w:r>
        <w:rPr>
          <w:rFonts w:ascii="Times New Roman;sans-serif" w:hAnsi="Times New Roman;sans-serif"/>
          <w:b w:val="false"/>
          <w:color w:val="231F20"/>
          <w:sz w:val="18"/>
        </w:rPr>
        <w:t xml:space="preserve">Pre-commencement communications pursuant to Rule 13e-4(c) under the Exchange Act (17 CFR 240.13e-4(c)) </w:t>
      </w:r>
    </w:p>
    <w:p>
      <w:pPr>
        <w:pStyle w:val="TextBody"/>
        <w:bidi w:val="0"/>
        <w:spacing w:lineRule="auto" w:line="288" w:before="60" w:after="283"/>
        <w:jc w:val="center"/>
        <w:rPr/>
      </w:pPr>
      <w:r>
        <w:rPr>
          <w:rFonts w:ascii="Times New Roman;sans-serif" w:hAnsi="Times New Roman;sans-serif"/>
          <w:b/>
          <w:color w:val="000000"/>
          <w:sz w:val="18"/>
        </w:rPr>
        <w:t>Securities registered pursuant to Section 12(b) of the Act:</w:t>
      </w:r>
      <w:r>
        <w:rPr>
          <w:color w:val="000000"/>
        </w:rPr>
        <w:t xml:space="preserve"> </w:t>
      </w:r>
    </w:p>
    <w:tbl>
      <w:tblPr>
        <w:tblW w:w="7227" w:type="dxa"/>
        <w:jc w:val="center"/>
        <w:tblInd w:w="0" w:type="dxa"/>
        <w:tblLayout w:type="fixed"/>
        <w:tblCellMar>
          <w:top w:w="28" w:type="dxa"/>
          <w:left w:w="28" w:type="dxa"/>
          <w:bottom w:w="28" w:type="dxa"/>
          <w:right w:w="28" w:type="dxa"/>
        </w:tblCellMar>
      </w:tblPr>
      <w:tblGrid>
        <w:gridCol w:w="889"/>
        <w:gridCol w:w="780"/>
        <w:gridCol w:w="790"/>
        <w:gridCol w:w="484"/>
        <w:gridCol w:w="484"/>
        <w:gridCol w:w="486"/>
        <w:gridCol w:w="970"/>
        <w:gridCol w:w="970"/>
        <w:gridCol w:w="1374"/>
      </w:tblGrid>
      <w:tr>
        <w:trPr/>
        <w:tc>
          <w:tcPr>
            <w:tcW w:w="88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AMT</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1.950% Senior Notes due 2026</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AMT 26B</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0.450% Senior Notes due 2027</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AMT 27C</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0.400% Senior Notes due 2027</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AMT 27D</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4.125% Senior Notes due 2027</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AMT 27F</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0.500% Senior Notes due 2028</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AMT 28A</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0.875% Senior Notes due 2029</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AMT 29B</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0.950% Senior Notes due 2030</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AMT 30C</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3.900% Senior Notes due 2030</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AMT 30D</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4.625% Senior Notes due 2031</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AMT 31B</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1.000% Senior Notes due 2032</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AMT 32</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1.250% Senior Notes due 2033</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AMT 33</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4.100% Senior Notes due 2034</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AMT 34A</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New York Stock Exchange</w:t>
            </w:r>
          </w:p>
        </w:tc>
      </w:tr>
    </w:tbl>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pPr>
      <w:r>
        <w:rPr>
          <w:rFonts w:ascii="Times New Roman;sans-serif" w:hAnsi="Times New Roman;sans-serif"/>
          <w:b w:val="false"/>
          <w:color w:val="231F20"/>
          <w:sz w:val="18"/>
        </w:rPr>
        <w:t xml:space="preserve">Emerging growth company </w:t>
      </w:r>
      <w:r>
        <w:rPr>
          <w:color w:val="000000"/>
        </w:rPr>
        <w:t>☐</w:t>
      </w:r>
      <w:r>
        <w:rPr>
          <w:color w:val="231F20"/>
        </w:rPr>
        <w:t xml:space="preserve"> </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5.07    Submission of Matters to a Vote of Security 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2025 Annual Meeting of Stockholders (the “Annual Meeting”) of American Tower Corporation (the “Company”) was held virtually on May 14, 2025. At the Annual Meeting, the Company's stockholders elected eleven individuals to the Board of Directors (the “Board”) and approved Proposals 2 and 3. The proposals are described in more detail in the Company's definitive proxy statement on Schedule 14A filed with the Securities and Exchange Commission on April 2,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final results of the stockholder voting regarding each proposal were as follows: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 Election of the following directors for the ensuing year and until his or her successor is elected and qualified.</w:t>
      </w:r>
    </w:p>
    <w:tbl>
      <w:tblPr>
        <w:tblW w:w="8441" w:type="dxa"/>
        <w:jc w:val="left"/>
        <w:tblInd w:w="0" w:type="dxa"/>
        <w:tblLayout w:type="fixed"/>
        <w:tblCellMar>
          <w:top w:w="28" w:type="dxa"/>
          <w:left w:w="28" w:type="dxa"/>
          <w:bottom w:w="28" w:type="dxa"/>
          <w:right w:w="28" w:type="dxa"/>
        </w:tblCellMar>
      </w:tblPr>
      <w:tblGrid>
        <w:gridCol w:w="726"/>
        <w:gridCol w:w="641"/>
        <w:gridCol w:w="643"/>
        <w:gridCol w:w="494"/>
        <w:gridCol w:w="494"/>
        <w:gridCol w:w="496"/>
        <w:gridCol w:w="474"/>
        <w:gridCol w:w="474"/>
        <w:gridCol w:w="476"/>
        <w:gridCol w:w="549"/>
        <w:gridCol w:w="549"/>
        <w:gridCol w:w="551"/>
        <w:gridCol w:w="549"/>
        <w:gridCol w:w="549"/>
        <w:gridCol w:w="776"/>
      </w:tblGrid>
      <w:tr>
        <w:trPr/>
        <w:tc>
          <w:tcPr>
            <w:tcW w:w="72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Nominee</w:t>
            </w:r>
          </w:p>
        </w:tc>
        <w:tc>
          <w:tcPr>
            <w:tcW w:w="14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Votes Cast For</w:t>
            </w:r>
          </w:p>
        </w:tc>
        <w:tc>
          <w:tcPr>
            <w:tcW w:w="142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Votes Against</w:t>
            </w:r>
          </w:p>
        </w:tc>
        <w:tc>
          <w:tcPr>
            <w:tcW w:w="16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Votes Abstained</w:t>
            </w:r>
          </w:p>
        </w:tc>
        <w:tc>
          <w:tcPr>
            <w:tcW w:w="18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Broker Non-Votes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Steven O. Vondran</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400,389,841</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735,038</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579,796</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23,279,436</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Kelly C. Chambliss</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398,343,068</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2,789,993</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571,614</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23,279,436</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Teresa H. Clarke</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400,510,638</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621,066</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572,971</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23,279,436</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Kenneth R. Frank</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395,768,397</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4,728,777</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1,207,501</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23,279,436</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Robert D. Hormats</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396,389,529</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4,707,078</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608,068</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23,279,436</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Rajesh Kalathur</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400,552,134</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572,294</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580,247</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23,279,436</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Grace D. Lieblein</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390,326,209</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10,807,700</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570,766</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23,279,436</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Craig Macnab</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396,845,370</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4,274,879</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584,426</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23,279,436</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Neville R. Ray</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385,000,582</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16,122,533</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581,560</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23,279,436</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Pamela D. A. Reeve</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385,961,829</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15,169,878</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572,968</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23,279,436</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Bruce L. Tanner</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398,132,525</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2,990,444</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581,706</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23,279,436</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 Approval, on an advisory basis, of the Company’s executive compensation.</w:t>
      </w:r>
    </w:p>
    <w:tbl>
      <w:tblPr>
        <w:tblW w:w="6446" w:type="dxa"/>
        <w:jc w:val="left"/>
        <w:tblInd w:w="0" w:type="dxa"/>
        <w:tblLayout w:type="fixed"/>
        <w:tblCellMar>
          <w:top w:w="28" w:type="dxa"/>
          <w:left w:w="28" w:type="dxa"/>
          <w:bottom w:w="28" w:type="dxa"/>
          <w:right w:w="28" w:type="dxa"/>
        </w:tblCellMar>
      </w:tblPr>
      <w:tblGrid>
        <w:gridCol w:w="542"/>
        <w:gridCol w:w="476"/>
        <w:gridCol w:w="481"/>
        <w:gridCol w:w="474"/>
        <w:gridCol w:w="474"/>
        <w:gridCol w:w="476"/>
        <w:gridCol w:w="549"/>
        <w:gridCol w:w="549"/>
        <w:gridCol w:w="551"/>
        <w:gridCol w:w="549"/>
        <w:gridCol w:w="549"/>
        <w:gridCol w:w="776"/>
      </w:tblGrid>
      <w:tr>
        <w:trPr/>
        <w:tc>
          <w:tcPr>
            <w:tcW w:w="54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Votes Cast For</w:t>
            </w:r>
          </w:p>
        </w:tc>
        <w:tc>
          <w:tcPr>
            <w:tcW w:w="142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Votes Against</w:t>
            </w:r>
          </w:p>
        </w:tc>
        <w:tc>
          <w:tcPr>
            <w:tcW w:w="16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Votes Abstained</w:t>
            </w:r>
          </w:p>
        </w:tc>
        <w:tc>
          <w:tcPr>
            <w:tcW w:w="18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Broker Non-Votes</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378,040,886</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22,168,168</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1,495,621</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23,279,436</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 Ratification of the selection of Deloitte &amp; Touche LLP as the Company’s independent registered public accounting firm for 2025.</w:t>
      </w:r>
    </w:p>
    <w:tbl>
      <w:tblPr>
        <w:tblW w:w="6446" w:type="dxa"/>
        <w:jc w:val="left"/>
        <w:tblInd w:w="0" w:type="dxa"/>
        <w:tblLayout w:type="fixed"/>
        <w:tblCellMar>
          <w:top w:w="28" w:type="dxa"/>
          <w:left w:w="28" w:type="dxa"/>
          <w:bottom w:w="28" w:type="dxa"/>
          <w:right w:w="28" w:type="dxa"/>
        </w:tblCellMar>
      </w:tblPr>
      <w:tblGrid>
        <w:gridCol w:w="542"/>
        <w:gridCol w:w="476"/>
        <w:gridCol w:w="481"/>
        <w:gridCol w:w="474"/>
        <w:gridCol w:w="474"/>
        <w:gridCol w:w="476"/>
        <w:gridCol w:w="549"/>
        <w:gridCol w:w="549"/>
        <w:gridCol w:w="551"/>
        <w:gridCol w:w="549"/>
        <w:gridCol w:w="549"/>
        <w:gridCol w:w="776"/>
      </w:tblGrid>
      <w:tr>
        <w:trPr/>
        <w:tc>
          <w:tcPr>
            <w:tcW w:w="54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Votes Cast For</w:t>
            </w:r>
          </w:p>
        </w:tc>
        <w:tc>
          <w:tcPr>
            <w:tcW w:w="142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Votes Against</w:t>
            </w:r>
          </w:p>
        </w:tc>
        <w:tc>
          <w:tcPr>
            <w:tcW w:w="16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Votes Abstained</w:t>
            </w:r>
          </w:p>
        </w:tc>
        <w:tc>
          <w:tcPr>
            <w:tcW w:w="18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Broker Non-Votes</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398,272,680</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26,570,096</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141,335</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Item 8.01    Other Events.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On May 15, 2025, the Company issued a press release (the “Press Release”) announcing that the Board declared a cash distribution of $1.70 per share on shares of the Company’s common stock, payable on July 11, 2025 to the stockholders of record at the close of business on June 13,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copy of the Press Release is filed herewith as Exhibit 99.1.</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Item 9.01</w:t>
      </w:r>
      <w:r>
        <w:rPr>
          <w:color w:val="000000"/>
        </w:rPr>
        <w:t>    </w:t>
      </w:r>
      <w:r>
        <w:rPr>
          <w:rFonts w:ascii="Times New Roman;sans-serif" w:hAnsi="Times New Roman;sans-serif"/>
          <w:b/>
          <w:color w:val="000000"/>
          <w:sz w:val="22"/>
        </w:rPr>
        <w:t xml:space="preserve">Financial Statements and Exhibits.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color w:val="000000"/>
          <w:sz w:val="22"/>
        </w:rPr>
        <w:t>(d)</w:t>
      </w:r>
      <w:r>
        <w:rPr>
          <w:color w:val="000000"/>
        </w:rPr>
        <w:t>    </w:t>
      </w:r>
      <w:r>
        <w:rPr>
          <w:rFonts w:ascii="Times New Roman;sans-serif" w:hAnsi="Times New Roman;sans-serif"/>
          <w:b/>
          <w:color w:val="000000"/>
          <w:sz w:val="22"/>
        </w:rPr>
        <w:t xml:space="preserve">Exhibits </w:t>
      </w:r>
    </w:p>
    <w:tbl>
      <w:tblPr>
        <w:tblW w:w="9222" w:type="dxa"/>
        <w:jc w:val="left"/>
        <w:tblInd w:w="0" w:type="dxa"/>
        <w:tblLayout w:type="fixed"/>
        <w:tblCellMar>
          <w:top w:w="28" w:type="dxa"/>
          <w:left w:w="28" w:type="dxa"/>
          <w:bottom w:w="28" w:type="dxa"/>
          <w:right w:w="28" w:type="dxa"/>
        </w:tblCellMar>
      </w:tblPr>
      <w:tblGrid>
        <w:gridCol w:w="446"/>
        <w:gridCol w:w="392"/>
        <w:gridCol w:w="393"/>
        <w:gridCol w:w="109"/>
        <w:gridCol w:w="109"/>
        <w:gridCol w:w="109"/>
        <w:gridCol w:w="2240"/>
        <w:gridCol w:w="2240"/>
        <w:gridCol w:w="3184"/>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318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Description</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6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2025q2dividend.htm">
              <w:r>
                <w:rPr>
                  <w:rStyle w:val="InternetLink"/>
                  <w:rFonts w:ascii="Times New Roman;sans-serif" w:hAnsi="Times New Roman;sans-serif"/>
                  <w:b w:val="false"/>
                  <w:color w:val="000080"/>
                  <w:sz w:val="22"/>
                  <w:u w:val="single"/>
                </w:rPr>
                <w:t xml:space="preserve">Press Release, dated </w:t>
              </w:r>
            </w:hyperlink>
            <w:hyperlink w:anchor="exhibit9912025q2dividend.htm">
              <w:r>
                <w:rPr>
                  <w:rStyle w:val="InternetLink"/>
                  <w:rFonts w:ascii="Times New Roman;sans-serif" w:hAnsi="Times New Roman;sans-serif"/>
                  <w:b w:val="false"/>
                  <w:color w:val="000080"/>
                  <w:sz w:val="22"/>
                  <w:u w:val="single"/>
                </w:rPr>
                <w:t>May 15</w:t>
              </w:r>
            </w:hyperlink>
            <w:hyperlink w:anchor="exhibit9912025q2dividend.htm">
              <w:r>
                <w:rPr>
                  <w:rStyle w:val="InternetLink"/>
                  <w:rFonts w:ascii="Times New Roman;sans-serif" w:hAnsi="Times New Roman;sans-serif"/>
                  <w:b w:val="false"/>
                  <w:color w:val="000080"/>
                  <w:sz w:val="22"/>
                  <w:u w:val="single"/>
                </w:rPr>
                <w:t>, 2025</w:t>
              </w:r>
            </w:hyperlink>
            <w:hyperlink w:anchor="exhibit9912025q2dividend.htm">
              <w:r>
                <w:rPr>
                  <w:rStyle w:val="InternetLink"/>
                  <w:rFonts w:ascii="Times New Roman;sans-serif" w:hAnsi="Times New Roman;sans-serif"/>
                  <w:b w:val="false"/>
                  <w:color w:val="000080"/>
                  <w:sz w:val="22"/>
                  <w:u w:val="single"/>
                </w:rPr>
                <w:t>.</w:t>
              </w:r>
            </w:hyperlink>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SIGNATURE</w:t>
      </w:r>
    </w:p>
    <w:p>
      <w:pPr>
        <w:pStyle w:val="TextBody"/>
        <w:bidi w:val="0"/>
        <w:spacing w:before="0" w:after="0"/>
        <w:jc w:val="left"/>
        <w:rPr/>
      </w:pPr>
      <w:r>
        <w:rPr/>
      </w:r>
    </w:p>
    <w:p>
      <w:pPr>
        <w:pStyle w:val="TextBody"/>
        <w:bidi w:val="0"/>
        <w:spacing w:lineRule="auto" w:line="288" w:before="0" w:after="0"/>
        <w:ind w:left="0" w:right="0" w:firstLine="81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hereunto duly authorized.</w:t>
      </w:r>
    </w:p>
    <w:tbl>
      <w:tblPr>
        <w:tblW w:w="9947" w:type="dxa"/>
        <w:jc w:val="center"/>
        <w:tblInd w:w="0" w:type="dxa"/>
        <w:tblLayout w:type="fixed"/>
        <w:tblCellMar>
          <w:top w:w="28" w:type="dxa"/>
          <w:left w:w="28" w:type="dxa"/>
          <w:bottom w:w="28" w:type="dxa"/>
          <w:right w:w="28" w:type="dxa"/>
        </w:tblCellMar>
      </w:tblPr>
      <w:tblGrid>
        <w:gridCol w:w="222"/>
        <w:gridCol w:w="196"/>
        <w:gridCol w:w="197"/>
        <w:gridCol w:w="474"/>
        <w:gridCol w:w="474"/>
        <w:gridCol w:w="477"/>
        <w:gridCol w:w="601"/>
        <w:gridCol w:w="601"/>
        <w:gridCol w:w="601"/>
        <w:gridCol w:w="1778"/>
        <w:gridCol w:w="1778"/>
        <w:gridCol w:w="2548"/>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r>
      <w:tr>
        <w:trPr/>
        <w:tc>
          <w:tcPr>
            <w:tcW w:w="20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AMERICAN TOWER CORPORATION</w:t>
            </w:r>
          </w:p>
        </w:tc>
      </w:tr>
      <w:tr>
        <w:trPr/>
        <w:tc>
          <w:tcPr>
            <w:tcW w:w="20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(Registrant)</w:t>
            </w:r>
          </w:p>
        </w:tc>
      </w:tr>
      <w:tr>
        <w:trPr/>
        <w:tc>
          <w:tcPr>
            <w:tcW w:w="20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15, 2025</w:t>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Rodney M. Smith</w:t>
            </w:r>
          </w:p>
        </w:tc>
      </w:tr>
      <w:tr>
        <w:trPr/>
        <w:tc>
          <w:tcPr>
            <w:tcW w:w="20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Rodney M. Smith</w:t>
            </w:r>
          </w:p>
        </w:tc>
      </w:tr>
      <w:tr>
        <w:trPr/>
        <w:tc>
          <w:tcPr>
            <w:tcW w:w="20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Chief Financial Officer and Treasurer</w:t>
            </w:r>
          </w:p>
        </w:tc>
      </w:tr>
    </w:tbl>
    <w:p>
      <w:pPr>
        <w:pStyle w:val="TextBody"/>
        <w:bidi w:val="0"/>
        <w:spacing w:before="60" w:after="283"/>
        <w:ind w:left="0" w:right="0" w:firstLine="81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before="0" w:after="0"/>
        <w:jc w:val="left"/>
        <w:rPr/>
      </w:pPr>
      <w:r>
        <w:rPr/>
      </w:r>
    </w:p>
    <w:p>
      <w:pPr>
        <w:pStyle w:val="TextBody"/>
        <w:bidi w:val="0"/>
        <w:spacing w:before="0" w:after="0"/>
        <w:jc w:val="center"/>
        <w:rPr/>
      </w:pPr>
      <w:r>
        <w:rPr/>
        <w:drawing>
          <wp:inline distT="0" distB="0" distL="0" distR="0">
            <wp:extent cx="1466850" cy="7239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466850" cy="7239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right"/>
        <w:rPr/>
      </w:pPr>
      <w:r>
        <w:rPr/>
      </w:r>
    </w:p>
    <w:p>
      <w:pPr>
        <w:pStyle w:val="TextBody"/>
        <w:bidi w:val="0"/>
        <w:spacing w:lineRule="auto" w:line="333"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Contact: Adam Smith</w:t>
      </w:r>
    </w:p>
    <w:p>
      <w:pPr>
        <w:pStyle w:val="TextBody"/>
        <w:bidi w:val="0"/>
        <w:spacing w:lineRule="auto" w:line="333"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Senior Vice President, Investor Relations and FP&amp;A</w:t>
      </w:r>
    </w:p>
    <w:p>
      <w:pPr>
        <w:pStyle w:val="TextBody"/>
        <w:bidi w:val="0"/>
        <w:spacing w:lineRule="auto" w:line="333"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Telephone: (617) 375-7500</w:t>
      </w:r>
    </w:p>
    <w:p>
      <w:pPr>
        <w:pStyle w:val="TextBody"/>
        <w:bidi w:val="0"/>
        <w:spacing w:before="0" w:after="0"/>
        <w:jc w:val="center"/>
        <w:rPr/>
      </w:pPr>
      <w:r>
        <w:rPr/>
      </w:r>
    </w:p>
    <w:p>
      <w:pPr>
        <w:pStyle w:val="TextBody"/>
        <w:bidi w:val="0"/>
        <w:spacing w:lineRule="auto" w:line="333"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AMERICAN TOWER CORPORATION DECLARES QUARTERLY DISTRIBUTION</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i/>
          <w:color w:val="000000"/>
          <w:sz w:val="20"/>
        </w:rPr>
        <w:t>Boston, Massachusetts</w:t>
      </w:r>
      <w:r>
        <w:rPr>
          <w:color w:val="000000"/>
        </w:rPr>
        <w:t> — </w:t>
      </w:r>
      <w:r>
        <w:rPr>
          <w:rFonts w:ascii="Times New Roman;sans-serif" w:hAnsi="Times New Roman;sans-serif"/>
          <w:b/>
          <w:i/>
          <w:color w:val="000000"/>
          <w:sz w:val="20"/>
        </w:rPr>
        <w:t>May 15, 2025</w:t>
      </w:r>
      <w:r>
        <w:rPr>
          <w:color w:val="000000"/>
        </w:rPr>
        <w:t xml:space="preserve"> — </w:t>
      </w:r>
      <w:r>
        <w:rPr>
          <w:rFonts w:ascii="Times New Roman;sans-serif" w:hAnsi="Times New Roman;sans-serif"/>
          <w:b w:val="false"/>
          <w:color w:val="000000"/>
          <w:sz w:val="20"/>
        </w:rPr>
        <w:t xml:space="preserve">American Tower Corporation (NYSE: AMT) announced that its Board of Directors has declared a quarterly cash distribution of $1.70 per share on shares of the Company’s common stock. The distribution is payable on July 11, 2025 to the stockholders of record at the close of business on June 13, 2025. </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color w:val="000000"/>
          <w:sz w:val="20"/>
        </w:rPr>
      </w:pPr>
      <w:r>
        <w:rPr>
          <w:rFonts w:ascii="Times New Roman;sans-serif" w:hAnsi="Times New Roman;sans-serif"/>
          <w:b/>
          <w:color w:val="000000"/>
          <w:sz w:val="20"/>
        </w:rPr>
        <w:t>About American Tower</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American Tower, one of the largest global REITs, is a leading independent owner, operator and developer of multitenant communications real estate with a portfolio of over 149,000 communications sites and a highly interconnected footprint of U.S. data center facilities. For more information about American Tower, please visit www.americantower.com.</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0"/>
        </w:rPr>
      </w:pPr>
      <w:r>
        <w:rPr>
          <w:rFonts w:ascii="Times New Roman;sans-serif" w:hAnsi="Times New Roman;sans-serif"/>
          <w:b/>
          <w:color w:val="000000"/>
          <w:sz w:val="20"/>
        </w:rPr>
        <w:t>Cautionary Language Regarding Forward-Looking Statements</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0"/>
        </w:rPr>
        <w:t xml:space="preserve">This press release contains “forward-looking statements” concerning the Company’s goals, beliefs, expectations, strategies, objectives, plans, future operating results and underlying assumptions and other statements that are not necessarily based on historical facts. Actual results may differ materially from those indicated in the Company’s forward-looking statements as a result of various factors, including those factors set forth under the caption </w:t>
      </w:r>
      <w:r>
        <w:rPr>
          <w:color w:val="000000"/>
        </w:rPr>
        <w:t>“</w:t>
      </w:r>
      <w:r>
        <w:rPr>
          <w:rFonts w:ascii="Times New Roman;sans-serif" w:hAnsi="Times New Roman;sans-serif"/>
          <w:b w:val="false"/>
          <w:color w:val="000000"/>
          <w:sz w:val="20"/>
        </w:rPr>
        <w:t>Risk Factors</w:t>
      </w:r>
      <w:r>
        <w:rPr>
          <w:color w:val="000000"/>
        </w:rPr>
        <w:t xml:space="preserve">” </w:t>
      </w:r>
      <w:r>
        <w:rPr>
          <w:rFonts w:ascii="Times New Roman;sans-serif" w:hAnsi="Times New Roman;sans-serif"/>
          <w:b w:val="false"/>
          <w:color w:val="000000"/>
          <w:sz w:val="20"/>
        </w:rPr>
        <w:t>in Item 1A of its most recent annual report on Form 10-K, and other risks described in documents the Company subsequently files from time to time with the Securities and Exchange Commission. The Company undertakes no obligation to update the information contained in this press release to reflect subsequently occurring events or circumstances.</w:t>
      </w:r>
    </w:p>
    <w:p>
      <w:pPr>
        <w:pStyle w:val="TextBody"/>
        <w:bidi w:val="0"/>
        <w:spacing w:before="0" w:after="0"/>
        <w:jc w:val="both"/>
        <w:rPr/>
      </w:pPr>
      <w:r>
        <w:rPr/>
      </w:r>
    </w:p>
    <w:p>
      <w:pPr>
        <w:pStyle w:val="TextBody"/>
        <w:bidi w:val="0"/>
        <w:spacing w:lineRule="auto" w:line="333"/>
        <w:jc w:val="center"/>
        <w:rPr>
          <w:rFonts w:ascii="Times New Roman;sans-serif" w:hAnsi="Times New Roman;sans-serif"/>
          <w:b w:val="false"/>
          <w:i/>
          <w:color w:val="000000"/>
          <w:sz w:val="20"/>
        </w:rPr>
      </w:pPr>
      <w:r>
        <w:rPr>
          <w:rFonts w:ascii="Times New Roman;sans-serif" w:hAnsi="Times New Roman;sans-serif"/>
          <w:b w:val="false"/>
          <w:i/>
          <w:color w:val="000000"/>
          <w:sz w:val="20"/>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1091</Words>
  <Characters>6170</Characters>
  <CharactersWithSpaces>7107</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