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259080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2"/>
          <w:szCs w:val="42"/>
          <w:b w:val="1"/>
          <w:bCs w:val="1"/>
          <w:color w:val="auto"/>
        </w:rPr>
        <w:t>AMERICAN TOWER CORPORATION</w:t>
      </w:r>
    </w:p>
    <w:p>
      <w:pPr>
        <w:spacing w:after="0" w:line="7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001-14195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65-0723837</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443" w:right="439" w:bottom="0" w:gutter="0" w:footer="0" w:header="0"/>
          <w:type w:val="continuous"/>
        </w:sectPr>
      </w:pP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222 Berkeley Street</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Boston, Massachusetts 02116</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(617) 375-7500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AMT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0.450% Senior Notes due 2027</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AMT 27C</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0.400% Senior Notes due 2027</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AMT 27D</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4.125% Senior Notes due 2027</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AMT 27F</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0.500% Senior Notes due 2028</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AMT 28A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0.875% Senior Notes due 2029</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AMT 29B</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0.950% Senior Notes due 2030</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AMT 30C</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3.900% Senior Notes due 2030</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AMT 30D</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4.625% Senior Notes due 2031</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AMT 31B</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1.000% Senior Notes due 2032</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AMT 32</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3.625% Senior Notes due 2032</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AMT 32B</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1.250% Senior Notes due 2033</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AMT 33</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4.100% Senior Notes due 2034</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AMT 34A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024"/>
          </w:cols>
          <w:pgMar w:left="436" w:top="443" w:right="439" w:bottom="0" w:gutter="0" w:footer="0" w:header="0"/>
          <w:type w:val="continuous"/>
        </w:sectPr>
      </w:pPr>
    </w:p>
    <w:bookmarkStart w:id="1" w:name="page2"/>
    <w:bookmarkEnd w:id="1"/>
    <w:p>
      <w:pPr>
        <w:spacing w:after="0" w:line="2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277495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On May 27, 2026, American Tower Corporation (the “Company”) completed a registered public offering of 750.0 million euros (“EUR”) aggregate principal amount of its 4.000% senior unsecured notes due 2033 (the “notes”), which resulted in aggregate net proceeds to the Company of approximately 742.7 million EUR (approximately $866.7 million at the EUR/U.S. dollar exchange rate of 1.00 EUR = $1.1669, as reported by Bloomberg on May 14, 2026), after deducting commissions and estimated expenses. The Company intends to use the net proceeds to repay existing indebtedness drawn under its $6.0 billion senior unsecured multicurrency revolving credit facility, as amended and restated in December 2021, as further amended, to the extent it has been drawn upon in EUR to repay 500.0 million EUR aggregate principal amount of the Company’s 1.950% senior notes due 2026, and for general corporate purposes.</w:t>
      </w:r>
    </w:p>
    <w:p>
      <w:pPr>
        <w:spacing w:after="0" w:line="189"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The Company issued the notes under an indenture dated as of June 2, 2025 (the “Base Indenture”), between the Company and U.S. Bank Trust Company, National Association, as trustee (the “Trustee”), as supplemented by a supplemental indenture dated as of May 27, 2026 (the “Supplemental Indenture No. 2” and, together with the Base Indenture, the “Indenture”), among the Company, the Trustee and U.S. Bank Europe DAC, UK Branch, as paying agent. The following description of the Indenture is a summary and is qualified in its entirety by reference to the detailed provisions of the Indenture.</w:t>
      </w:r>
    </w:p>
    <w:p>
      <w:pPr>
        <w:spacing w:after="0" w:line="183"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The notes will mature on September 1, 2033 and bear interest at a rate of 4.000% per annum. Accrued and unpaid interest on the notes will be payable in EUR in arrears on September 1 of each year, beginning on September 1, 2026. Interest on the notes will accrue from May 27, 2026 and will be computed on the basis of the actual number of days in the period for which interest is being calculated and the actual number of days from and including the last date on which interest was paid on the notes. The terms of the Indenture, among other things, limit (a) the Company’s ability to merge, consolidate or sell assets, and (b) the Company’s and its subsidiaries’ abilities to incur liens. These covenants are subject to a number of exceptions, including that the Company and its subsidiaries may incur liens on assets, mortgages or other liens securing indebtedness, provided the aggregate amount of indebtedness secured by such liens shall not exceed 3.5x Adjusted EBITDA as defined in the Indenture.</w:t>
      </w:r>
    </w:p>
    <w:p>
      <w:pPr>
        <w:spacing w:after="0" w:line="189"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The Company may redeem the notes at any time, in whole or in part, at its election at the applicable redemption price. If the Company redeems the notes prior to July 1, 2033, the Company shall pay a redemption price equal to 100% of the principal amount of the notes being redeemed plus a make-whole premium, together with accrued interest to the redemption date. If the Company redeems the notes on or after July 1, 2033, the Company shall pay a redemption price equal to 100% of the principal amount of the notes being redeemed plus accrued interest to the redemption date. In addition, if the Company undergoes a Change of Control and Ratings Decline, each as defined in the Indenture, the Company may be required to repurchase all of the notes at a purchase price equal to 101% of the principal amount of the notes, plus accrued and unpaid interest (including additional interest, if any), up to but not including the repurchase date.</w:t>
      </w:r>
    </w:p>
    <w:p>
      <w:pPr>
        <w:spacing w:after="0" w:line="18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Indenture provides that each of the following is an event of default (“Event of Default”): (i) default for 30 days in payment of any interest due with respect to the notes; (ii) default in payment of principal or premium, if any, on the notes when due, at maturity, upon any redemption, by declaration or otherwise; (iii) failure by the Company to comply with covenants in the Indenture or notes for 90 days after receiving notice; and (iv) certain events of bankruptcy or insolvency with respect to the Company or any of its Significant Subsidiaries, as defined in the Indenture. If any Event of Default arising under clause (iv) above occurs, the principal amount and accrued and unpaid interest on all the outstanding notes will become due and payable immediately without further action or notice. If any other Event of Default occurs and is continuing, the Trustee or the holders of at least 25% in principal amount of the then outstanding notes may declare the entire principal amount on all the outstanding notes to be due and payable immediately.</w:t>
      </w:r>
    </w:p>
    <w:p>
      <w:pPr>
        <w:sectPr>
          <w:pgSz w:w="11900" w:h="16838" w:orient="portrait"/>
          <w:cols w:equalWidth="0" w:num="1">
            <w:col w:w="11020"/>
          </w:cols>
          <w:pgMar w:left="440" w:top="293" w:right="439" w:bottom="1440" w:gutter="0" w:footer="0" w:header="0"/>
        </w:sectPr>
      </w:pPr>
    </w:p>
    <w:bookmarkStart w:id="3" w:name="page4"/>
    <w:bookmarkEnd w:id="3"/>
    <w:p>
      <w:pPr>
        <w:ind w:left="4" w:right="1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foregoing is only a summary of certain provisions and is qualified in its entirety by the terms of the Base Indenture, as filed with the Securities and Exchange Commission on June 2, 2025 as an exhibit to the Company’s Registration Statement on Form S-3 (No. 333-287714), and the Supplemental Indenture No. 2, a copy of which is filed herewith as Exhibit 4.1, and incorporated by reference herein.</w:t>
      </w:r>
    </w:p>
    <w:p>
      <w:pPr>
        <w:spacing w:after="0" w:line="32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Please refer to the discussion under Item 1.01 above, which is incorporated under this Item 2.03 by reference.</w:t>
      </w:r>
    </w:p>
    <w:p>
      <w:pPr>
        <w:spacing w:after="0" w:line="37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A copy of the opinion of Cleary Gottlieb Steen &amp; Hamilton LLP relating to the legality of the issuance by the Company of the notes is attached as Exhibit 5.1 hereto.</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 Exhibits</w:t>
      </w:r>
    </w:p>
    <w:p>
      <w:pPr>
        <w:sectPr>
          <w:pgSz w:w="11900" w:h="16838" w:orient="portrait"/>
          <w:cols w:equalWidth="0" w:num="1">
            <w:col w:w="10964"/>
          </w:cols>
          <w:pgMar w:left="436" w:top="297" w:right="499" w:bottom="1440" w:gutter="0" w:footer="0" w:header="0"/>
        </w:sectPr>
      </w:pPr>
    </w:p>
    <w:p>
      <w:pPr>
        <w:spacing w:after="0" w:line="250" w:lineRule="exact"/>
        <w:rPr>
          <w:sz w:val="20"/>
          <w:szCs w:val="20"/>
          <w:color w:val="auto"/>
        </w:rPr>
      </w:pPr>
    </w:p>
    <w:p>
      <w:pPr>
        <w:jc w:val="center"/>
        <w:ind w:right="4396"/>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center"/>
        <w:ind w:right="4396"/>
        <w:spacing w:after="0"/>
        <w:rPr>
          <w:sz w:val="20"/>
          <w:szCs w:val="20"/>
          <w:color w:val="auto"/>
        </w:rPr>
      </w:pPr>
      <w:r>
        <w:rPr>
          <w:rFonts w:ascii="Times New Roman" w:cs="Times New Roman" w:eastAsia="Times New Roman" w:hAnsi="Times New Roman"/>
          <w:sz w:val="14"/>
          <w:szCs w:val="14"/>
          <w:b w:val="1"/>
          <w:bCs w:val="1"/>
          <w:color w:val="auto"/>
        </w:rPr>
        <w:t>No.</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jc w:val="center"/>
        <w:ind w:right="4660"/>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101" w:lineRule="exact"/>
        <w:rPr>
          <w:sz w:val="20"/>
          <w:szCs w:val="20"/>
          <w:color w:val="auto"/>
        </w:rPr>
      </w:pPr>
    </w:p>
    <w:p>
      <w:pPr>
        <w:sectPr>
          <w:pgSz w:w="11900" w:h="16838" w:orient="portrait"/>
          <w:cols w:equalWidth="0" w:num="2">
            <w:col w:w="4864" w:space="720"/>
            <w:col w:w="5380"/>
          </w:cols>
          <w:pgMar w:left="436" w:top="297" w:right="499" w:bottom="1440" w:gutter="0" w:footer="0" w:header="0"/>
          <w:type w:val="continuous"/>
        </w:sectPr>
      </w:pPr>
    </w:p>
    <w:p>
      <w:pPr>
        <w:ind w:left="884" w:right="20" w:hanging="884"/>
        <w:spacing w:after="0" w:line="282" w:lineRule="auto"/>
        <w:tabs>
          <w:tab w:leader="none" w:pos="9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w:t>
      </w:r>
      <w:r>
        <w:rPr>
          <w:rFonts w:ascii="Times New Roman" w:cs="Times New Roman" w:eastAsia="Times New Roman" w:hAnsi="Times New Roman"/>
          <w:sz w:val="18"/>
          <w:szCs w:val="18"/>
          <w:u w:val="single" w:color="auto"/>
          <w:color w:val="0000EE"/>
        </w:rPr>
        <w:t>Supplemental Indenture No. 2, dated as of May 27, 2026, by and among American Tower Corporation, U.S. Bank Trust Company, National Association, as trustee, and U.S. Bank Europe DAC, UK Branch, as paying agent.</w:t>
      </w:r>
    </w:p>
    <w:p>
      <w:pPr>
        <w:spacing w:after="0" w:line="53" w:lineRule="exact"/>
        <w:rPr>
          <w:rFonts w:ascii="Times New Roman" w:cs="Times New Roman" w:eastAsia="Times New Roman" w:hAnsi="Times New Roman"/>
          <w:sz w:val="18"/>
          <w:szCs w:val="18"/>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w:t>
      </w:r>
      <w:r>
        <w:rPr>
          <w:rFonts w:ascii="Times New Roman" w:cs="Times New Roman" w:eastAsia="Times New Roman" w:hAnsi="Times New Roman"/>
          <w:sz w:val="17"/>
          <w:szCs w:val="17"/>
          <w:u w:val="single" w:color="auto"/>
          <w:color w:val="0000EE"/>
        </w:rPr>
        <w:t>Opinion of Cleary Gottlieb Steen &amp; Hamilton LLP.</w:t>
      </w:r>
    </w:p>
    <w:p>
      <w:pPr>
        <w:spacing w:after="0" w:line="115"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6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Consent of Cleary Gottlieb Steen &amp; Hamilton LLP (included in Exhibit 5.1 hereto).</w:t>
            </w:r>
          </w:p>
        </w:tc>
      </w:tr>
      <w:tr>
        <w:trPr>
          <w:trHeight w:val="34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0964"/>
          </w:cols>
          <w:pgMar w:left="436" w:top="297" w:right="499" w:bottom="1440" w:gutter="0" w:footer="0" w:header="0"/>
          <w:type w:val="continuous"/>
        </w:sectPr>
      </w:pPr>
    </w:p>
    <w:bookmarkStart w:id="4" w:name="page5"/>
    <w:bookmarkEnd w:id="4"/>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AMERICAN TOWER CORPORATION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(Registrant)</w:t>
      </w:r>
    </w:p>
    <w:p>
      <w:pPr>
        <w:spacing w:after="0" w:line="207" w:lineRule="exact"/>
        <w:rPr>
          <w:sz w:val="20"/>
          <w:szCs w:val="20"/>
          <w:color w:val="auto"/>
        </w:rPr>
      </w:pPr>
    </w:p>
    <w:p>
      <w:pPr>
        <w:spacing w:after="0"/>
        <w:tabs>
          <w:tab w:leader="none" w:pos="5600" w:val="left"/>
          <w:tab w:leader="none" w:pos="7760" w:val="left"/>
        </w:tabs>
        <w:rPr>
          <w:sz w:val="20"/>
          <w:szCs w:val="20"/>
          <w:color w:val="auto"/>
        </w:rPr>
      </w:pPr>
      <w:r>
        <w:rPr>
          <w:rFonts w:ascii="Times New Roman" w:cs="Times New Roman" w:eastAsia="Times New Roman" w:hAnsi="Times New Roman"/>
          <w:sz w:val="18"/>
          <w:szCs w:val="18"/>
          <w:color w:val="auto"/>
        </w:rPr>
        <w:t>Date: May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Rodney 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Rodney M. Smith</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7"/>
          <w:szCs w:val="17"/>
          <w:color w:val="auto"/>
        </w:rPr>
        <w:t>Executive Vice President, Chief Financial Officer and Treasurer</w:t>
      </w:r>
    </w:p>
    <w:p>
      <w:pPr>
        <w:sectPr>
          <w:pgSz w:w="11900" w:h="16838" w:orient="portrait"/>
          <w:cols w:equalWidth="0" w:num="1">
            <w:col w:w="10840"/>
          </w:cols>
          <w:pgMar w:left="440" w:top="293" w:right="61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AMERICAN TOWER CORPORATION</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U.S. BANK TRUST COMPANY, NATIONAL ASSOCIATION</w:t>
      </w:r>
    </w:p>
    <w:p>
      <w:pPr>
        <w:spacing w:after="0" w:line="23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Trustee</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U.S. Bank Europe DAC, UK Branch</w:t>
      </w:r>
    </w:p>
    <w:p>
      <w:pPr>
        <w:spacing w:after="0" w:line="22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As Paying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SUPPLEMENTAL INDENTURE NO. 2</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Dated as of May 27, 2026</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to</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BASE INDENTURE</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Dated as of June 2, 2025</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€750,000,000 Principal Amount</w:t>
      </w:r>
    </w:p>
    <w:p>
      <w:pPr>
        <w:spacing w:after="0" w:line="225"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€750,000,000 4.000% S</w:t>
      </w:r>
      <w:r>
        <w:rPr>
          <w:rFonts w:ascii="Times New Roman" w:cs="Times New Roman" w:eastAsia="Times New Roman" w:hAnsi="Times New Roman"/>
          <w:sz w:val="14"/>
          <w:szCs w:val="14"/>
          <w:color w:val="auto"/>
        </w:rPr>
        <w:t>ENIOR</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OTES DUE</w:t>
      </w:r>
      <w:r>
        <w:rPr>
          <w:rFonts w:ascii="Times New Roman" w:cs="Times New Roman" w:eastAsia="Times New Roman" w:hAnsi="Times New Roman"/>
          <w:sz w:val="18"/>
          <w:szCs w:val="18"/>
          <w:color w:val="auto"/>
        </w:rPr>
        <w:t xml:space="preserve"> 2033</w:t>
      </w:r>
    </w:p>
    <w:p>
      <w:pPr>
        <w:sectPr>
          <w:pgSz w:w="11900" w:h="16838" w:orient="portrait"/>
          <w:cols w:equalWidth="0" w:num="1">
            <w:col w:w="10020"/>
          </w:cols>
          <w:pgMar w:left="1440" w:top="117" w:right="43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3"/>
                <w:szCs w:val="13"/>
                <w:color w:val="auto"/>
              </w:rPr>
            </w:pPr>
          </w:p>
        </w:tc>
        <w:tc>
          <w:tcPr>
            <w:tcW w:w="8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4"/>
        </w:trPr>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 AND INCORPORATION BY REFERENCE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Definitions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1.02.</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Incorporation by Reference of Trust Indenture Act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1.03.</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Rules of Construction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THE SECURITIES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2.01.</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and Dating</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2.02.</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Execution and Authentication of Securities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2.03.</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Registrar and Paying Agent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2.04.</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Paying Agent to Hold Money in Trust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2.05.</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Transfer and Exchange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2.06.</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Securities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2.07.</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Payment and Record Dates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2.08.</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Sinking Fund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2.09.</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Defaulted Interest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2.10.</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CUSIP and ISIN Numbers and Common Codes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2.11.</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Global Securities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2.12.</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Ranking</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2.13.</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Securities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2.14.</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Additional Amounts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2.15.</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Unavailability of Euros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2.16.</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Listing</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OPTIONAL REDEMPTION; MANDATORY REDEMPTION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3.01.</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 to Trustee and Paying Agent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3.02.</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Optional Redemption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3.03.</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Mandatory Redemption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3.04.</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Redemption for Tax Reasons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COVENANTS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4.01.</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Covenants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MISCELLANEOUS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5.01.</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Conflict of Any Provision of Indenture with Trust Indenture Act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5.02.</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Duplicate Originals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5.03.</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 York Law to Govern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5.04.</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Adverse Interpretation of Other Agreements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5.05.</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Successors and Assigns of Company, Trustee and Paying Agent Bound by Supplemental Indenture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5.06.</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Severability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5.07.</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 of Headings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64"/>
        </w:trPr>
        <w:tc>
          <w:tcPr>
            <w:tcW w:w="1520" w:type="dxa"/>
            <w:vAlign w:val="bottom"/>
          </w:tcPr>
          <w:p>
            <w:pPr>
              <w:spacing w:after="0"/>
              <w:rPr>
                <w:sz w:val="24"/>
                <w:szCs w:val="24"/>
                <w:color w:val="auto"/>
              </w:rPr>
            </w:pPr>
          </w:p>
        </w:tc>
        <w:tc>
          <w:tcPr>
            <w:tcW w:w="8220" w:type="dxa"/>
            <w:vAlign w:val="bottom"/>
          </w:tcPr>
          <w:p>
            <w:pPr>
              <w:ind w:left="3960"/>
              <w:spacing w:after="0"/>
              <w:rPr>
                <w:sz w:val="20"/>
                <w:szCs w:val="20"/>
                <w:color w:val="auto"/>
              </w:rPr>
            </w:pPr>
            <w:r>
              <w:rPr>
                <w:rFonts w:ascii="Times New Roman" w:cs="Times New Roman" w:eastAsia="Times New Roman" w:hAnsi="Times New Roman"/>
                <w:sz w:val="18"/>
                <w:szCs w:val="18"/>
                <w:color w:val="auto"/>
              </w:rPr>
              <w:t>i</w:t>
            </w:r>
          </w:p>
        </w:tc>
        <w:tc>
          <w:tcPr>
            <w:tcW w:w="1220" w:type="dxa"/>
            <w:vAlign w:val="bottom"/>
          </w:tcPr>
          <w:p>
            <w:pPr>
              <w:spacing w:after="0"/>
              <w:rPr>
                <w:sz w:val="24"/>
                <w:szCs w:val="24"/>
                <w:color w:val="auto"/>
              </w:rPr>
            </w:pPr>
          </w:p>
        </w:tc>
      </w:tr>
    </w:tbl>
    <w:p>
      <w:pPr>
        <w:sectPr>
          <w:pgSz w:w="11900" w:h="16838" w:orient="portrait"/>
          <w:cols w:equalWidth="0" w:num="1">
            <w:col w:w="10960"/>
          </w:cols>
          <w:pgMar w:left="440" w:top="266" w:right="499" w:bottom="1440" w:gutter="0" w:footer="0" w:header="0"/>
        </w:sectPr>
      </w:pPr>
    </w:p>
    <w:bookmarkStart w:id="7" w:name="page8"/>
    <w:bookmarkEnd w:id="7"/>
    <w:p>
      <w:pPr>
        <w:jc w:val="center"/>
        <w:ind w:right="-98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43"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(continued)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 Form of Global Security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 — Form of Legend for Global Security</w:t>
      </w:r>
    </w:p>
    <w:p>
      <w:pPr>
        <w:spacing w:after="0" w:line="13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019"/>
          </w:cols>
          <w:pgMar w:left="440" w:top="266" w:right="1440" w:bottom="1440" w:gutter="0" w:footer="0" w:header="0"/>
        </w:sectPr>
      </w:pPr>
    </w:p>
    <w:bookmarkStart w:id="8" w:name="page9"/>
    <w:bookmarkEnd w:id="8"/>
    <w:p>
      <w:pPr>
        <w:ind w:left="4"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SUPPLEMENTAL INDENTURE NO. 2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dated as of May 27, 2026, between American Tower Corporation,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U.S. Bank Trust Company, National Association, a national banking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and U.S. Bank Europe DAC, UK Branch, as paying agent (the “</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WITNESSETH THAT:</w:t>
      </w:r>
    </w:p>
    <w:p>
      <w:pPr>
        <w:spacing w:after="0" w:line="225" w:lineRule="exact"/>
        <w:rPr>
          <w:sz w:val="20"/>
          <w:szCs w:val="20"/>
          <w:color w:val="auto"/>
        </w:rPr>
      </w:pPr>
    </w:p>
    <w:p>
      <w:pPr>
        <w:ind w:left="4" w:right="260" w:firstLine="440"/>
        <w:spacing w:after="0" w:line="268" w:lineRule="auto"/>
        <w:rPr>
          <w:sz w:val="20"/>
          <w:szCs w:val="20"/>
          <w:color w:val="auto"/>
        </w:rPr>
      </w:pPr>
      <w:r>
        <w:rPr>
          <w:rFonts w:ascii="Times New Roman" w:cs="Times New Roman" w:eastAsia="Times New Roman" w:hAnsi="Times New Roman"/>
          <w:sz w:val="18"/>
          <w:szCs w:val="18"/>
          <w:color w:val="auto"/>
        </w:rPr>
        <w:t>WHEREAS, the Company and the Trustee have executed and delivered a base indenture, dated as of June 2, 2025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and, together with this Supplemental Indenture, as amended, supplemented or otherwise modified from time to time,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to provide for the future issuance of the Company’s senior debt securities to be issued from time to time in one or more series;</w:t>
      </w:r>
    </w:p>
    <w:p>
      <w:pPr>
        <w:spacing w:after="0" w:line="175"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WHEREAS, the Company has duly determined to appoint the Paying Agent as the paying agent under the Agency Agreement, dated as of the date hereof (the “</w:t>
      </w:r>
      <w:r>
        <w:rPr>
          <w:rFonts w:ascii="Times New Roman" w:cs="Times New Roman" w:eastAsia="Times New Roman" w:hAnsi="Times New Roman"/>
          <w:sz w:val="18"/>
          <w:szCs w:val="18"/>
          <w:b w:val="1"/>
          <w:bCs w:val="1"/>
          <w:color w:val="auto"/>
        </w:rPr>
        <w:t>Agency Agreement</w:t>
      </w:r>
      <w:r>
        <w:rPr>
          <w:rFonts w:ascii="Times New Roman" w:cs="Times New Roman" w:eastAsia="Times New Roman" w:hAnsi="Times New Roman"/>
          <w:sz w:val="18"/>
          <w:szCs w:val="18"/>
          <w:color w:val="auto"/>
        </w:rPr>
        <w:t>”), and the Paying Agent is willing to accept such appointment with respect to the Securities;</w:t>
      </w:r>
    </w:p>
    <w:p>
      <w:pPr>
        <w:spacing w:after="0" w:line="162" w:lineRule="exact"/>
        <w:rPr>
          <w:sz w:val="20"/>
          <w:szCs w:val="20"/>
          <w:color w:val="auto"/>
        </w:rPr>
      </w:pPr>
    </w:p>
    <w:p>
      <w:pPr>
        <w:jc w:val="both"/>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WHEREAS, pursuant to the terms of the Base Indenture, the Company desires to provide for the establishment of a series of its Securities, to be titled as its “4.000% Senior Notes due 2033,” the form and substance of such Securities and the terms, provisions and conditions thereof to be set forth as provided in the Indenture; and</w:t>
      </w:r>
    </w:p>
    <w:p>
      <w:pPr>
        <w:spacing w:after="0" w:line="176" w:lineRule="exact"/>
        <w:rPr>
          <w:sz w:val="20"/>
          <w:szCs w:val="20"/>
          <w:color w:val="auto"/>
        </w:rPr>
      </w:pPr>
    </w:p>
    <w:p>
      <w:pPr>
        <w:ind w:left="4" w:right="380" w:firstLine="440"/>
        <w:spacing w:after="0" w:line="282" w:lineRule="auto"/>
        <w:rPr>
          <w:sz w:val="20"/>
          <w:szCs w:val="20"/>
          <w:color w:val="auto"/>
        </w:rPr>
      </w:pPr>
      <w:r>
        <w:rPr>
          <w:rFonts w:ascii="Times New Roman" w:cs="Times New Roman" w:eastAsia="Times New Roman" w:hAnsi="Times New Roman"/>
          <w:sz w:val="18"/>
          <w:szCs w:val="18"/>
          <w:color w:val="auto"/>
        </w:rPr>
        <w:t>WHEREAS, all acts and requirements necessary to make this Supplemental Indenture, when executed and delivered by the parties hereto, the legal, valid and binding obligation of the Company, in accordance with its terms, have been done.</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NOW, THEREFORE:</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Each party agrees as follows for the benefit of the other party and for the equal and ratable benefit of the Holders of the Securities.</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 DEFINITIONS AND INCORPORATION BY REFERENCE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1.01. D</w:t>
      </w:r>
      <w:r>
        <w:rPr>
          <w:rFonts w:ascii="Times New Roman" w:cs="Times New Roman" w:eastAsia="Times New Roman" w:hAnsi="Times New Roman"/>
          <w:sz w:val="14"/>
          <w:szCs w:val="14"/>
          <w:b w:val="1"/>
          <w:bCs w:val="1"/>
          <w:color w:val="auto"/>
        </w:rPr>
        <w:t>EFINITIONS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620" w:firstLine="440"/>
        <w:spacing w:after="0" w:line="282" w:lineRule="auto"/>
        <w:rPr>
          <w:sz w:val="20"/>
          <w:szCs w:val="20"/>
          <w:color w:val="auto"/>
        </w:rPr>
      </w:pPr>
      <w:r>
        <w:rPr>
          <w:rFonts w:ascii="Times New Roman" w:cs="Times New Roman" w:eastAsia="Times New Roman" w:hAnsi="Times New Roman"/>
          <w:sz w:val="18"/>
          <w:szCs w:val="18"/>
          <w:color w:val="auto"/>
        </w:rPr>
        <w:t>Capitalized terms used herein without definition shall have the respective meanings ascribed to them in the Base Indenture. The following definitions supplement, and, to the extent inconsistent with, replace the definitions in Article I of the Base Indenture:</w:t>
      </w:r>
    </w:p>
    <w:p>
      <w:pPr>
        <w:spacing w:after="0" w:line="158" w:lineRule="exact"/>
        <w:rPr>
          <w:sz w:val="20"/>
          <w:szCs w:val="20"/>
          <w:color w:val="auto"/>
        </w:rPr>
      </w:pPr>
    </w:p>
    <w:p>
      <w:pPr>
        <w:ind w:left="4"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Security Board Resolution</w:t>
      </w:r>
      <w:r>
        <w:rPr>
          <w:rFonts w:ascii="Times New Roman" w:cs="Times New Roman" w:eastAsia="Times New Roman" w:hAnsi="Times New Roman"/>
          <w:sz w:val="18"/>
          <w:szCs w:val="18"/>
          <w:color w:val="auto"/>
        </w:rPr>
        <w:t>” means resolutions duly adopted by the Board of Directors of the Company and delivered to the Trustee in an Officers’ Certificate providing for issuance of Additional Securities.</w:t>
      </w:r>
    </w:p>
    <w:p>
      <w:pPr>
        <w:spacing w:after="0" w:line="155" w:lineRule="exact"/>
        <w:rPr>
          <w:sz w:val="20"/>
          <w:szCs w:val="20"/>
          <w:color w:val="auto"/>
        </w:rPr>
      </w:pPr>
    </w:p>
    <w:p>
      <w:pPr>
        <w:ind w:left="4" w:right="3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Security Supplemental Indenture</w:t>
      </w:r>
      <w:r>
        <w:rPr>
          <w:rFonts w:ascii="Times New Roman" w:cs="Times New Roman" w:eastAsia="Times New Roman" w:hAnsi="Times New Roman"/>
          <w:sz w:val="18"/>
          <w:szCs w:val="18"/>
          <w:color w:val="auto"/>
        </w:rPr>
        <w:t>” means a supplement to this Indenture duly executed and delivered by the Company and the Trustee pursuant to Article 7 of the Base Indenture.</w:t>
      </w:r>
    </w:p>
    <w:p>
      <w:pPr>
        <w:spacing w:after="0" w:line="155" w:lineRule="exact"/>
        <w:rPr>
          <w:sz w:val="20"/>
          <w:szCs w:val="20"/>
          <w:color w:val="auto"/>
        </w:rPr>
      </w:pPr>
    </w:p>
    <w:p>
      <w:pPr>
        <w:ind w:left="4" w:right="10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Additional Securities</w:t>
      </w:r>
      <w:r>
        <w:rPr>
          <w:rFonts w:ascii="Times New Roman" w:cs="Times New Roman" w:eastAsia="Times New Roman" w:hAnsi="Times New Roman"/>
          <w:sz w:val="17"/>
          <w:szCs w:val="17"/>
          <w:color w:val="auto"/>
        </w:rPr>
        <w:t>” means the Company’s Securities originally issued hereunder after the Issue Date pursuant to Section 2.13 hereof, except for Securities authenticated and delivered upon registration of, transfer of, or in exchange for, or in lieu of other Securities pursuant to Section 3.07,</w:t>
      </w:r>
    </w:p>
    <w:p>
      <w:pPr>
        <w:spacing w:after="0" w:line="1" w:lineRule="exact"/>
        <w:rPr>
          <w:sz w:val="20"/>
          <w:szCs w:val="20"/>
          <w:color w:val="auto"/>
        </w:rPr>
      </w:pPr>
    </w:p>
    <w:p>
      <w:pPr>
        <w:ind w:left="4" w:right="320"/>
        <w:spacing w:after="0" w:line="260" w:lineRule="auto"/>
        <w:rPr>
          <w:sz w:val="20"/>
          <w:szCs w:val="20"/>
          <w:color w:val="auto"/>
        </w:rPr>
      </w:pPr>
      <w:r>
        <w:rPr>
          <w:rFonts w:ascii="Times New Roman" w:cs="Times New Roman" w:eastAsia="Times New Roman" w:hAnsi="Times New Roman"/>
          <w:sz w:val="18"/>
          <w:szCs w:val="18"/>
          <w:color w:val="auto"/>
        </w:rPr>
        <w:t>3.09, 7.05 or 9.06 of the Base Indenture, or 4.01(b) hereof, as specified in the relevant Additional Security Board Resolutions or Additional Security Supplemental Indenture issued therefor in accordance with this Indenture.</w:t>
      </w:r>
    </w:p>
    <w:p>
      <w:pPr>
        <w:spacing w:after="0" w:line="177" w:lineRule="exact"/>
        <w:rPr>
          <w:sz w:val="20"/>
          <w:szCs w:val="20"/>
          <w:color w:val="auto"/>
        </w:rPr>
      </w:pPr>
    </w:p>
    <w:p>
      <w:pPr>
        <w:ind w:left="4" w:firstLine="440"/>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18"/>
          <w:szCs w:val="18"/>
          <w:color w:val="auto"/>
        </w:rPr>
        <w:t>” means, for the 12-month period preceding the calculation date, for the Company and its Subsidiaries on a consolidated basis in accordance with GAAP, the sum of (a) Net Income, plus (b) to the extent deducted in determining Net Income, the sum of (i) Interest Expense,</w:t>
      </w:r>
    </w:p>
    <w:p>
      <w:pPr>
        <w:spacing w:after="0" w:line="1" w:lineRule="exact"/>
        <w:rPr>
          <w:sz w:val="20"/>
          <w:szCs w:val="20"/>
          <w:color w:val="auto"/>
        </w:rPr>
      </w:pPr>
    </w:p>
    <w:p>
      <w:pPr>
        <w:ind w:left="4" w:right="280" w:hanging="4"/>
        <w:spacing w:after="0" w:line="277" w:lineRule="auto"/>
        <w:tabs>
          <w:tab w:leader="none" w:pos="26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income tax expense, including, without limitation, taxes paid or accrued based on income, profits or capital, including state, franchise and similar taxes and foreign withholding taxes, (iii) depreciation and amortization (including, without limitation, amortization of goodwill and other intangible assets), (iv) extraordinary losses and non-recurring non-cash charges and expenses, (v) all other non-cash charges, expenses and interest (including,</w:t>
      </w:r>
    </w:p>
    <w:p>
      <w:pPr>
        <w:sectPr>
          <w:pgSz w:w="11900" w:h="16838" w:orient="portrait"/>
          <w:cols w:equalWidth="0" w:num="1">
            <w:col w:w="11004"/>
          </w:cols>
          <w:pgMar w:left="436" w:top="266" w:right="459" w:bottom="1440" w:gutter="0" w:footer="0" w:header="0"/>
        </w:sectPr>
      </w:pPr>
    </w:p>
    <w:bookmarkStart w:id="9" w:name="page10"/>
    <w:bookmarkEnd w:id="9"/>
    <w:p>
      <w:pPr>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without limitation, any non-cash losses in respect of Commodity Agreements, Currency Agreements or Interest Rate Agreements, non-cash impairment charges, non-cash valuation charges for stock option grants or vesting of restricted stock awards or any other non-cash compensation charges, and losses from the early extinguishment of Indebtedness) and (vi) non-recurring charges and expenses, restructuring charges, transaction expenses (including, without limitation, transaction expenses incurred in connection with any merger or acquisition) and underwriters’ fees or discounts, and severance and retention payments in connection with any merger or acquisition, in each case for such period, less extraordinary gains and cash payments (not otherwise deducted in determining net income) made during such period with respect to non-cash charges that were added back in a prior period;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(I) with respect to any Person that became a Subsidiary, or was merged with or consolidated into the Company or any Subsidiary,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during such period, or any acquisition by the Company or any Subsidiary of the assets of any Person during such period, “Adjusted EBITDA” shall, at the option of the Company in respect of any or all of the foregoing, also include the Adjusted EBITDA of such Person or attributable to such assets, as applicable, during such period as if such acquisition, merger or consolidation had occurred on the first day of such period and (II) with respect to any Person that has ceased to be a Subsidiary during such period, or any material assets of the Company or any Subsidiary sold or otherwise disposed of by the Company or any Subsidiary during such period, “Adjusted EBITDA” shall exclude the Adjusted EBITDA of such Person or attributable to such assets, as applicable, during such period as if such sale or disposition of such Subsidiary or such assets had occurred on the first day of such period.</w:t>
      </w:r>
    </w:p>
    <w:p>
      <w:pPr>
        <w:spacing w:after="0" w:line="172" w:lineRule="exact"/>
        <w:rPr>
          <w:sz w:val="20"/>
          <w:szCs w:val="20"/>
          <w:color w:val="auto"/>
        </w:rPr>
      </w:pPr>
    </w:p>
    <w:p>
      <w:pPr>
        <w:ind w:right="1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upon the occurrence of a subsequent condition. The terms “Beneficially Owns” and “Beneficially Owned” have a corresponding meaning.</w:t>
      </w:r>
    </w:p>
    <w:p>
      <w:pPr>
        <w:spacing w:after="0" w:line="179"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or Sunday, (1) which is not a day on which banking institutions in The City of New York or The City of London are authorized or required by law, regulation or executive order to close and (2) on which the Trans-European Automated Real-time Gross Settlement Express Transfer system (the TARGET2 system), or any successor thereto, operates.</w:t>
      </w:r>
    </w:p>
    <w:p>
      <w:pPr>
        <w:spacing w:after="0" w:line="171" w:lineRule="exact"/>
        <w:rPr>
          <w:sz w:val="20"/>
          <w:szCs w:val="20"/>
          <w:color w:val="auto"/>
        </w:rPr>
      </w:pPr>
    </w:p>
    <w:p>
      <w:pPr>
        <w:jc w:val="both"/>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Lease Obligation</w:t>
      </w:r>
      <w:r>
        <w:rPr>
          <w:rFonts w:ascii="Times New Roman" w:cs="Times New Roman" w:eastAsia="Times New Roman" w:hAnsi="Times New Roman"/>
          <w:sz w:val="18"/>
          <w:szCs w:val="18"/>
          <w:color w:val="auto"/>
        </w:rPr>
        <w:t>” means, at the time any determination is to be made, the amount of the liability in respect of a capital lease that would at that time be required to be capitalized on a balance sheet in accordance with GAAP.</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700" w:hanging="264"/>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corporation, corporate stock;</w:t>
      </w:r>
    </w:p>
    <w:p>
      <w:pPr>
        <w:spacing w:after="0" w:line="117" w:lineRule="exact"/>
        <w:rPr>
          <w:rFonts w:ascii="Times New Roman" w:cs="Times New Roman" w:eastAsia="Times New Roman" w:hAnsi="Times New Roman"/>
          <w:sz w:val="18"/>
          <w:szCs w:val="18"/>
          <w:color w:val="auto"/>
        </w:rPr>
      </w:pPr>
    </w:p>
    <w:p>
      <w:pPr>
        <w:ind w:right="80" w:firstLine="436"/>
        <w:spacing w:after="0" w:line="282" w:lineRule="auto"/>
        <w:tabs>
          <w:tab w:leader="none" w:pos="6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association or business entity, any and all shares, interests, participations, rights or other equivalents (however designated) of corporate stock;</w:t>
      </w:r>
    </w:p>
    <w:p>
      <w:pPr>
        <w:spacing w:after="0" w:line="5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partnership or limited liability company, partnership or membership interests (whether general or limited); and</w:t>
      </w:r>
    </w:p>
    <w:p>
      <w:pPr>
        <w:spacing w:after="0" w:line="117" w:lineRule="exact"/>
        <w:rPr>
          <w:rFonts w:ascii="Times New Roman" w:cs="Times New Roman" w:eastAsia="Times New Roman" w:hAnsi="Times New Roman"/>
          <w:sz w:val="18"/>
          <w:szCs w:val="18"/>
          <w:color w:val="auto"/>
        </w:rPr>
      </w:pPr>
    </w:p>
    <w:p>
      <w:pPr>
        <w:ind w:right="140" w:firstLine="436"/>
        <w:spacing w:after="0" w:line="282" w:lineRule="auto"/>
        <w:tabs>
          <w:tab w:leader="none" w:pos="6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interest or participation that confers on a Person the right to receive a share of the profits and losses of, or distributions of assets of, the issuing Person.</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the occurrence of any of the following:</w:t>
      </w:r>
    </w:p>
    <w:p>
      <w:pPr>
        <w:spacing w:after="0" w:line="121" w:lineRule="exact"/>
        <w:rPr>
          <w:sz w:val="20"/>
          <w:szCs w:val="20"/>
          <w:color w:val="auto"/>
        </w:rPr>
      </w:pPr>
    </w:p>
    <w:p>
      <w:pPr>
        <w:ind w:left="700" w:hanging="264"/>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a plan relating to the liquidation or dissolution of the Company;</w:t>
      </w:r>
    </w:p>
    <w:p>
      <w:pPr>
        <w:spacing w:after="0" w:line="117" w:lineRule="exact"/>
        <w:rPr>
          <w:rFonts w:ascii="Times New Roman" w:cs="Times New Roman" w:eastAsia="Times New Roman" w:hAnsi="Times New Roman"/>
          <w:sz w:val="18"/>
          <w:szCs w:val="18"/>
          <w:color w:val="auto"/>
        </w:rPr>
      </w:pPr>
    </w:p>
    <w:p>
      <w:pPr>
        <w:ind w:right="20" w:firstLine="436"/>
        <w:spacing w:after="0" w:line="266" w:lineRule="auto"/>
        <w:tabs>
          <w:tab w:leader="none" w:pos="6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“person,” as such term is used in Section 13(d)(3) of the Exchange Act, becomes the Beneficial Owner, directly or indirectly, of more than 50% of the voting power of the Voting Stock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transaction in which the Company becomes a Subsidiary of another Person shall not constitute a Change of Control if (a) the stockholders of the Company immediately prior to such transaction Beneficially Own, directly</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10" w:name="page11"/>
    <w:bookmarkEnd w:id="10"/>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indirectly through one or more intermediaries, 50% or more of the voting power of the outstanding Voting Stock of such other Person of whom the Company is a Subsidiary immediately following such transaction and (b) immediately following such transaction no person (as defined above) other than such other Person, Beneficially Owns, directly or indirectly, more than 50% of the voting power of the Voting Stock of the Company; or</w:t>
      </w:r>
    </w:p>
    <w:p>
      <w:pPr>
        <w:spacing w:after="0" w:line="68" w:lineRule="exact"/>
        <w:rPr>
          <w:sz w:val="20"/>
          <w:szCs w:val="20"/>
          <w:color w:val="auto"/>
        </w:rPr>
      </w:pPr>
    </w:p>
    <w:p>
      <w:pPr>
        <w:ind w:left="440" w:right="1580" w:hanging="4"/>
        <w:spacing w:after="0" w:line="498" w:lineRule="auto"/>
        <w:tabs>
          <w:tab w:leader="none" w:pos="6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a majority of the members of the Board of Directors of the Company are not Continuing Directors. “</w:t>
      </w:r>
      <w:r>
        <w:rPr>
          <w:rFonts w:ascii="Times New Roman" w:cs="Times New Roman" w:eastAsia="Times New Roman" w:hAnsi="Times New Roman"/>
          <w:sz w:val="18"/>
          <w:szCs w:val="18"/>
          <w:b w:val="1"/>
          <w:bCs w:val="1"/>
          <w:color w:val="auto"/>
        </w:rPr>
        <w:t>Change of Control Offer</w:t>
      </w:r>
      <w:r>
        <w:rPr>
          <w:rFonts w:ascii="Times New Roman" w:cs="Times New Roman" w:eastAsia="Times New Roman" w:hAnsi="Times New Roman"/>
          <w:sz w:val="18"/>
          <w:szCs w:val="18"/>
          <w:color w:val="auto"/>
        </w:rPr>
        <w:t>” has the meaning set forth in Section 4.01(b).</w:t>
      </w:r>
    </w:p>
    <w:p>
      <w:pPr>
        <w:spacing w:after="0" w:line="1"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 Payment</w:t>
      </w:r>
      <w:r>
        <w:rPr>
          <w:rFonts w:ascii="Times New Roman" w:cs="Times New Roman" w:eastAsia="Times New Roman" w:hAnsi="Times New Roman"/>
          <w:sz w:val="18"/>
          <w:szCs w:val="18"/>
          <w:color w:val="auto"/>
        </w:rPr>
        <w:t>” has the meaning set forth in Section 4.01(b).</w:t>
      </w:r>
    </w:p>
    <w:p>
      <w:pPr>
        <w:spacing w:after="0" w:line="225"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 Payment Date</w:t>
      </w:r>
      <w:r>
        <w:rPr>
          <w:rFonts w:ascii="Times New Roman" w:cs="Times New Roman" w:eastAsia="Times New Roman" w:hAnsi="Times New Roman"/>
          <w:sz w:val="18"/>
          <w:szCs w:val="18"/>
          <w:color w:val="auto"/>
        </w:rPr>
        <w:t>” has the meaning set forth in Section 4.01(b).</w:t>
      </w:r>
    </w:p>
    <w:p>
      <w:pPr>
        <w:spacing w:after="0" w:line="225" w:lineRule="exact"/>
        <w:rPr>
          <w:rFonts w:ascii="Times New Roman" w:cs="Times New Roman" w:eastAsia="Times New Roman" w:hAnsi="Times New Roman"/>
          <w:sz w:val="18"/>
          <w:szCs w:val="18"/>
          <w:color w:val="auto"/>
        </w:rPr>
      </w:pPr>
    </w:p>
    <w:p>
      <w:pPr>
        <w:ind w:left="440" w:right="90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 Triggering Event</w:t>
      </w:r>
      <w:r>
        <w:rPr>
          <w:rFonts w:ascii="Times New Roman" w:cs="Times New Roman" w:eastAsia="Times New Roman" w:hAnsi="Times New Roman"/>
          <w:sz w:val="18"/>
          <w:szCs w:val="18"/>
          <w:color w:val="auto"/>
        </w:rPr>
        <w:t>” means the occurrence of both a Change of Control and a Ratings Decline (as defined below). “</w:t>
      </w:r>
      <w:r>
        <w:rPr>
          <w:rFonts w:ascii="Times New Roman" w:cs="Times New Roman" w:eastAsia="Times New Roman" w:hAnsi="Times New Roman"/>
          <w:sz w:val="18"/>
          <w:szCs w:val="18"/>
          <w:b w:val="1"/>
          <w:bCs w:val="1"/>
          <w:color w:val="auto"/>
        </w:rPr>
        <w:t>Clearstream</w:t>
      </w:r>
      <w:r>
        <w:rPr>
          <w:rFonts w:ascii="Times New Roman" w:cs="Times New Roman" w:eastAsia="Times New Roman" w:hAnsi="Times New Roman"/>
          <w:sz w:val="18"/>
          <w:szCs w:val="18"/>
          <w:color w:val="auto"/>
        </w:rPr>
        <w:t xml:space="preserve">” means Clearstream Banking,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“Commodity Agreement</w:t>
      </w:r>
      <w:r>
        <w:rPr>
          <w:rFonts w:ascii="Times New Roman" w:cs="Times New Roman" w:eastAsia="Times New Roman" w:hAnsi="Times New Roman"/>
          <w:sz w:val="18"/>
          <w:szCs w:val="18"/>
          <w:color w:val="auto"/>
        </w:rPr>
        <w:t>” of any Person means any commodity forward contract, commodity swap agreement, commodity option agreement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similar agreement or arrangement to which such Person is a party.</w:t>
      </w:r>
    </w:p>
    <w:p>
      <w:pPr>
        <w:spacing w:after="0" w:line="15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Depositary</w:t>
      </w:r>
      <w:r>
        <w:rPr>
          <w:rFonts w:ascii="Times New Roman" w:cs="Times New Roman" w:eastAsia="Times New Roman" w:hAnsi="Times New Roman"/>
          <w:sz w:val="18"/>
          <w:szCs w:val="18"/>
          <w:color w:val="auto"/>
        </w:rPr>
        <w:t>” means any Person acting as the common depositary for the Euroclear Operator and Clearstream, which initially shall be U.S. Bank Europe DAC.</w:t>
      </w:r>
    </w:p>
    <w:p>
      <w:pPr>
        <w:spacing w:after="0" w:line="155" w:lineRule="exact"/>
        <w:rPr>
          <w:sz w:val="20"/>
          <w:szCs w:val="20"/>
          <w:color w:val="auto"/>
        </w:rPr>
      </w:pPr>
    </w:p>
    <w:p>
      <w:pPr>
        <w:ind w:right="40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Comparable Government Bond</w:t>
      </w:r>
      <w:r>
        <w:rPr>
          <w:rFonts w:ascii="Times New Roman" w:cs="Times New Roman" w:eastAsia="Times New Roman" w:hAnsi="Times New Roman"/>
          <w:sz w:val="18"/>
          <w:szCs w:val="18"/>
          <w:color w:val="auto"/>
        </w:rPr>
        <w:t>” means, in relation to any Comparable Government Bond Rate calculation, a German government bond (</w:t>
      </w:r>
      <w:r>
        <w:rPr>
          <w:rFonts w:ascii="Times New Roman" w:cs="Times New Roman" w:eastAsia="Times New Roman" w:hAnsi="Times New Roman"/>
          <w:sz w:val="18"/>
          <w:szCs w:val="18"/>
          <w:i w:val="1"/>
          <w:iCs w:val="1"/>
          <w:color w:val="auto"/>
        </w:rPr>
        <w:t>Bundesanleihe</w:t>
      </w:r>
      <w:r>
        <w:rPr>
          <w:rFonts w:ascii="Times New Roman" w:cs="Times New Roman" w:eastAsia="Times New Roman" w:hAnsi="Times New Roman"/>
          <w:sz w:val="18"/>
          <w:szCs w:val="18"/>
          <w:color w:val="auto"/>
        </w:rPr>
        <w:t>) whose maturity is closest to the maturity of the Securities, or if an Independent Investment Banker selected by the Company in its discretion determines that such similar bond is not in issue, another German government bond as the Independent Investment Banker may, with the advice of three brokers of, and/or market makers in, German government bonds selected by such Independent Investment Banker, determine to be appropriate for determining the Comparable Government Bond Rate.</w:t>
      </w:r>
    </w:p>
    <w:p>
      <w:pPr>
        <w:spacing w:after="0" w:line="179"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Comparable Government Bond Rate</w:t>
      </w:r>
      <w:r>
        <w:rPr>
          <w:rFonts w:ascii="Times New Roman" w:cs="Times New Roman" w:eastAsia="Times New Roman" w:hAnsi="Times New Roman"/>
          <w:sz w:val="18"/>
          <w:szCs w:val="18"/>
          <w:color w:val="auto"/>
        </w:rPr>
        <w:t>” means, with respect to any redemption date, the price, expressed as a percentage (rounded to three decimal places, with 0.0005 being rounded upwards), at which the gross redemption yield on the applicable Securities, if they were to be purchased at such price on the third Business Day prior to the date fixed for redemption, would be equal to the gross redemption yield on such Business Day of the Comparable Government Bond on the basis of the middle market price of the Comparable Government Bond prevailing at 11:00 a.m. (London time) on such Business Day as determined by an Independent Investment Banker selected by the Company.</w:t>
      </w:r>
    </w:p>
    <w:p>
      <w:pPr>
        <w:spacing w:after="0" w:line="179"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Continuing Directors</w:t>
      </w:r>
      <w:r>
        <w:rPr>
          <w:rFonts w:ascii="Times New Roman" w:cs="Times New Roman" w:eastAsia="Times New Roman" w:hAnsi="Times New Roman"/>
          <w:sz w:val="18"/>
          <w:szCs w:val="18"/>
          <w:color w:val="auto"/>
        </w:rPr>
        <w:t>” means a director who either was a member of the Company’s Board of Directors on the Issue Date or who becomes a member of the Company’s Board of Directors subsequent to the Issue Date and whose appointment, election or nomination for election by the Company’s stockholders is duly approved by a majority of the Continuing Directors on the Company’s Board of Directors at the time of such approval, either by specific vote or by approval of the proxy statement issued by the Company on behalf of the Company’s Board of Directors in which such individual is named as nominee for director. Solely for purposes of this definition, the term “Board of Directors” shall be defined without regard to the words “or any authorized committee of the Board of Directors of such Person or any officer of such Person duly authorized by the Board of Directors of such Person to take a specific action” in such definition.</w:t>
      </w:r>
    </w:p>
    <w:p>
      <w:pPr>
        <w:spacing w:after="0" w:line="183"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Currency Agreement</w:t>
      </w:r>
      <w:r>
        <w:rPr>
          <w:rFonts w:ascii="Times New Roman" w:cs="Times New Roman" w:eastAsia="Times New Roman" w:hAnsi="Times New Roman"/>
          <w:sz w:val="18"/>
          <w:szCs w:val="18"/>
          <w:color w:val="auto"/>
        </w:rPr>
        <w:t>” of any Person means any foreign exchange contract, currency swap agreement or other similar agreement or arrangement as to which such Person is a party.</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1" w:name="page12"/>
    <w:bookmarkEnd w:id="1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which is, or after notice or passage of time or both would be, an Event of Default.</w:t>
      </w:r>
    </w:p>
    <w:p>
      <w:pPr>
        <w:spacing w:after="0" w:line="225"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Disqualified Stock</w:t>
      </w:r>
      <w:r>
        <w:rPr>
          <w:rFonts w:ascii="Times New Roman" w:cs="Times New Roman" w:eastAsia="Times New Roman" w:hAnsi="Times New Roman"/>
          <w:sz w:val="18"/>
          <w:szCs w:val="18"/>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Stated Maturity of the Securities.</w:t>
      </w:r>
    </w:p>
    <w:p>
      <w:pPr>
        <w:spacing w:after="0" w:line="176"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euro</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means the currency of the member states of the European Monetary Union that have adopted or that adopt the single currency in accordance with the treaty establishing the European Community, as amended by the Treaty on European Union.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of the SEC promulgated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Euroclear Operator</w:t>
      </w:r>
      <w:r>
        <w:rPr>
          <w:rFonts w:ascii="Times New Roman" w:cs="Times New Roman" w:eastAsia="Times New Roman" w:hAnsi="Times New Roman"/>
          <w:sz w:val="18"/>
          <w:szCs w:val="18"/>
          <w:color w:val="auto"/>
        </w:rPr>
        <w:t>” means Euroclear Bank SA/NV, as operator of the Euroclear System.</w:t>
      </w:r>
    </w:p>
    <w:p>
      <w:pPr>
        <w:spacing w:after="0" w:line="22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means, with respect to any asset, the price that (after taking into account any liabilities relating to such asset) would be paid in an arm’s-length transaction between an informed and willing seller under no compulsion to sell and an informed and willing buyer under no compulsion to buy, as determined in good faith by the Board of Directors, whose determination shall be conclusive if evidenced by a Board Resolution.</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Par Call Date</w:t>
      </w:r>
      <w:r>
        <w:rPr>
          <w:rFonts w:ascii="Times New Roman" w:cs="Times New Roman" w:eastAsia="Times New Roman" w:hAnsi="Times New Roman"/>
          <w:sz w:val="18"/>
          <w:szCs w:val="18"/>
          <w:color w:val="auto"/>
        </w:rPr>
        <w:t>” means July 1, 2033.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Fitch</w:t>
      </w:r>
      <w:r>
        <w:rPr>
          <w:rFonts w:ascii="Times New Roman" w:cs="Times New Roman" w:eastAsia="Times New Roman" w:hAnsi="Times New Roman"/>
          <w:sz w:val="18"/>
          <w:szCs w:val="18"/>
          <w:color w:val="auto"/>
        </w:rPr>
        <w:t>” means Fitch, Inc. or any successor to the rating agency business thereof.</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Subsidiary</w:t>
      </w:r>
      <w:r>
        <w:rPr>
          <w:rFonts w:ascii="Times New Roman" w:cs="Times New Roman" w:eastAsia="Times New Roman" w:hAnsi="Times New Roman"/>
          <w:sz w:val="18"/>
          <w:szCs w:val="18"/>
          <w:color w:val="auto"/>
        </w:rPr>
        <w:t>” means, with respect to any Person, (a) any Subsidiary of such Person that is not organized or existing under the laws of, and whose principal business is conducted outside of, the United States, any state thereof, the District of Columbia, or any territory thereof (for purposes of this definition only, the “United States”), or (b) any Subsidiary of such Person that is organized or existing under the laws of the United States whose only material assets are the Capital Stock of Foreign Subsidiaries meeting clause (a) of this definition.</w:t>
      </w:r>
    </w:p>
    <w:p>
      <w:pPr>
        <w:spacing w:after="0" w:line="176"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xml:space="preserve">” means generally accepted accounting principles set forth in the standards, statements and pronouncements of the Financial Accounting Standards Board, or in such other statements by such other entity as may be approved by a significant segment of the accounting profession of the United States, which are in effect on the Issue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leases shall continue to be classified and accounted for on a basis consistent with that reflected in the financial statements of the Company for the fiscal year ended December 31, 2018 for all purposes, notwithstanding any change in GAAP relating thereto, including with respect to Accounting Standards Codification 842.</w:t>
      </w:r>
    </w:p>
    <w:p>
      <w:pPr>
        <w:spacing w:after="0" w:line="179"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The term “Guarantee” used as a verb has a corresponding meaning.</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means, with respect to any specified Person, any indebtedness of such Person, whether or not contingent:</w:t>
      </w:r>
    </w:p>
    <w:p>
      <w:pPr>
        <w:spacing w:after="0" w:line="121" w:lineRule="exact"/>
        <w:rPr>
          <w:sz w:val="20"/>
          <w:szCs w:val="20"/>
          <w:color w:val="auto"/>
        </w:rPr>
      </w:pPr>
    </w:p>
    <w:p>
      <w:pPr>
        <w:ind w:left="700" w:hanging="264"/>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borrowed money;</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evidenced by bonds, notes, debentures or similar instruments or letters of credit (or reimbursement agreements in respect thereof);</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banker’s acceptances;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66" w:right="479" w:bottom="1440" w:gutter="0" w:footer="0" w:header="0"/>
        </w:sectPr>
      </w:pPr>
    </w:p>
    <w:bookmarkStart w:id="12" w:name="page13"/>
    <w:bookmarkEnd w:id="12"/>
    <w:p>
      <w:pPr>
        <w:ind w:left="700" w:hanging="264"/>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representing Capital Lease Obligations;</w:t>
      </w:r>
    </w:p>
    <w:p>
      <w:pPr>
        <w:spacing w:after="0" w:line="117" w:lineRule="exact"/>
        <w:rPr>
          <w:rFonts w:ascii="Times New Roman" w:cs="Times New Roman" w:eastAsia="Times New Roman" w:hAnsi="Times New Roman"/>
          <w:sz w:val="18"/>
          <w:szCs w:val="18"/>
          <w:color w:val="auto"/>
        </w:rPr>
      </w:pPr>
    </w:p>
    <w:p>
      <w:pPr>
        <w:ind w:right="600" w:firstLine="436"/>
        <w:spacing w:after="0" w:line="282" w:lineRule="auto"/>
        <w:tabs>
          <w:tab w:leader="none" w:pos="6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the balance deferred and unpaid of the purchase price of any property, except any such balance that constitutes an accrued expense or trade payable;</w:t>
      </w:r>
    </w:p>
    <w:p>
      <w:pPr>
        <w:spacing w:after="0" w:line="53" w:lineRule="exact"/>
        <w:rPr>
          <w:rFonts w:ascii="Times New Roman" w:cs="Times New Roman" w:eastAsia="Times New Roman" w:hAnsi="Times New Roman"/>
          <w:sz w:val="18"/>
          <w:szCs w:val="18"/>
          <w:color w:val="auto"/>
        </w:rPr>
      </w:pPr>
    </w:p>
    <w:p>
      <w:pPr>
        <w:ind w:right="60" w:firstLine="436"/>
        <w:spacing w:after="0" w:line="282" w:lineRule="auto"/>
        <w:tabs>
          <w:tab w:leader="none" w:pos="6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obligations under any Interest Rate Agreements, Commodity Agreements and Currency Agreements except for those entered into for the purpose of fixing, hedging or swapping interest rate, commodity price or foreign currency exchange risk; or</w:t>
      </w:r>
    </w:p>
    <w:p>
      <w:pPr>
        <w:spacing w:after="0" w:line="53" w:lineRule="exact"/>
        <w:rPr>
          <w:rFonts w:ascii="Times New Roman" w:cs="Times New Roman" w:eastAsia="Times New Roman" w:hAnsi="Times New Roman"/>
          <w:sz w:val="18"/>
          <w:szCs w:val="18"/>
          <w:color w:val="auto"/>
        </w:rPr>
      </w:pPr>
    </w:p>
    <w:p>
      <w:pPr>
        <w:ind w:right="40" w:firstLine="436"/>
        <w:spacing w:after="0" w:line="256" w:lineRule="auto"/>
        <w:tabs>
          <w:tab w:leader="none" w:pos="6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respect of all Disqualified Stock issued by such Person with the amount of Indebtedness represented by such Disqualified Stock being equal to the greater of its voluntary or involuntary liquidation preference and its maximum fixed repurchase price, but excluding accrued dividends, if any;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 if the Disqualified Stock does not have a fixed repurchase price, such maximum fixed repurchase price shall be calculated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terms of the Disqualified Stock as if the Disqualified Stock were purchased on any date on which Indebtedness shall be required to be determined pursuant to the applicable indenture, and (b) if the maximum fixed repurchase price is based upon, or measured by, the fair market value of the Disqualified Stock, the fair market value shall be the Fair Market Value thereof;</w:t>
      </w:r>
    </w:p>
    <w:p>
      <w:pPr>
        <w:spacing w:after="0" w:line="18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if and to the extent any of the preceding items (other than letters of credit and obligations under Interest Rate Agreements, Commodity Agreements and Currency Agreements) would appear as a liability upon a balance sheet of such Person prepared in accordance with GAAP. In addition, the term “Indebtedness” includes all Indebtedness of others secured by a Lien on any asset of such Person whether or not such Indebtedness is assumed by such Person (the amount of such Indebtedness as of any date being deemed to be the lesser of the Fair Market Value of such property or assets as of such date or the principal amount of such Indebtedness of such other Person so secured) and, to the extent not otherwise included, the Guarantee by such Person of any Indebtedness of any other Person.</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amount of any Indebtedness outstanding as of any date shall be:</w:t>
      </w:r>
    </w:p>
    <w:p>
      <w:pPr>
        <w:spacing w:after="0" w:line="117" w:lineRule="exact"/>
        <w:rPr>
          <w:sz w:val="20"/>
          <w:szCs w:val="20"/>
          <w:color w:val="auto"/>
        </w:rPr>
      </w:pPr>
    </w:p>
    <w:p>
      <w:pPr>
        <w:ind w:left="700" w:hanging="264"/>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accreted value of the Indebtedness, in the case of any Indebtedness issued with original issue discount; and</w:t>
      </w:r>
    </w:p>
    <w:p>
      <w:pPr>
        <w:spacing w:after="0" w:line="117" w:lineRule="exact"/>
        <w:rPr>
          <w:rFonts w:ascii="Times New Roman" w:cs="Times New Roman" w:eastAsia="Times New Roman" w:hAnsi="Times New Roman"/>
          <w:sz w:val="18"/>
          <w:szCs w:val="18"/>
          <w:color w:val="auto"/>
        </w:rPr>
      </w:pPr>
    </w:p>
    <w:p>
      <w:pPr>
        <w:ind w:right="140" w:firstLine="436"/>
        <w:spacing w:after="0" w:line="282" w:lineRule="auto"/>
        <w:tabs>
          <w:tab w:leader="none" w:pos="6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Indebtedness, together with any interest on the Indebtedness that is more than 30 days past due, in the case of any other Indebtedness.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Investment Banker</w:t>
      </w:r>
      <w:r>
        <w:rPr>
          <w:rFonts w:ascii="Times New Roman" w:cs="Times New Roman" w:eastAsia="Times New Roman" w:hAnsi="Times New Roman"/>
          <w:sz w:val="18"/>
          <w:szCs w:val="18"/>
          <w:color w:val="auto"/>
        </w:rPr>
        <w:t>” means one of the Reference Government Bond Dealers appointed by the Company.</w:t>
      </w:r>
    </w:p>
    <w:p>
      <w:pPr>
        <w:spacing w:after="0" w:line="225" w:lineRule="exact"/>
        <w:rPr>
          <w:sz w:val="20"/>
          <w:szCs w:val="20"/>
          <w:color w:val="auto"/>
        </w:rPr>
      </w:pPr>
    </w:p>
    <w:p>
      <w:pPr>
        <w:jc w:val="both"/>
        <w:ind w:right="3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Expense</w:t>
      </w:r>
      <w:r>
        <w:rPr>
          <w:rFonts w:ascii="Times New Roman" w:cs="Times New Roman" w:eastAsia="Times New Roman" w:hAnsi="Times New Roman"/>
          <w:sz w:val="18"/>
          <w:szCs w:val="18"/>
          <w:color w:val="auto"/>
        </w:rPr>
        <w:t>” means, for any period, all cash interest expense (including imputed interest with respect to Capital Lease Obligations and commitment fees) with respect to any Indebtedness of the Company and of its Subsidiaries’ Indebtedness on a consolidated basis during such period pursuant to the terms of such Indebtedness.</w:t>
      </w:r>
    </w:p>
    <w:p>
      <w:pPr>
        <w:spacing w:after="0" w:line="171" w:lineRule="exact"/>
        <w:rPr>
          <w:sz w:val="20"/>
          <w:szCs w:val="20"/>
          <w:color w:val="auto"/>
        </w:rPr>
      </w:pPr>
    </w:p>
    <w:p>
      <w:pPr>
        <w:jc w:val="both"/>
        <w:ind w:right="4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Rate Agreement</w:t>
      </w:r>
      <w:r>
        <w:rPr>
          <w:rFonts w:ascii="Times New Roman" w:cs="Times New Roman" w:eastAsia="Times New Roman" w:hAnsi="Times New Roman"/>
          <w:sz w:val="18"/>
          <w:szCs w:val="18"/>
          <w:color w:val="auto"/>
        </w:rPr>
        <w:t>” of any Person means any interest rate protection agreement, interest rate future agreement, interest rate option agreement, interest rate swap agreement, interest rate cap agreement, interest rate collar agreement, interest rate hedge agreement, option or future contract or other similar agreement or arrangement as to which such Person is a party.</w:t>
      </w:r>
    </w:p>
    <w:p>
      <w:pPr>
        <w:spacing w:after="0" w:line="171" w:lineRule="exact"/>
        <w:rPr>
          <w:sz w:val="20"/>
          <w:szCs w:val="20"/>
          <w:color w:val="auto"/>
        </w:rPr>
      </w:pPr>
    </w:p>
    <w:p>
      <w:pPr>
        <w:jc w:val="both"/>
        <w:ind w:right="4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 Grade Rating</w:t>
      </w:r>
      <w:r>
        <w:rPr>
          <w:rFonts w:ascii="Times New Roman" w:cs="Times New Roman" w:eastAsia="Times New Roman" w:hAnsi="Times New Roman"/>
          <w:sz w:val="18"/>
          <w:szCs w:val="18"/>
          <w:color w:val="auto"/>
        </w:rPr>
        <w:t>” means a rating equal to or greater than BBB- by S&amp;P and Fitch and Baa3 by Moody’s or the equivalent thereof under any new ratings system if the ratings system of any such agency shall be modified after the date hereof, or the equivalent rating or any other Ratings Agency selected by the Company as provided in the definition of Ratings Agency.</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 Date</w:t>
      </w:r>
      <w:r>
        <w:rPr>
          <w:rFonts w:ascii="Times New Roman" w:cs="Times New Roman" w:eastAsia="Times New Roman" w:hAnsi="Times New Roman"/>
          <w:sz w:val="18"/>
          <w:szCs w:val="18"/>
          <w:color w:val="auto"/>
        </w:rPr>
        <w:t>” means May 27, 2026.</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3" w:name="page14"/>
    <w:bookmarkEnd w:id="13"/>
    <w:p>
      <w:pPr>
        <w:ind w:right="28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Licenses</w:t>
      </w:r>
      <w:r>
        <w:rPr>
          <w:rFonts w:ascii="Times New Roman" w:cs="Times New Roman" w:eastAsia="Times New Roman" w:hAnsi="Times New Roman"/>
          <w:sz w:val="18"/>
          <w:szCs w:val="18"/>
          <w:color w:val="auto"/>
        </w:rPr>
        <w:t>” means, collectively, any telephone, microwave, radio transmissions, personal communications or other license, authorization, certificate of compliance, franchise, approval or permit, whether for the construction, ownership or operation of any communications tower facilities, granted or issued by the Federal Communications Commission (or other similar or successor agency of the federal government administering the Communications Act of 1934 or any similar or successor federal statute) and held by the Company or any of its Subsidiaries.</w:t>
      </w:r>
    </w:p>
    <w:p>
      <w:pPr>
        <w:spacing w:after="0" w:line="176"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with respect to any property or assets, including Capital Stock,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Moody’s</w:t>
      </w:r>
      <w:r>
        <w:rPr>
          <w:rFonts w:ascii="Times New Roman" w:cs="Times New Roman" w:eastAsia="Times New Roman" w:hAnsi="Times New Roman"/>
          <w:sz w:val="18"/>
          <w:szCs w:val="18"/>
          <w:color w:val="auto"/>
        </w:rPr>
        <w:t>” means Moody’s Investors Services, Inc. or any successor to the rating agency business thereof.</w:t>
      </w:r>
    </w:p>
    <w:p>
      <w:pPr>
        <w:spacing w:after="0" w:line="22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Income</w:t>
      </w:r>
      <w:r>
        <w:rPr>
          <w:rFonts w:ascii="Times New Roman" w:cs="Times New Roman" w:eastAsia="Times New Roman" w:hAnsi="Times New Roman"/>
          <w:sz w:val="18"/>
          <w:szCs w:val="18"/>
          <w:color w:val="auto"/>
        </w:rPr>
        <w:t>” means, for any period of determination, net income (loss) of the Company and its Subsidiaries, on a consolidated basis, determined in accordance with GAAP.</w:t>
      </w:r>
    </w:p>
    <w:p>
      <w:pPr>
        <w:spacing w:after="0" w:line="155" w:lineRule="exact"/>
        <w:rPr>
          <w:sz w:val="20"/>
          <w:szCs w:val="20"/>
          <w:color w:val="auto"/>
        </w:rPr>
      </w:pPr>
    </w:p>
    <w:p>
      <w:pPr>
        <w:ind w:right="1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Newly Created Subsidiary</w:t>
      </w:r>
      <w:r>
        <w:rPr>
          <w:rFonts w:ascii="Times New Roman" w:cs="Times New Roman" w:eastAsia="Times New Roman" w:hAnsi="Times New Roman"/>
          <w:sz w:val="18"/>
          <w:szCs w:val="18"/>
          <w:color w:val="auto"/>
        </w:rPr>
        <w:t xml:space="preserve">” means a newly created direct or indirect Subsidiary of the Company that is formed or organized after the Issue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neither the Company nor any Subsidiary of the Company shall have transferred, or may in the future transfer, any assets (other than cash or cash equivalents) to such Newly Created Subsidiary for so long as such Newly Created Subsidiary remains designated as an Unrestricted Subsidiary.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Securities</w:t>
      </w:r>
      <w:r>
        <w:rPr>
          <w:rFonts w:ascii="Times New Roman" w:cs="Times New Roman" w:eastAsia="Times New Roman" w:hAnsi="Times New Roman"/>
          <w:sz w:val="18"/>
          <w:szCs w:val="18"/>
          <w:color w:val="auto"/>
        </w:rPr>
        <w:t>” has the meaning set forth in Section 2.02.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has the meaning set forth in Section 2.03.</w:t>
      </w:r>
    </w:p>
    <w:p>
      <w:pPr>
        <w:spacing w:after="0" w:line="22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Amount</w:t>
      </w:r>
      <w:r>
        <w:rPr>
          <w:rFonts w:ascii="Times New Roman" w:cs="Times New Roman" w:eastAsia="Times New Roman" w:hAnsi="Times New Roman"/>
          <w:sz w:val="18"/>
          <w:szCs w:val="18"/>
          <w:color w:val="auto"/>
        </w:rPr>
        <w:t>” means, on any date, an amount equal to 3.5 times Adjusted EBITDA as of the most recent fiscal quarter for which financial statements of the Company are internally available immediately preceding such date.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700" w:hanging="264"/>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the Company or its Subsidiaries;</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the Issue Date (other than those securing the SpectraSite ABS Facility) and renewals and replacements thereof;</w:t>
      </w:r>
    </w:p>
    <w:p>
      <w:pPr>
        <w:spacing w:after="0" w:line="117" w:lineRule="exact"/>
        <w:rPr>
          <w:rFonts w:ascii="Times New Roman" w:cs="Times New Roman" w:eastAsia="Times New Roman" w:hAnsi="Times New Roman"/>
          <w:sz w:val="18"/>
          <w:szCs w:val="18"/>
          <w:color w:val="auto"/>
        </w:rPr>
      </w:pPr>
    </w:p>
    <w:p>
      <w:pPr>
        <w:ind w:right="320" w:firstLine="436"/>
        <w:spacing w:after="0" w:line="266" w:lineRule="auto"/>
        <w:tabs>
          <w:tab w:leader="none" w:pos="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for taxes, assessments or governmental charges or claims that are not yet delinquent or that are being contested in good faith by appropriate proceedings promptly instituted and diligently conducted;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reserve or other appropriate provision as shall be required in conformity with GAAP shall have been made therefor;</w:t>
      </w:r>
    </w:p>
    <w:p>
      <w:pPr>
        <w:spacing w:after="0" w:line="67" w:lineRule="exact"/>
        <w:rPr>
          <w:rFonts w:ascii="Times New Roman" w:cs="Times New Roman" w:eastAsia="Times New Roman" w:hAnsi="Times New Roman"/>
          <w:sz w:val="18"/>
          <w:szCs w:val="18"/>
          <w:color w:val="auto"/>
        </w:rPr>
      </w:pPr>
    </w:p>
    <w:p>
      <w:pPr>
        <w:ind w:right="220" w:firstLine="436"/>
        <w:spacing w:after="0" w:line="266" w:lineRule="auto"/>
        <w:tabs>
          <w:tab w:leader="none" w:pos="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carriers, warehousemen, mechanics, vendors (solely to the extent arising by operation of law), laborers and materialmen incurred in the ordinary course of business for sums not yet due or being diligently contested in good faith, if reserves or appropriate provisions shall have been made therefor;</w:t>
      </w:r>
    </w:p>
    <w:p>
      <w:pPr>
        <w:spacing w:after="0" w:line="67" w:lineRule="exact"/>
        <w:rPr>
          <w:rFonts w:ascii="Times New Roman" w:cs="Times New Roman" w:eastAsia="Times New Roman" w:hAnsi="Times New Roman"/>
          <w:sz w:val="18"/>
          <w:szCs w:val="18"/>
          <w:color w:val="auto"/>
        </w:rPr>
      </w:pPr>
    </w:p>
    <w:p>
      <w:pPr>
        <w:ind w:right="420" w:firstLine="436"/>
        <w:spacing w:after="0" w:line="282" w:lineRule="auto"/>
        <w:tabs>
          <w:tab w:leader="none" w:pos="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in the ordinary course of business in connection with worker’s compensation and unemployment insurance, social security obligations, assessments or government charges which are not overdue for more than 60 days;</w:t>
      </w:r>
    </w:p>
    <w:p>
      <w:pPr>
        <w:spacing w:after="0" w:line="53" w:lineRule="exact"/>
        <w:rPr>
          <w:rFonts w:ascii="Times New Roman" w:cs="Times New Roman" w:eastAsia="Times New Roman" w:hAnsi="Times New Roman"/>
          <w:sz w:val="18"/>
          <w:szCs w:val="18"/>
          <w:color w:val="auto"/>
        </w:rPr>
      </w:pPr>
    </w:p>
    <w:p>
      <w:pPr>
        <w:ind w:right="160" w:firstLine="436"/>
        <w:spacing w:after="0" w:line="261" w:lineRule="auto"/>
        <w:tabs>
          <w:tab w:leader="none" w:pos="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transfer of Licenses or assets of the Company or any of its Subsidiaries imposed by any of the Licenses as in effect on the Issue Date or imposed by the Communications Act of 1934, any similar or successor federal statute or the rules and regulations of the Federal Communications Commission (or other similar or successor agency of the federal government administering such Act or successor statute) thereunder, all as the same may be in effect from time to time;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66" w:right="439" w:bottom="1440" w:gutter="0" w:footer="0" w:header="0"/>
        </w:sectPr>
      </w:pPr>
    </w:p>
    <w:bookmarkStart w:id="14" w:name="page15"/>
    <w:bookmarkEnd w:id="14"/>
    <w:p>
      <w:pPr>
        <w:ind w:left="-20" w:right="600" w:firstLine="436"/>
        <w:spacing w:after="0" w:line="284" w:lineRule="auto"/>
        <w:tabs>
          <w:tab w:leader="none" w:pos="6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Liens arising by operation of law in favor of purchasers in connection with the sale of an asset;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Lien only encumbers the property being sold;</w:t>
      </w:r>
    </w:p>
    <w:p>
      <w:pPr>
        <w:spacing w:after="0" w:line="52"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performance of statutory obligations, surety or appeal bonds, performance bonds, bids or tenders;</w:t>
      </w:r>
    </w:p>
    <w:p>
      <w:pPr>
        <w:spacing w:after="0" w:line="117"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 Liens;</w:t>
      </w:r>
    </w:p>
    <w:p>
      <w:pPr>
        <w:spacing w:after="0" w:line="117" w:lineRule="exact"/>
        <w:rPr>
          <w:rFonts w:ascii="Times New Roman" w:cs="Times New Roman" w:eastAsia="Times New Roman" w:hAnsi="Times New Roman"/>
          <w:sz w:val="18"/>
          <w:szCs w:val="18"/>
          <w:color w:val="auto"/>
        </w:rPr>
      </w:pPr>
    </w:p>
    <w:p>
      <w:pPr>
        <w:ind w:left="760" w:hanging="344"/>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connection with escrow or security deposits made in connection with any acquisition of assets;</w:t>
      </w:r>
    </w:p>
    <w:p>
      <w:pPr>
        <w:spacing w:after="0" w:line="117" w:lineRule="exact"/>
        <w:rPr>
          <w:rFonts w:ascii="Times New Roman" w:cs="Times New Roman" w:eastAsia="Times New Roman" w:hAnsi="Times New Roman"/>
          <w:sz w:val="18"/>
          <w:szCs w:val="18"/>
          <w:color w:val="auto"/>
        </w:rPr>
      </w:pPr>
    </w:p>
    <w:p>
      <w:pPr>
        <w:ind w:left="-20" w:firstLine="436"/>
        <w:spacing w:after="0" w:line="258" w:lineRule="auto"/>
        <w:tabs>
          <w:tab w:leader="none" w:pos="75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since the Issue Date represented by Capital Lease Obligations, mortgage financings or purchase money obligations, in each case incurred for the purpose of financing all or any part of the purchase price or cost of construction or improvement of property, plant or equipment used in any business of the Company or any Subsidiary of the Company in an aggregate principal amount, including all Indebtedness incurred to refund, refinance or replace any other Indebtedness incurred pursuant to this clause (11), not to exceed $500.0 million at any time outstanding for the Company and any Subsidiaries of the Company;</w:t>
      </w:r>
    </w:p>
    <w:p>
      <w:pPr>
        <w:spacing w:after="0" w:line="75" w:lineRule="exact"/>
        <w:rPr>
          <w:rFonts w:ascii="Times New Roman" w:cs="Times New Roman" w:eastAsia="Times New Roman" w:hAnsi="Times New Roman"/>
          <w:sz w:val="18"/>
          <w:szCs w:val="18"/>
          <w:color w:val="auto"/>
        </w:rPr>
      </w:pPr>
    </w:p>
    <w:p>
      <w:pPr>
        <w:ind w:left="760" w:hanging="344"/>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obligations under Interest Rate Agreements, Commodity Agreements and Currency Agreements not for speculative purposes;</w:t>
      </w:r>
    </w:p>
    <w:p>
      <w:pPr>
        <w:spacing w:after="0" w:line="117" w:lineRule="exact"/>
        <w:rPr>
          <w:rFonts w:ascii="Times New Roman" w:cs="Times New Roman" w:eastAsia="Times New Roman" w:hAnsi="Times New Roman"/>
          <w:sz w:val="18"/>
          <w:szCs w:val="18"/>
          <w:color w:val="auto"/>
        </w:rPr>
      </w:pPr>
    </w:p>
    <w:p>
      <w:pPr>
        <w:ind w:left="760" w:hanging="344"/>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rights-of-way, zoning restrictions, licenses or restrictions on use and other similar encumbrances on the use of real property that:</w:t>
      </w:r>
    </w:p>
    <w:p>
      <w:pPr>
        <w:spacing w:after="0" w:line="117" w:lineRule="exact"/>
        <w:rPr>
          <w:sz w:val="20"/>
          <w:szCs w:val="20"/>
          <w:color w:val="auto"/>
        </w:rPr>
      </w:pPr>
    </w:p>
    <w:p>
      <w:pPr>
        <w:ind w:left="-20" w:right="460" w:firstLine="436"/>
        <w:spacing w:after="0" w:line="282" w:lineRule="auto"/>
        <w:tabs>
          <w:tab w:leader="none" w:pos="6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incurred in connection with the borrowing of money or the obtaining of advances or credit (other than trade credit in the ordinary course of business); and</w:t>
      </w:r>
    </w:p>
    <w:p>
      <w:pPr>
        <w:spacing w:after="0" w:line="53" w:lineRule="exact"/>
        <w:rPr>
          <w:rFonts w:ascii="Times New Roman" w:cs="Times New Roman" w:eastAsia="Times New Roman" w:hAnsi="Times New Roman"/>
          <w:sz w:val="18"/>
          <w:szCs w:val="18"/>
          <w:color w:val="auto"/>
        </w:rPr>
      </w:pPr>
    </w:p>
    <w:p>
      <w:pPr>
        <w:ind w:left="-20" w:right="20" w:firstLine="436"/>
        <w:spacing w:after="0" w:line="282" w:lineRule="auto"/>
        <w:tabs>
          <w:tab w:leader="none" w:pos="6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in the aggregate materially detract from the value of the property or materially impair the use thereof in the operation of business by the Company and its Subsidiaries;</w:t>
      </w:r>
    </w:p>
    <w:p>
      <w:pPr>
        <w:spacing w:after="0" w:line="54" w:lineRule="exact"/>
        <w:rPr>
          <w:sz w:val="20"/>
          <w:szCs w:val="20"/>
          <w:color w:val="auto"/>
        </w:rPr>
      </w:pPr>
    </w:p>
    <w:p>
      <w:pPr>
        <w:ind w:left="-20" w:firstLine="436"/>
        <w:spacing w:after="0" w:line="261" w:lineRule="auto"/>
        <w:tabs>
          <w:tab w:leader="none" w:pos="7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of the Company or a Subsidiary of the Company at the time the Company or such Subsidiary acquired the property, including acquisition by means of a merger or consolidation with or into the Company or any Subsidiary, or an acquisition of assets, and any replacement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Liens are not created, incurred or assumed in connection with or in contemplation of such acquisition,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such Liens may not extend to any other property owned by the Company or any Subsidiary of the Company;</w:t>
      </w:r>
    </w:p>
    <w:p>
      <w:pPr>
        <w:spacing w:after="0" w:line="71" w:lineRule="exact"/>
        <w:rPr>
          <w:rFonts w:ascii="Times New Roman" w:cs="Times New Roman" w:eastAsia="Times New Roman" w:hAnsi="Times New Roman"/>
          <w:sz w:val="18"/>
          <w:szCs w:val="18"/>
          <w:color w:val="auto"/>
        </w:rPr>
      </w:pPr>
    </w:p>
    <w:p>
      <w:pPr>
        <w:ind w:left="-20" w:right="20" w:firstLine="436"/>
        <w:spacing w:after="0" w:line="282" w:lineRule="auto"/>
        <w:tabs>
          <w:tab w:leader="none" w:pos="7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and subleases of real or personal property in the ordinary course of business (for the avoidance of doubt, excluding sale and lease-back transactions) which do not materially interfere with the ordinary conduct of the business; and</w:t>
      </w:r>
    </w:p>
    <w:p>
      <w:pPr>
        <w:spacing w:after="0" w:line="53" w:lineRule="exact"/>
        <w:rPr>
          <w:rFonts w:ascii="Times New Roman" w:cs="Times New Roman" w:eastAsia="Times New Roman" w:hAnsi="Times New Roman"/>
          <w:sz w:val="18"/>
          <w:szCs w:val="18"/>
          <w:color w:val="auto"/>
        </w:rPr>
      </w:pPr>
    </w:p>
    <w:p>
      <w:pPr>
        <w:ind w:left="-20" w:right="120" w:firstLine="436"/>
        <w:spacing w:after="0" w:line="282" w:lineRule="auto"/>
        <w:tabs>
          <w:tab w:leader="none" w:pos="7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banker’s Liens, rights of set-off or similar rights and remedies as to deposit accounts or other funds maintained with a depositary institution;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w:t>
      </w:r>
    </w:p>
    <w:p>
      <w:pPr>
        <w:spacing w:after="0" w:line="54" w:lineRule="exact"/>
        <w:rPr>
          <w:sz w:val="20"/>
          <w:szCs w:val="20"/>
          <w:color w:val="auto"/>
        </w:rPr>
      </w:pPr>
    </w:p>
    <w:p>
      <w:pPr>
        <w:ind w:left="-20" w:right="240" w:firstLine="436"/>
        <w:spacing w:after="0" w:line="282" w:lineRule="auto"/>
        <w:tabs>
          <w:tab w:leader="none" w:pos="6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account is not a dedicated cash collateral account and is not subject to restrictions against access in excess of those set forth by regulations promulgated by the Federal Reserve Board or other applicable law; and</w:t>
      </w:r>
    </w:p>
    <w:p>
      <w:pPr>
        <w:spacing w:after="0" w:line="53"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account is not intended to provide collateral to the depositary institution.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60" w:top="268" w:right="479" w:bottom="1440" w:gutter="0" w:footer="0" w:header="0"/>
        </w:sectPr>
      </w:pPr>
    </w:p>
    <w:bookmarkStart w:id="15" w:name="page16"/>
    <w:bookmarkEnd w:id="15"/>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partnership, limited liability company, joint venture, association, joint-stock company, trust, estate, unincorporated organization or government or other agency or political subdivision thereof or any other entity.</w:t>
      </w:r>
    </w:p>
    <w:p>
      <w:pPr>
        <w:spacing w:after="0" w:line="155"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Ratings Agencies</w:t>
      </w:r>
      <w:r>
        <w:rPr>
          <w:rFonts w:ascii="Times New Roman" w:cs="Times New Roman" w:eastAsia="Times New Roman" w:hAnsi="Times New Roman"/>
          <w:sz w:val="18"/>
          <w:szCs w:val="18"/>
          <w:color w:val="auto"/>
        </w:rPr>
        <w:t>” means (1) S&amp;P, Moody’s and Fitch; and (2) if any of S&amp;P, Moody’s and Fitch ceases to rate the Securities or ceases to make a rating on the Securities publicly available, an entity registered as a “nationally recognized statistical rating organization” (registered as such pursuant to Rule 17g-1 of the Exchange Act) then making a rating on the Securities publicly available selected by the Company (as certified by an Officers’ Certificate), which shall be substituted for S&amp;P, Moody’s or Fitch, as the case may be.</w:t>
      </w:r>
    </w:p>
    <w:p>
      <w:pPr>
        <w:spacing w:after="0" w:line="176"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Ratings Decline</w:t>
      </w:r>
      <w:r>
        <w:rPr>
          <w:rFonts w:ascii="Times New Roman" w:cs="Times New Roman" w:eastAsia="Times New Roman" w:hAnsi="Times New Roman"/>
          <w:sz w:val="18"/>
          <w:szCs w:val="18"/>
          <w:color w:val="auto"/>
        </w:rPr>
        <w:t>” means the occurrence of the following on, or within 90 days after, the date of the public notice of the occurrence of a Change of Control or of the intention by the Company or any third-party to effect a Change of Control (which period shall be extended for so long as the rating of the securities is under publicly announced consideration for possible downgrade by any of the Ratings Agencies if such period exceeds 90 days): (1) in the event that the Securities have an Investment Grade Rating by all three Ratings Agencies, the Securities cease to have an Investment Grade Rating by two of the three Rating Agencies, (2) in the event that the Securities have an Investment Grade Rating by only two Ratings Agencies, the Securities cease to have an Investment Grade Rating by both such Rating Agencies, or (3) in the event that the Securities do not have an Investment Grade Rating, the rating of the Securities by two of the three Ratings Agencies (or if there are less than three Rating Agencies rating the securities, the rating of each Rating Agency) decreases by one or more gradations (including gradations within ratings categories as well as between rating categories) or is withdrawn.</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Government Bond Dealer</w:t>
      </w:r>
      <w:r>
        <w:rPr>
          <w:rFonts w:ascii="Times New Roman" w:cs="Times New Roman" w:eastAsia="Times New Roman" w:hAnsi="Times New Roman"/>
          <w:sz w:val="18"/>
          <w:szCs w:val="18"/>
          <w:color w:val="auto"/>
        </w:rPr>
        <w:t>” means any of the primary European government securities dealers.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 has the meaning set forth in Section 2.03.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S&amp;P</w:t>
      </w:r>
      <w:r>
        <w:rPr>
          <w:rFonts w:ascii="Times New Roman" w:cs="Times New Roman" w:eastAsia="Times New Roman" w:hAnsi="Times New Roman"/>
          <w:sz w:val="18"/>
          <w:szCs w:val="18"/>
          <w:color w:val="auto"/>
        </w:rPr>
        <w:t>” means S&amp;P Global Ratings, a division of S&amp;P Global Inc., or any successor to the rating agency business thereof.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means the 4.000% Senior Notes due 2033 established by this Supplemental Indenture and issued by the Company pursuant to the Indenture.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of the SEC promulgated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Agent</w:t>
      </w:r>
      <w:r>
        <w:rPr>
          <w:rFonts w:ascii="Times New Roman" w:cs="Times New Roman" w:eastAsia="Times New Roman" w:hAnsi="Times New Roman"/>
          <w:sz w:val="18"/>
          <w:szCs w:val="18"/>
          <w:color w:val="auto"/>
        </w:rPr>
        <w:t>” means any Registrar, Paying Agent, or co-Registrar or co-agent.</w:t>
      </w:r>
    </w:p>
    <w:p>
      <w:pPr>
        <w:spacing w:after="0" w:line="22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SpectraSite ABS Facility</w:t>
      </w:r>
      <w:r>
        <w:rPr>
          <w:rFonts w:ascii="Times New Roman" w:cs="Times New Roman" w:eastAsia="Times New Roman" w:hAnsi="Times New Roman"/>
          <w:sz w:val="18"/>
          <w:szCs w:val="18"/>
          <w:color w:val="auto"/>
        </w:rPr>
        <w:t>” means that certain mortgage loan more fully described in the Offering Memorandum dated March 8, 2023 regarding the $1,800.0 million Secured Tower Revenue Securities, Series 2018-1A and 2013-2A.</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Stated Maturity</w:t>
      </w:r>
      <w:r>
        <w:rPr>
          <w:rFonts w:ascii="Times New Roman" w:cs="Times New Roman" w:eastAsia="Times New Roman" w:hAnsi="Times New Roman"/>
          <w:sz w:val="18"/>
          <w:szCs w:val="18"/>
          <w:color w:val="auto"/>
        </w:rPr>
        <w:t>” means, with respect to the payment of principal on the Securities, September 1, 2033.</w:t>
      </w:r>
    </w:p>
    <w:p>
      <w:pPr>
        <w:spacing w:after="0" w:line="22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(1) any corporation, limited liability company, association or other business entity of which more than 50% of the voting power of the outstanding Voting Stock is owned, directly or indirectly, by such Person and one or more other Subsidiaries of such Person or (2) any partnership (A) the sole general partner or the managing general partner of which is such Person or a Subsidiary of such Person or (B) the only general partners of which are such Person or one or more Subsidiaries of such Person (or any combination thereof). The term “Subsidiary” with respect to the Company shall not include any Unrestricted Subsidiary.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16" w:name="page17"/>
    <w:bookmarkEnd w:id="1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TIA</w:t>
      </w:r>
      <w:r>
        <w:rPr>
          <w:rFonts w:ascii="Times New Roman" w:cs="Times New Roman" w:eastAsia="Times New Roman" w:hAnsi="Times New Roman"/>
          <w:sz w:val="18"/>
          <w:szCs w:val="18"/>
          <w:color w:val="auto"/>
        </w:rPr>
        <w:t>” means the Trust Indenture Act of 1939 (15 U.S. Code §§ 77aaa-77bbbb) as amended and in effect from time to time.</w:t>
      </w:r>
    </w:p>
    <w:p>
      <w:pPr>
        <w:spacing w:after="0" w:line="225" w:lineRule="exact"/>
        <w:rPr>
          <w:sz w:val="20"/>
          <w:szCs w:val="20"/>
          <w:color w:val="auto"/>
        </w:rPr>
      </w:pPr>
    </w:p>
    <w:p>
      <w:pPr>
        <w:ind w:right="14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Unrestricted Subsidiary</w:t>
      </w:r>
      <w:r>
        <w:rPr>
          <w:rFonts w:ascii="Times New Roman" w:cs="Times New Roman" w:eastAsia="Times New Roman" w:hAnsi="Times New Roman"/>
          <w:sz w:val="18"/>
          <w:szCs w:val="18"/>
          <w:color w:val="auto"/>
        </w:rPr>
        <w:t>” means (a) any Foreign Subsidiary or Newly Created Subsidiary of the Company that is designated by the Board of Directors as an Unrestricted Subsidiary until such time as the Board of Directors may designate it to be a Subsidiary, provided that no Default or Event of Default would occur or be existing following such designation, and (b) any subsidiary of an Unrestricted Subsidiary. Any such designation by the Board of Directors shall be evidenced to the Trustee by filing a Board Resolution with the Trustee giving effect to such designation. At the time of designation of an Unrestricted Subsidiary as a Subsidiary, such Subsidiary shall be deemed to incur outstanding Indebtedness and grant any existing Liens.</w:t>
      </w:r>
    </w:p>
    <w:p>
      <w:pPr>
        <w:spacing w:after="0" w:line="182"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Stock</w:t>
      </w:r>
      <w:r>
        <w:rPr>
          <w:rFonts w:ascii="Times New Roman" w:cs="Times New Roman" w:eastAsia="Times New Roman" w:hAnsi="Times New Roman"/>
          <w:sz w:val="18"/>
          <w:szCs w:val="18"/>
          <w:color w:val="auto"/>
        </w:rPr>
        <w:t>” of any Person as of any date means the Capital Stock of such Person that is normally entitled to vote in the election of the board of directors, managers or trustees of such Person.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1.02. I</w:t>
      </w:r>
      <w:r>
        <w:rPr>
          <w:rFonts w:ascii="Times New Roman" w:cs="Times New Roman" w:eastAsia="Times New Roman" w:hAnsi="Times New Roman"/>
          <w:sz w:val="14"/>
          <w:szCs w:val="14"/>
          <w:b w:val="1"/>
          <w:bCs w:val="1"/>
          <w:color w:val="auto"/>
        </w:rPr>
        <w:t>NCORPORATION BY</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EFERENCE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RUST</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NDENTURE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CT</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Whenever this Indenture refers to a provision of the TIA, the provision is incorporated by reference in and made a part of this Indenture.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TIA terms used in this Indenture have the following meanings: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SEC;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 securities</w:t>
      </w:r>
      <w:r>
        <w:rPr>
          <w:rFonts w:ascii="Times New Roman" w:cs="Times New Roman" w:eastAsia="Times New Roman" w:hAnsi="Times New Roman"/>
          <w:sz w:val="18"/>
          <w:szCs w:val="18"/>
          <w:color w:val="auto"/>
        </w:rPr>
        <w:t>” means the Securities;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 security holder</w:t>
      </w:r>
      <w:r>
        <w:rPr>
          <w:rFonts w:ascii="Times New Roman" w:cs="Times New Roman" w:eastAsia="Times New Roman" w:hAnsi="Times New Roman"/>
          <w:sz w:val="18"/>
          <w:szCs w:val="18"/>
          <w:color w:val="auto"/>
        </w:rPr>
        <w:t>” means a Securityholder or a Holder;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 to be qualified</w:t>
      </w:r>
      <w:r>
        <w:rPr>
          <w:rFonts w:ascii="Times New Roman" w:cs="Times New Roman" w:eastAsia="Times New Roman" w:hAnsi="Times New Roman"/>
          <w:sz w:val="18"/>
          <w:szCs w:val="18"/>
          <w:color w:val="auto"/>
        </w:rPr>
        <w:t>” means this Indenture; and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obligor</w:t>
      </w:r>
      <w:r>
        <w:rPr>
          <w:rFonts w:ascii="Times New Roman" w:cs="Times New Roman" w:eastAsia="Times New Roman" w:hAnsi="Times New Roman"/>
          <w:sz w:val="18"/>
          <w:szCs w:val="18"/>
          <w:color w:val="auto"/>
        </w:rPr>
        <w:t>” on the indenture securities means the Company or any successor.</w:t>
      </w:r>
    </w:p>
    <w:p>
      <w:pPr>
        <w:spacing w:after="0" w:line="229"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All other terms used in this Indenture that are defined by the TIA, defined by the TIA by reference to another statute or defined by SEC rule under the TIA and not otherwise defined herein have the meanings so assigned to them.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1.03. R</w:t>
      </w:r>
      <w:r>
        <w:rPr>
          <w:rFonts w:ascii="Times New Roman" w:cs="Times New Roman" w:eastAsia="Times New Roman" w:hAnsi="Times New Roman"/>
          <w:sz w:val="14"/>
          <w:szCs w:val="14"/>
          <w:b w:val="1"/>
          <w:bCs w:val="1"/>
          <w:color w:val="auto"/>
        </w:rPr>
        <w:t>ULES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ONSTRUCTION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Unless the context otherwise requires:</w:t>
      </w:r>
    </w:p>
    <w:p>
      <w:pPr>
        <w:spacing w:after="0" w:line="117" w:lineRule="exact"/>
        <w:rPr>
          <w:sz w:val="20"/>
          <w:szCs w:val="20"/>
          <w:color w:val="auto"/>
        </w:rPr>
      </w:pPr>
    </w:p>
    <w:p>
      <w:pPr>
        <w:ind w:left="1080" w:hanging="221"/>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has the meaning assigned to it;</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accounting term not otherwise defined has the meaning assigned to it in accordance with generally accepted accounting principles in effect from time to time;</w:t>
      </w:r>
    </w:p>
    <w:p>
      <w:pPr>
        <w:spacing w:after="0" w:line="53"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not exclusive;</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means “including without limitation”;</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in the plural include the singular;</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apply to successive events and transactions;</w:t>
      </w:r>
    </w:p>
    <w:p>
      <w:pPr>
        <w:spacing w:after="0" w:line="117" w:lineRule="exact"/>
        <w:rPr>
          <w:rFonts w:ascii="Times New Roman" w:cs="Times New Roman" w:eastAsia="Times New Roman" w:hAnsi="Times New Roman"/>
          <w:sz w:val="18"/>
          <w:szCs w:val="18"/>
          <w:color w:val="auto"/>
        </w:rPr>
      </w:pPr>
    </w:p>
    <w:p>
      <w:pPr>
        <w:ind w:left="440" w:firstLine="419"/>
        <w:spacing w:after="0" w:line="282" w:lineRule="auto"/>
        <w:tabs>
          <w:tab w:leader="none" w:pos="121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“herein,” “hereof” and other words of similar import refer to this Indenture as a whole and not to any particular Article, Section or other subdivision of this Indenture;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6" w:right="459" w:bottom="1440" w:gutter="0" w:footer="0" w:header="0"/>
        </w:sectPr>
      </w:pPr>
    </w:p>
    <w:bookmarkStart w:id="17" w:name="page18"/>
    <w:bookmarkEnd w:id="17"/>
    <w:p>
      <w:pPr>
        <w:ind w:left="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(viii) references to currency shall mean the lawful currency of the United States of America, unless the context requires otherwise.</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extent that the terms of this Supplemental Indenture are inconsistent or conflict with the terms of the Base Indenture, then, for purposes of the Securities, the terms of this Supplemental Indenture shall apply to the extent of such inconsistency or conflict.</w:t>
      </w:r>
    </w:p>
    <w:p>
      <w:pPr>
        <w:spacing w:after="0" w:line="16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 terms of this Supplemental Indenture are subject to the terms of the Agency Agreement which shall be deemed incorporated herein. In the event of an inconsistency between the terms of the Base Indenture, this Supplemental Indenture and the Agency Agreement, the terms of the Agency Agreement shall prevail, except that the rights, benefits, protections, indemnities and immunities of the Trustee shall be governed by the Base Indenture and this Supplemental Indenture.</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 THE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2.01. F</w:t>
      </w:r>
      <w:r>
        <w:rPr>
          <w:rFonts w:ascii="Times New Roman" w:cs="Times New Roman" w:eastAsia="Times New Roman" w:hAnsi="Times New Roman"/>
          <w:sz w:val="14"/>
          <w:szCs w:val="14"/>
          <w:b w:val="1"/>
          <w:bCs w:val="1"/>
          <w:color w:val="auto"/>
        </w:rPr>
        <w:t>ORM AND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ATING</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The Securities and the Trustee’s certificate of authentication shall be substantially in the form set forth in Exhibit A, which is incorporated in and forms a part of this Indenture. The Securities may have notations, legends or endorsements required by law, stock exchange rule or usage. Each Security shall be dated the date of its authentication.</w:t>
      </w:r>
    </w:p>
    <w:p>
      <w:pPr>
        <w:spacing w:after="0" w:line="176"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Securities shall be issued initially in the form of one or more Global Securities, substantially in the form set forth in Exhibit A, deposited with the Common Depositary and registered in the name of USB Nominees (UK) Limited, as nominee of the Common Depositary, for, and in respect of interests held through, Clearstream and the Euroclear Operator, duly executed by the Company and authenticated by the Trustee and bearing the legend set forth in Exhibit B. The aggregate principal amount of the Global Security may from time to time be increased or decreased by adjustments made on the records of the Registrar or the Paying Agent, at the direction of the Trustee, as hereinafter provided;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except as permitted by Section 2.13, in no event shall the aggregate principal amount of the Global Security or Global Securities exceed €750,000,000.</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Securities in the form of Physical Securities issued in exchange for Securities represented by interests in a Global Security pursuant to</w:t>
      </w:r>
    </w:p>
    <w:p>
      <w:pPr>
        <w:spacing w:after="0" w:line="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Section 3.08 of the Base Indenture may be issued in the form of permanent certificated Securities in registered form in substantially the form set forth in Exhibit A and, if applicable, bearing any legends required hereby.</w:t>
      </w:r>
    </w:p>
    <w:p>
      <w:pPr>
        <w:spacing w:after="0" w:line="181" w:lineRule="exact"/>
        <w:rPr>
          <w:sz w:val="20"/>
          <w:szCs w:val="20"/>
          <w:color w:val="auto"/>
        </w:rPr>
      </w:pPr>
    </w:p>
    <w:p>
      <w:pPr>
        <w:ind w:right="200" w:firstLine="440"/>
        <w:spacing w:after="0" w:line="312" w:lineRule="auto"/>
        <w:rPr>
          <w:sz w:val="20"/>
          <w:szCs w:val="20"/>
          <w:color w:val="auto"/>
        </w:rPr>
      </w:pPr>
      <w:r>
        <w:rPr>
          <w:rFonts w:ascii="Times New Roman" w:cs="Times New Roman" w:eastAsia="Times New Roman" w:hAnsi="Times New Roman"/>
          <w:sz w:val="17"/>
          <w:szCs w:val="17"/>
          <w:color w:val="auto"/>
        </w:rPr>
        <w:t>The Securities shall be denominated in euros, and all cash payments due thereon shall be made in euros. The Securities shall be issuable only in registered form without interest coupons and only in denominations of €100,000 principal amount and integral multiples of €1,000 in excess thereof.</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2.02. E</w:t>
      </w:r>
      <w:r>
        <w:rPr>
          <w:rFonts w:ascii="Times New Roman" w:cs="Times New Roman" w:eastAsia="Times New Roman" w:hAnsi="Times New Roman"/>
          <w:sz w:val="14"/>
          <w:szCs w:val="14"/>
          <w:b w:val="1"/>
          <w:bCs w:val="1"/>
          <w:color w:val="auto"/>
        </w:rPr>
        <w:t>XECUTION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UTHENTICATION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ECURITIES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Upon a Company Order, the Trustee shall authenticate the Securities for original issue in the aggregate principal amount of €750,000,000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Original Securities</w:t>
      </w:r>
      <w:r>
        <w:rPr>
          <w:rFonts w:ascii="Times New Roman" w:cs="Times New Roman" w:eastAsia="Times New Roman" w:hAnsi="Times New Roman"/>
          <w:sz w:val="17"/>
          <w:szCs w:val="17"/>
          <w:color w:val="auto"/>
        </w:rPr>
        <w:t>”). Each party agrees that the Securities may be executed by the Company and authenticated by the Trustee by manual, facsimile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electronic signature (including, without limitation, DocuSign and AdobeSign and other similar applications). The signature shall be conclusive evidence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the Securities have been authenticated under the Indenture.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2.03. R</w:t>
      </w:r>
      <w:r>
        <w:rPr>
          <w:rFonts w:ascii="Times New Roman" w:cs="Times New Roman" w:eastAsia="Times New Roman" w:hAnsi="Times New Roman"/>
          <w:sz w:val="14"/>
          <w:szCs w:val="14"/>
          <w:b w:val="1"/>
          <w:bCs w:val="1"/>
          <w:color w:val="auto"/>
        </w:rPr>
        <w:t>EGISTRAR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AYING</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GENT</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color w:val="auto"/>
        </w:rPr>
        <w:t>The Company shall maintain an office or agency where Securities may be presented for registration of transfer or for exchange (“</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 and an office or agency where Securities may be presented for payment (“</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The Corporate Trust Office of the Trustee and the office of the Paying Agent, respectively, shall initially serve as the offices or agencies for the aforementioned purposes. The Registrar shall keep a register of the Securities and of their transfer and exchange. The Company may appoint or change one or more co-Registrars, one or more additional paying agents upon reasonable prior written notice to the Trustee or the Paying Agent, respectively, and may act in any such capacity on its own behalf. The term “</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 includes any co-Registrar and the term “</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includes any additional paying agent.</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18" w:name="page19"/>
    <w:bookmarkEnd w:id="18"/>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enter into an appropriate agency agreement with any Securities Agent not a party to this Indenture. The agreement shall implement the provisions of this Indenture that relate to such Securities Agent. The Company shall notify the Trustee in writing of the name and address of any Securities Agent not a party to this Indenture. If the Company fails to maintain a Registrar or Paying Agent, the Trustee shall act as such.</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initially appoints the Trustee as Registrar and the Paying Agent as Paying Agent.</w:t>
      </w:r>
    </w:p>
    <w:p>
      <w:pPr>
        <w:spacing w:after="0" w:line="225"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the Securities, the payment office shall be the office of the Paying Agent located at 125 Old Broad Street, Fifth Floor, London EC2N 1AR, United Kingdom.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2.04. P</w:t>
      </w:r>
      <w:r>
        <w:rPr>
          <w:rFonts w:ascii="Times New Roman" w:cs="Times New Roman" w:eastAsia="Times New Roman" w:hAnsi="Times New Roman"/>
          <w:sz w:val="14"/>
          <w:szCs w:val="14"/>
          <w:b w:val="1"/>
          <w:bCs w:val="1"/>
          <w:color w:val="auto"/>
        </w:rPr>
        <w:t>AYING</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GENT TO</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OLD</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ONEY IN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RUST</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Each Paying Agent shall hold in trust for the benefit of the Securityholders or the Trustee all moneys held by the Paying Agent for the payment of the Securities, and shall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shall have no further liability for such money. If the Company acts as Paying Agent, it shall segregate and hold as a separate trust fund all money held by it as Paying Agent.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2.05. T</w:t>
      </w:r>
      <w:r>
        <w:rPr>
          <w:rFonts w:ascii="Times New Roman" w:cs="Times New Roman" w:eastAsia="Times New Roman" w:hAnsi="Times New Roman"/>
          <w:sz w:val="14"/>
          <w:szCs w:val="14"/>
          <w:b w:val="1"/>
          <w:bCs w:val="1"/>
          <w:color w:val="auto"/>
        </w:rPr>
        <w:t>RANSFER AND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XCHANGE</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Company or the Trustee, as the case may be, shall not be required to register the transfer of or exchange any Security selected for redemption in whole or in part, in accordance with this Indenture, except the unredeemed portion of Securities being redeemed in part.</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No service charge shall be made for any transfer or exchange of Securities, but the Company may require payment of a sum sufficient to cover any transfer tax or similar governmental charge that may be imposed in connection with any transfer or exchange of Securities, other than exchanges pursuant to Section 3.11 or Section 7.05 of the Base Indenture or Section 4.01(b) or Article III, not involving any transfer.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2.06. O</w:t>
      </w:r>
      <w:r>
        <w:rPr>
          <w:rFonts w:ascii="Times New Roman" w:cs="Times New Roman" w:eastAsia="Times New Roman" w:hAnsi="Times New Roman"/>
          <w:sz w:val="14"/>
          <w:szCs w:val="14"/>
          <w:b w:val="1"/>
          <w:bCs w:val="1"/>
          <w:color w:val="auto"/>
        </w:rPr>
        <w:t>UTSTANDING</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ECURITIES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Securities outstanding at any time are all the Securities authenticated by the Trustee except for those canceled by it, those delivered to it for cancellation, those reductions in the interest in a Global Security effected by the Trustee in accordance with the provisions hereof, and those described in this Section and the Base Indenture as not outstanding. Except as set forth in Section 3.13 of the Base Indenture, a Security does not cease to be outstanding because the Company or an affiliate of the Company holds the Security.</w:t>
      </w:r>
    </w:p>
    <w:p>
      <w:pPr>
        <w:spacing w:after="0" w:line="180"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If a Security is replaced pursuant to Section 3.09 of the Base Indenture, it ceases to be outstanding unless the Trustee receives proof satisfactory to it that the replaced Security is held by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purchaser.</w:t>
      </w:r>
    </w:p>
    <w:p>
      <w:pPr>
        <w:spacing w:after="0" w:line="16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If the principal amount of any Security is considered paid under Section 4.01 of the Base Indenture, it ceases to be outstanding and interest on it ceases to accrue.</w:t>
      </w:r>
    </w:p>
    <w:p>
      <w:pPr>
        <w:spacing w:after="0" w:line="162"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If the Paying Agent (other than the Company, a Subsidiary or an affiliate of any thereof) holds, on a redemption date or maturity date, money sufficient to pay Securities payable on that date, then on and after that date such Securities shall be deemed to be no longer outstanding and shall cease to accrue interest.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70"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2.07. I</w:t>
      </w:r>
      <w:r>
        <w:rPr>
          <w:rFonts w:ascii="Times New Roman" w:cs="Times New Roman" w:eastAsia="Times New Roman" w:hAnsi="Times New Roman"/>
          <w:sz w:val="14"/>
          <w:szCs w:val="14"/>
          <w:b w:val="1"/>
          <w:bCs w:val="1"/>
          <w:color w:val="auto"/>
        </w:rPr>
        <w:t>NTEREST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AYMENT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ECORD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ATES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The Interest Payment Date for the Securities shall be September 1 of each calendar year, beginning with, and including, September 1, 2026. The Regular Record Date for an Interest Payment Date that falls on September 1 shall be the immediately preceding August 15.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2.08. N</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INKING</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UND</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shall be no sinking fund with respect to the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2.09. D</w:t>
      </w:r>
      <w:r>
        <w:rPr>
          <w:rFonts w:ascii="Times New Roman" w:cs="Times New Roman" w:eastAsia="Times New Roman" w:hAnsi="Times New Roman"/>
          <w:sz w:val="14"/>
          <w:szCs w:val="14"/>
          <w:b w:val="1"/>
          <w:bCs w:val="1"/>
          <w:color w:val="auto"/>
        </w:rPr>
        <w:t>EFAULTED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NTEREST</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If and to the extent the Company defaults in a payment of interest on the Securities, the Company shall pay in cash the defaulted interest in any lawful manner plus, to the extent not prohibited by applicable statute or case law, interest on such defaulted interest at the rate provided in the Securities and in this Section 2.09. The Company may pay the defaulted interest (plus interest on such defaulted interest) to the persons who are Securityholders on a subsequent record date as provided in Section 3.05(c) of the Base Indenture.</w:t>
      </w:r>
    </w:p>
    <w:p>
      <w:pPr>
        <w:spacing w:after="0" w:line="180"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The Company shall pay interest (including post-petition interest in any proceeding under any Bankruptcy Law) on overdue principal on the Securities at the rate equal to 1% per annum in excess of the then applicable interest rate on the Securities of that series to the extent lawful; it shall pay interest (including post-petition interest in any proceeding under any Bankruptcy Law) on overdue installments of interest (without regard to any applicable grace period) on the Securities of any series at the same rate to the extent lawful.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2.10. CUSIP </w:t>
      </w:r>
      <w:r>
        <w:rPr>
          <w:rFonts w:ascii="Times New Roman" w:cs="Times New Roman" w:eastAsia="Times New Roman" w:hAnsi="Times New Roman"/>
          <w:sz w:val="14"/>
          <w:szCs w:val="14"/>
          <w:b w:val="1"/>
          <w:bCs w:val="1"/>
          <w:color w:val="auto"/>
        </w:rPr>
        <w:t>AND</w:t>
      </w:r>
      <w:r>
        <w:rPr>
          <w:rFonts w:ascii="Times New Roman" w:cs="Times New Roman" w:eastAsia="Times New Roman" w:hAnsi="Times New Roman"/>
          <w:sz w:val="18"/>
          <w:szCs w:val="18"/>
          <w:b w:val="1"/>
          <w:bCs w:val="1"/>
          <w:color w:val="auto"/>
        </w:rPr>
        <w:t xml:space="preserve"> ISIN N</w:t>
      </w:r>
      <w:r>
        <w:rPr>
          <w:rFonts w:ascii="Times New Roman" w:cs="Times New Roman" w:eastAsia="Times New Roman" w:hAnsi="Times New Roman"/>
          <w:sz w:val="14"/>
          <w:szCs w:val="14"/>
          <w:b w:val="1"/>
          <w:bCs w:val="1"/>
          <w:color w:val="auto"/>
        </w:rPr>
        <w:t>UMBERS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ODES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Company in issuing the Securities may use one or more CUSIP and ISIN numbers and common codes, and, if so, the Trustee shall use the CUSIP and ISIN numbers and common codes in notices of repurchase or exchange as a convenience to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 representation is hereby deemed to be made by the Trustee as to the correctness or accuracy of the CUSIP and ISIN numbers and common codes printed on the notice or on the Securities;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reliance may be placed only on the other identification numbers printed on the Securities, and the effectiveness of any such notice shall not be affected by any defect in, or omission of, such CUSIP and ISIN numbers and common codes. The Company shall promptly notify the Trustee of any change in the CUSIP and ISIN numbers and common codes.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2.11. G</w:t>
      </w:r>
      <w:r>
        <w:rPr>
          <w:rFonts w:ascii="Times New Roman" w:cs="Times New Roman" w:eastAsia="Times New Roman" w:hAnsi="Times New Roman"/>
          <w:sz w:val="14"/>
          <w:szCs w:val="14"/>
          <w:b w:val="1"/>
          <w:bCs w:val="1"/>
          <w:color w:val="auto"/>
        </w:rPr>
        <w:t>LOBAL</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ECURITIES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The Securities shall initially be issued in the form of one of more Global Securities, and the provisions of the Base Indenture (including, but not limited to, Section 3.06 and Section 3.08) relating to Global Securities shall apply to the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2.12. R</w:t>
      </w:r>
      <w:r>
        <w:rPr>
          <w:rFonts w:ascii="Times New Roman" w:cs="Times New Roman" w:eastAsia="Times New Roman" w:hAnsi="Times New Roman"/>
          <w:sz w:val="14"/>
          <w:szCs w:val="14"/>
          <w:b w:val="1"/>
          <w:bCs w:val="1"/>
          <w:color w:val="auto"/>
        </w:rPr>
        <w:t>ANKING</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indebtedness of the Company arising under or in connection with this Indenture and every outstanding Security issued under this Indenture from time to time constitutes and will constitute a senior unsecured obligation of the Company,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each other and with all other existing and future senior unsecured obligations of the Company. Unless the context otherwise requires, the Securities shall be considered collectively to be a single class for all purposes of this Indenture, including without limitation waivers, amendments, redemptions and Change of Control Offers.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2.13. A</w:t>
      </w:r>
      <w:r>
        <w:rPr>
          <w:rFonts w:ascii="Times New Roman" w:cs="Times New Roman" w:eastAsia="Times New Roman" w:hAnsi="Times New Roman"/>
          <w:sz w:val="14"/>
          <w:szCs w:val="14"/>
          <w:b w:val="1"/>
          <w:bCs w:val="1"/>
          <w:color w:val="auto"/>
        </w:rPr>
        <w:t>DDITIONAL</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ECURITIES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 may, from time to time, subject to compliance with any other applicable provisions of this Indenture, without the consent of the Holders, create and issue pursuant to this Indenture additional securities (“</w:t>
      </w:r>
      <w:r>
        <w:rPr>
          <w:rFonts w:ascii="Times New Roman" w:cs="Times New Roman" w:eastAsia="Times New Roman" w:hAnsi="Times New Roman"/>
          <w:sz w:val="18"/>
          <w:szCs w:val="18"/>
          <w:b w:val="1"/>
          <w:bCs w:val="1"/>
          <w:color w:val="auto"/>
        </w:rPr>
        <w:t>Additional Securities</w:t>
      </w:r>
      <w:r>
        <w:rPr>
          <w:rFonts w:ascii="Times New Roman" w:cs="Times New Roman" w:eastAsia="Times New Roman" w:hAnsi="Times New Roman"/>
          <w:sz w:val="18"/>
          <w:szCs w:val="18"/>
          <w:color w:val="auto"/>
        </w:rPr>
        <w:t>”) having terms and conditions identical to those of the Securities, except that Additional Securities: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66" w:right="459" w:bottom="1440" w:gutter="0" w:footer="0" w:header="0"/>
        </w:sectPr>
      </w:pPr>
    </w:p>
    <w:bookmarkStart w:id="20" w:name="page21"/>
    <w:bookmarkEnd w:id="20"/>
    <w:p>
      <w:pPr>
        <w:ind w:left="660" w:hanging="224"/>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may have a different issue date from the Securities;</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have a different amount of interest payable on the first Interest Payment Date after issuance than is payable on other Securities; and</w:t>
      </w:r>
    </w:p>
    <w:p>
      <w:pPr>
        <w:spacing w:after="0" w:line="117" w:lineRule="exact"/>
        <w:rPr>
          <w:rFonts w:ascii="Times New Roman" w:cs="Times New Roman" w:eastAsia="Times New Roman" w:hAnsi="Times New Roman"/>
          <w:sz w:val="18"/>
          <w:szCs w:val="18"/>
          <w:color w:val="auto"/>
        </w:rPr>
      </w:pPr>
    </w:p>
    <w:p>
      <w:pPr>
        <w:ind w:right="120" w:firstLine="436"/>
        <w:spacing w:after="0" w:line="261" w:lineRule="auto"/>
        <w:tabs>
          <w:tab w:leader="none" w:pos="7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have terms specified in the Additional Securities Board Resolution or Additional Securities Supplemental Indenture for such Additional Securities making appropriate adjustments to Article II and Exhibit A (and related definitions) applicable to such Additional Securities in order to conform to and ensure compliance with the Securities Act (or other applicable securities laws) and any other agreement applicable to such Additional Securities, which are not adverse in any material respect to the Holder of any Securities (other than such Additional Securities);</w:t>
      </w:r>
    </w:p>
    <w:p>
      <w:pPr>
        <w:spacing w:after="0" w:line="178" w:lineRule="exact"/>
        <w:rPr>
          <w:sz w:val="20"/>
          <w:szCs w:val="20"/>
          <w:color w:val="auto"/>
        </w:rPr>
      </w:pPr>
    </w:p>
    <w:p>
      <w:pPr>
        <w:ind w:right="36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no adjustment pursuant to this Section 2.13 shall cause such Additional Securities to constitute, as determined pursuant to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Opinion of Counsel, a different class of securities than the Original Securities for U.S. federal income tax purposes. The Original Securities and any Additional Securities would rank equally and ratably and would be treated as a single series of debt securities for all purposes under the Indenture.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2.14. P</w:t>
      </w:r>
      <w:r>
        <w:rPr>
          <w:rFonts w:ascii="Times New Roman" w:cs="Times New Roman" w:eastAsia="Times New Roman" w:hAnsi="Times New Roman"/>
          <w:sz w:val="14"/>
          <w:szCs w:val="14"/>
          <w:b w:val="1"/>
          <w:bCs w:val="1"/>
          <w:color w:val="auto"/>
        </w:rPr>
        <w:t>AYMENT OF</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DDITIONAL</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MOUNTS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firstLine="436"/>
        <w:spacing w:after="0" w:line="261" w:lineRule="auto"/>
        <w:tabs>
          <w:tab w:leader="none" w:pos="6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of principal and interest in respect of the Securities will be made free and clear of, and without deduction or withholding for or on account of, any present or future taxes, duties, assessments or other governmental charges of whatsoever nature required to be deducted or withheld by the United States or any political subdivision or taxing authority of or in the United States, unless such withholding or deduction is required by law or the official interpretation or administration thereof.</w:t>
      </w:r>
    </w:p>
    <w:p>
      <w:pPr>
        <w:spacing w:after="0" w:line="71" w:lineRule="exact"/>
        <w:rPr>
          <w:rFonts w:ascii="Times New Roman" w:cs="Times New Roman" w:eastAsia="Times New Roman" w:hAnsi="Times New Roman"/>
          <w:sz w:val="18"/>
          <w:szCs w:val="18"/>
          <w:color w:val="auto"/>
        </w:rPr>
      </w:pPr>
    </w:p>
    <w:p>
      <w:pPr>
        <w:ind w:right="20" w:firstLine="436"/>
        <w:spacing w:after="0" w:line="256" w:lineRule="auto"/>
        <w:tabs>
          <w:tab w:leader="none" w:pos="6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any withholding or deduction on payments in respect of the Securities for or on account of any present or future tax, assessment or other governmental charge is required to be deducted or withheld by the United States or any political subdivision or taxing authority thereof or therein, the Company will pay such additional amounts on the Securities as will result in receipt by each Holder of a Security that is not a U.S. Person (as defined below) of such amounts (after all such withholding or deduction, including on any additional amounts) as would have been received by such Holder had no such withholding or deduction been required. The Company will not be required, however, to make any payment of additional amounts for or on account of:</w:t>
      </w:r>
    </w:p>
    <w:p>
      <w:pPr>
        <w:spacing w:after="0" w:line="79" w:lineRule="exact"/>
        <w:rPr>
          <w:rFonts w:ascii="Times New Roman" w:cs="Times New Roman" w:eastAsia="Times New Roman" w:hAnsi="Times New Roman"/>
          <w:sz w:val="18"/>
          <w:szCs w:val="18"/>
          <w:color w:val="auto"/>
        </w:rPr>
      </w:pPr>
    </w:p>
    <w:p>
      <w:pPr>
        <w:ind w:left="440" w:right="60" w:firstLine="419"/>
        <w:spacing w:after="0" w:line="254" w:lineRule="auto"/>
        <w:tabs>
          <w:tab w:leader="none" w:pos="107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assessment or other governmental charge that would not have been imposed but for (1) the existence of any present or former connection (other than a connection arising solely from the ownership of those Securities or the receipt of payments in respect of those Securities) between a Holder of a Security (or the beneficial owner for whose benefit such Holder holds such Security), or between a fiduciary, settlor, beneficiary of, member or shareholder of, or possessor of a power over, that Holder or beneficial owner (if that Holder or beneficial owner is an estate, trust, partnership or corporation) and the United States, including that Holder or beneficial owner, or that fiduciary, settlor, beneficiary, member, shareholder or possessor, being or having been a citizen or resident or treated as a resident of the United States or being or having been engaged in a trade or business or present in the United States or having had a permanent establishment in the United States or (2) the presentation of a Security for payment on a date more than 30 days after the later of the date on which that payment becomes due and payable and the date on which payment is duly provided for;</w:t>
      </w:r>
    </w:p>
    <w:p>
      <w:pPr>
        <w:spacing w:after="0" w:line="80" w:lineRule="exact"/>
        <w:rPr>
          <w:rFonts w:ascii="Times New Roman" w:cs="Times New Roman" w:eastAsia="Times New Roman" w:hAnsi="Times New Roman"/>
          <w:sz w:val="18"/>
          <w:szCs w:val="18"/>
          <w:color w:val="auto"/>
        </w:rPr>
      </w:pPr>
    </w:p>
    <w:p>
      <w:pPr>
        <w:ind w:left="440" w:right="920" w:firstLine="419"/>
        <w:spacing w:after="0" w:line="282" w:lineRule="auto"/>
        <w:tabs>
          <w:tab w:leader="none" w:pos="112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estate, inheritance, gift, sales, transfer, capital gains, excise, personal property, wealth or similar tax, assessment or other governmental charge;</w:t>
      </w:r>
    </w:p>
    <w:p>
      <w:pPr>
        <w:spacing w:after="0" w:line="53" w:lineRule="exact"/>
        <w:rPr>
          <w:rFonts w:ascii="Times New Roman" w:cs="Times New Roman" w:eastAsia="Times New Roman" w:hAnsi="Times New Roman"/>
          <w:sz w:val="18"/>
          <w:szCs w:val="18"/>
          <w:color w:val="auto"/>
        </w:rPr>
      </w:pPr>
    </w:p>
    <w:p>
      <w:pPr>
        <w:ind w:left="440" w:right="240" w:firstLine="419"/>
        <w:spacing w:after="0" w:line="266" w:lineRule="auto"/>
        <w:tabs>
          <w:tab w:leader="none" w:pos="117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assessment, or other governmental charge imposed by reason of the Holder’s or beneficial owner’s past or present status as a passive foreign investment company, a controlled foreign corporation, a foreign tax exempt organization or a personal holding company with respect to the United States or as a corporation that accumulates earnings to avoid U.S. federal income tax;</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21" w:name="page22"/>
    <w:bookmarkEnd w:id="21"/>
    <w:p>
      <w:pPr>
        <w:ind w:left="440" w:right="580" w:firstLine="419"/>
        <w:spacing w:after="0" w:line="282" w:lineRule="auto"/>
        <w:tabs>
          <w:tab w:leader="none" w:pos="116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tax, assessment or other governmental charge which is payable otherwise than by withholding or deducting from payment of principal of or premium, if any, or interest on such Securities;</w:t>
      </w:r>
    </w:p>
    <w:p>
      <w:pPr>
        <w:spacing w:after="0" w:line="53" w:lineRule="exact"/>
        <w:rPr>
          <w:rFonts w:ascii="Times New Roman" w:cs="Times New Roman" w:eastAsia="Times New Roman" w:hAnsi="Times New Roman"/>
          <w:sz w:val="18"/>
          <w:szCs w:val="18"/>
          <w:color w:val="auto"/>
        </w:rPr>
      </w:pPr>
    </w:p>
    <w:p>
      <w:pPr>
        <w:ind w:left="440" w:right="360" w:firstLine="419"/>
        <w:spacing w:after="0" w:line="282" w:lineRule="auto"/>
        <w:tabs>
          <w:tab w:leader="none" w:pos="111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assessment or other governmental charge required to be withheld by any paying agent from any payment of principal of and premium, if any, or interest on any Security if that payment can be made without withholding by at least one other paying agent;</w:t>
      </w:r>
    </w:p>
    <w:p>
      <w:pPr>
        <w:spacing w:after="0" w:line="53" w:lineRule="exact"/>
        <w:rPr>
          <w:rFonts w:ascii="Times New Roman" w:cs="Times New Roman" w:eastAsia="Times New Roman" w:hAnsi="Times New Roman"/>
          <w:sz w:val="18"/>
          <w:szCs w:val="18"/>
          <w:color w:val="auto"/>
        </w:rPr>
      </w:pPr>
    </w:p>
    <w:p>
      <w:pPr>
        <w:ind w:left="440" w:right="200" w:firstLine="419"/>
        <w:spacing w:after="0" w:line="255" w:lineRule="auto"/>
        <w:tabs>
          <w:tab w:leader="none" w:pos="116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assessment or other governmental charge which would not have been imposed but for the failure of a beneficial owner or any Holder of Securities to comply with a request to satisfy certification, information, documentation or other reporting requirements concerning the nationality, residence, identity or connections with the United States of the beneficial owner or any Holder of the Securities (including, but not limited to, the requirement to provide Internal Revenue Service Forms W-8BEN, W-8BEN-E, W-8ECI, or any subsequent versions thereof or successor thereto, and including, without limitation, any documentation requirement under an applicable income tax treaty), provided such beneficial owner or Holder is legally able to so comply and compliance is a precondition to exemption from such tax, assessment or other governmental charge;</w:t>
      </w:r>
    </w:p>
    <w:p>
      <w:pPr>
        <w:spacing w:after="0" w:line="80" w:lineRule="exact"/>
        <w:rPr>
          <w:rFonts w:ascii="Times New Roman" w:cs="Times New Roman" w:eastAsia="Times New Roman" w:hAnsi="Times New Roman"/>
          <w:sz w:val="18"/>
          <w:szCs w:val="18"/>
          <w:color w:val="auto"/>
        </w:rPr>
      </w:pPr>
    </w:p>
    <w:p>
      <w:pPr>
        <w:ind w:left="440" w:right="20" w:firstLine="419"/>
        <w:spacing w:after="0" w:line="272" w:lineRule="auto"/>
        <w:tabs>
          <w:tab w:leader="none" w:pos="1218"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tax, assessment or other governmental charge imposed on interest received by or on behalf of (1) a 10-percent shareholder (as defined in Section 871(h)(3)(B) of the U.S. Internal Revenue Code of 1986, as amended (the “</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and the regulations that may be promulgated thereunder) of the Company, (2) a controlled foreign corporation that is related to the Company within the meaning of Section 864(d)</w:t>
      </w:r>
    </w:p>
    <w:p>
      <w:pPr>
        <w:spacing w:after="0" w:line="1" w:lineRule="exact"/>
        <w:rPr>
          <w:rFonts w:ascii="Times New Roman" w:cs="Times New Roman" w:eastAsia="Times New Roman" w:hAnsi="Times New Roman"/>
          <w:sz w:val="17"/>
          <w:szCs w:val="17"/>
          <w:color w:val="auto"/>
        </w:rPr>
      </w:pPr>
    </w:p>
    <w:p>
      <w:pPr>
        <w:ind w:left="440" w:right="100" w:hanging="4"/>
        <w:spacing w:after="0" w:line="255" w:lineRule="auto"/>
        <w:tabs>
          <w:tab w:leader="none" w:pos="6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or (3) a bank receiving interest described in Section 881(c)(3)(A) of the Code, to the extent such tax, assessment or other governmental charge would not have been imposed but for the Holder’s or beneficial owner’s status as described in clauses (1) through (3) of this paragraph (vii);</w:t>
      </w:r>
    </w:p>
    <w:p>
      <w:pPr>
        <w:spacing w:after="0" w:line="77" w:lineRule="exact"/>
        <w:rPr>
          <w:rFonts w:ascii="Times New Roman" w:cs="Times New Roman" w:eastAsia="Times New Roman" w:hAnsi="Times New Roman"/>
          <w:sz w:val="18"/>
          <w:szCs w:val="18"/>
          <w:color w:val="auto"/>
        </w:rPr>
      </w:pPr>
    </w:p>
    <w:p>
      <w:pPr>
        <w:ind w:left="440" w:right="160" w:firstLine="419"/>
        <w:spacing w:after="0" w:line="261" w:lineRule="auto"/>
        <w:tabs>
          <w:tab w:leader="none" w:pos="126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assessment or other governmental charge required to be withheld or deducted under Sections 1471 through 1474 of the Code (or any amended or successor version of such Sections that is substantively comparable) (“</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any regulations or other guidance thereunder, or any agreement (including any intergovernmental agreement) entered into in connection therewith; or any law, regulation or other official guidance enacted in any jurisdiction implementing FATCA or an intergovernmental agreement in respect of FATCA; or</w:t>
      </w:r>
    </w:p>
    <w:p>
      <w:pPr>
        <w:spacing w:after="0" w:line="71"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items (i) through (viii) of this Section 2.14(b);</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nor will the Company pay any additional amounts any Holder that is not the sole beneficial owner of such Securities, or a portion of such Securities, or that is a fiduciary or partnership or a limited liability company, to the extent that a beneficiary or settlor with respect to that fiduciary or a member of that partnership or limited liability company or a beneficial owner thereof would not have been entitled to the payment of those additional amounts had that beneficiary, settlor, member or beneficial owner been the Holder of those Securities.</w:t>
      </w:r>
    </w:p>
    <w:p>
      <w:pPr>
        <w:spacing w:after="0" w:line="72" w:lineRule="exact"/>
        <w:rPr>
          <w:sz w:val="20"/>
          <w:szCs w:val="20"/>
          <w:color w:val="auto"/>
        </w:rPr>
      </w:pPr>
    </w:p>
    <w:p>
      <w:pPr>
        <w:jc w:val="both"/>
        <w:ind w:right="240" w:firstLine="436"/>
        <w:spacing w:after="0" w:line="289" w:lineRule="auto"/>
        <w:tabs>
          <w:tab w:leader="none" w:pos="68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Securities are subject in all cases to any tax, fiscal or other law or regulation or administrative or judicial interpretation applicable to the Securities. Except as specifically provided under this Section 2.14, the Company will not be required to make any payment for any tax, assessment or other governmental charge imposed by any government or a political subdivision or taxing authority of or in any government or political subdivision.</w:t>
      </w:r>
    </w:p>
    <w:p>
      <w:pPr>
        <w:spacing w:after="0" w:line="49" w:lineRule="exact"/>
        <w:rPr>
          <w:rFonts w:ascii="Times New Roman" w:cs="Times New Roman" w:eastAsia="Times New Roman" w:hAnsi="Times New Roman"/>
          <w:sz w:val="17"/>
          <w:szCs w:val="17"/>
          <w:color w:val="auto"/>
        </w:rPr>
      </w:pPr>
    </w:p>
    <w:p>
      <w:pPr>
        <w:ind w:right="100" w:firstLine="436"/>
        <w:spacing w:after="0" w:line="258" w:lineRule="auto"/>
        <w:tabs>
          <w:tab w:leader="none" w:pos="6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under this Section 2.14 and under Section 3.04, the term “United States” means the United States of America, the states of the United States, and the District of Columbia, and the term “U.S. Person” means any individual who is a citizen or resident of the United States for U.S. federal income tax purposes, a corporation, partnership or other entity created or organized in or under the laws of the United States, any state of the United States or the District of Columbia (other than a partnership that is not treated as a United States person under any applicable U.S. Treasury regulations), or any estate or trust the income of which is subject to United States federal income taxation regardless of its source.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70" w:right="439" w:bottom="1440" w:gutter="0" w:footer="0" w:header="0"/>
        </w:sectPr>
      </w:pPr>
    </w:p>
    <w:bookmarkStart w:id="22" w:name="page23"/>
    <w:bookmarkEnd w:id="22"/>
    <w:p>
      <w:pPr>
        <w:ind w:right="80" w:firstLine="436"/>
        <w:spacing w:after="0" w:line="282" w:lineRule="auto"/>
        <w:tabs>
          <w:tab w:leader="none" w:pos="6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reference in the terms of the Securities to any amounts in respect of the Securities shall be deemed also to refer to any additional amounts which may be payable under this provision.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2.15. U</w:t>
      </w:r>
      <w:r>
        <w:rPr>
          <w:rFonts w:ascii="Times New Roman" w:cs="Times New Roman" w:eastAsia="Times New Roman" w:hAnsi="Times New Roman"/>
          <w:sz w:val="14"/>
          <w:szCs w:val="14"/>
          <w:b w:val="1"/>
          <w:bCs w:val="1"/>
          <w:color w:val="auto"/>
        </w:rPr>
        <w:t>NAVAILABILITY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UROS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If the euro is unavailable to the Company due to the imposition of exchange controls or other circumstances beyond the Company’s control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Securities will be made in U.S. dollars until the euro is again available to the Company or so used. The amount payable on any date in euros will be converted into U.S. dollars at the rate reported by Bloomberg as of the close of business on the second Business Day prior to the relevant payment date or, in the event that event that Bloomberg has not reported a rate of conversion, on the basis of the most recent U.S. dollar/euro exchange rate mandated by the U.S. Federal Reserve Board on or prior to the second Business Day prior to the relevant payment date, or in the event the U.S. Federal Reserve Board has not mandated that exchange rate, the rate as determined in the Company’s sole discretion on the basis of the most recently available market exchange rate for the euro. Any payment in respect of the notes so made in U.S. dollars will not constitute an event of default under the Securities or the Indenture. Neither the Trustee nor the Paying Agent will have any responsibility for obtaining exchange rates, effecting conversions or otherwise handling redenominations in connection with the foregoing.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2.16. L</w:t>
      </w:r>
      <w:r>
        <w:rPr>
          <w:rFonts w:ascii="Times New Roman" w:cs="Times New Roman" w:eastAsia="Times New Roman" w:hAnsi="Times New Roman"/>
          <w:sz w:val="14"/>
          <w:szCs w:val="14"/>
          <w:b w:val="1"/>
          <w:bCs w:val="1"/>
          <w:color w:val="auto"/>
        </w:rPr>
        <w:t>ISTING</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t>The Company intends to apply to list each series of the Securities on the New York Stock Exchange (the “</w:t>
      </w:r>
      <w:r>
        <w:rPr>
          <w:rFonts w:ascii="Times New Roman" w:cs="Times New Roman" w:eastAsia="Times New Roman" w:hAnsi="Times New Roman"/>
          <w:sz w:val="18"/>
          <w:szCs w:val="18"/>
          <w:b w:val="1"/>
          <w:bCs w:val="1"/>
          <w:color w:val="auto"/>
        </w:rPr>
        <w:t>NYSE</w:t>
      </w:r>
      <w:r>
        <w:rPr>
          <w:rFonts w:ascii="Times New Roman" w:cs="Times New Roman" w:eastAsia="Times New Roman" w:hAnsi="Times New Roman"/>
          <w:sz w:val="18"/>
          <w:szCs w:val="18"/>
          <w:color w:val="auto"/>
        </w:rPr>
        <w:t>”). The listing application will be subject to approval by the NYSE. If such a listing is obtained, the Company has no obligation to maintain such listing, and the Company may delist the Securities at any time. The Company currently expects trading in the Securities on the NYSE to begin within 30 days after the initial issuance of the Securities. There is currently no public market for the Securities.</w:t>
      </w:r>
    </w:p>
    <w:p>
      <w:pPr>
        <w:spacing w:after="0" w:line="39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ARTICLE III OPTIONAL REDEMPTION; MANDATORY REDEMPTION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3.01. N</w:t>
      </w:r>
      <w:r>
        <w:rPr>
          <w:rFonts w:ascii="Times New Roman" w:cs="Times New Roman" w:eastAsia="Times New Roman" w:hAnsi="Times New Roman"/>
          <w:sz w:val="14"/>
          <w:szCs w:val="14"/>
          <w:b w:val="1"/>
          <w:bCs w:val="1"/>
          <w:color w:val="auto"/>
        </w:rPr>
        <w:t>OTICE TO</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RUSTEE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AYING</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GENT</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If the Company elects to redeem Securities pursuant to the optional redemption provisions of Section 3.02 hereof, it shall furnish to the Trustee and the Paying Agent, at least 10 days but not more than 60 days before a redemption date, an Officers’ Certificate setting forth (1) the redemption date, (2) the principal amount of the Securities to be redeemed and (3) the redemption price (expressed as a percentage of the principal amount).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3.02. O</w:t>
      </w:r>
      <w:r>
        <w:rPr>
          <w:rFonts w:ascii="Times New Roman" w:cs="Times New Roman" w:eastAsia="Times New Roman" w:hAnsi="Times New Roman"/>
          <w:sz w:val="14"/>
          <w:szCs w:val="14"/>
          <w:b w:val="1"/>
          <w:bCs w:val="1"/>
          <w:color w:val="auto"/>
        </w:rPr>
        <w:t>PTIONAL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EDEMPTION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180" w:firstLine="436"/>
        <w:spacing w:after="0" w:line="282" w:lineRule="auto"/>
        <w:tabs>
          <w:tab w:leader="none" w:pos="6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are redeemable at the Company’s election, in whole or in part, at any time and from time to time. If the Company redeems the Securities prior to July 1, 2033 (two months prior to their maturity date), it will pay a redemption price equal to the greater of:</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Securities to be redeemed then outstanding; and</w:t>
      </w:r>
    </w:p>
    <w:p>
      <w:pPr>
        <w:spacing w:after="0" w:line="117" w:lineRule="exact"/>
        <w:rPr>
          <w:rFonts w:ascii="Times New Roman" w:cs="Times New Roman" w:eastAsia="Times New Roman" w:hAnsi="Times New Roman"/>
          <w:sz w:val="18"/>
          <w:szCs w:val="18"/>
          <w:color w:val="auto"/>
        </w:rPr>
      </w:pPr>
    </w:p>
    <w:p>
      <w:pPr>
        <w:jc w:val="both"/>
        <w:ind w:left="440" w:firstLine="419"/>
        <w:spacing w:after="0" w:line="261" w:lineRule="auto"/>
        <w:tabs>
          <w:tab w:leader="none" w:pos="111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determined by an Independent Investment Banker, the sum of the present values of the remaining scheduled payments of principal and interest on the Securities to be redeemed that would be due if such Securities matured on the First Par Call Date (not including any portion of such payments of interest accrued to the date of redemption) discounted to the redemption date on an annual basis (ACTUAL/ACTUAL (ICMA)) at the applicable Comparable Government Bond Rate for the Securities, plus 15 basis points;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in either of the above cases, accrued and unpaid interest to the date of redemption on the Securities to be redeemed.</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23" w:name="page24"/>
    <w:bookmarkEnd w:id="23"/>
    <w:p>
      <w:pPr>
        <w:ind w:firstLine="436"/>
        <w:spacing w:after="0" w:line="282" w:lineRule="auto"/>
        <w:tabs>
          <w:tab w:leader="none" w:pos="6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Company redeems the Securities on or after July 1, 2033 (two months prior to their maturity date), it will pay a redemption price equal to 100% of the principal amount of the Securities to be redeemed plus accrued interest to the redemption date.</w:t>
      </w:r>
    </w:p>
    <w:p>
      <w:pPr>
        <w:spacing w:after="0" w:line="53" w:lineRule="exact"/>
        <w:rPr>
          <w:rFonts w:ascii="Times New Roman" w:cs="Times New Roman" w:eastAsia="Times New Roman" w:hAnsi="Times New Roman"/>
          <w:sz w:val="18"/>
          <w:szCs w:val="18"/>
          <w:color w:val="auto"/>
        </w:rPr>
      </w:pPr>
    </w:p>
    <w:p>
      <w:pPr>
        <w:ind w:right="20" w:firstLine="436"/>
        <w:spacing w:after="0" w:line="282" w:lineRule="auto"/>
        <w:tabs>
          <w:tab w:leader="none" w:pos="68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optional redemption date is on or after a Regular Record Date and on or before the related Interest Payment Date, the accrued and unpaid interest, if any, will be paid to the person in whose name the security is registered at the close of business on such Regular Record Date.</w:t>
      </w:r>
    </w:p>
    <w:p>
      <w:pPr>
        <w:spacing w:after="0" w:line="53" w:lineRule="exact"/>
        <w:rPr>
          <w:rFonts w:ascii="Times New Roman" w:cs="Times New Roman" w:eastAsia="Times New Roman" w:hAnsi="Times New Roman"/>
          <w:sz w:val="18"/>
          <w:szCs w:val="18"/>
          <w:color w:val="auto"/>
        </w:rPr>
      </w:pPr>
    </w:p>
    <w:p>
      <w:pPr>
        <w:ind w:right="520" w:firstLine="436"/>
        <w:spacing w:after="0" w:line="282" w:lineRule="auto"/>
        <w:tabs>
          <w:tab w:leader="none" w:pos="6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w:t>
      </w:r>
    </w:p>
    <w:p>
      <w:pPr>
        <w:spacing w:after="0" w:line="53" w:lineRule="exact"/>
        <w:rPr>
          <w:rFonts w:ascii="Times New Roman" w:cs="Times New Roman" w:eastAsia="Times New Roman" w:hAnsi="Times New Roman"/>
          <w:sz w:val="18"/>
          <w:szCs w:val="18"/>
          <w:color w:val="auto"/>
        </w:rPr>
      </w:pPr>
    </w:p>
    <w:p>
      <w:pPr>
        <w:ind w:right="620" w:firstLine="436"/>
        <w:spacing w:after="0" w:line="282" w:lineRule="auto"/>
        <w:tabs>
          <w:tab w:leader="none" w:pos="68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pursuant to this Section 3.02 shall be made pursuant to Section 3.01 hereof and the provisions of Article 9 of the Base Indenture.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3.03. M</w:t>
      </w:r>
      <w:r>
        <w:rPr>
          <w:rFonts w:ascii="Times New Roman" w:cs="Times New Roman" w:eastAsia="Times New Roman" w:hAnsi="Times New Roman"/>
          <w:sz w:val="14"/>
          <w:szCs w:val="14"/>
          <w:b w:val="1"/>
          <w:bCs w:val="1"/>
          <w:color w:val="auto"/>
        </w:rPr>
        <w:t>ANDATORY</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EDEMPTION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shall not be required to make mandatory redemption or sinking fund payments with respect to the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3.04. R</w:t>
      </w:r>
      <w:r>
        <w:rPr>
          <w:rFonts w:ascii="Times New Roman" w:cs="Times New Roman" w:eastAsia="Times New Roman" w:hAnsi="Times New Roman"/>
          <w:sz w:val="14"/>
          <w:szCs w:val="14"/>
          <w:b w:val="1"/>
          <w:bCs w:val="1"/>
          <w:color w:val="auto"/>
        </w:rPr>
        <w:t>EDEMPTION FOR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AX</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EASONS</w:t>
      </w:r>
    </w:p>
    <w:p>
      <w:pPr>
        <w:spacing w:after="0" w:line="121"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If, as a result of any change in, or amendment to, the laws (or any regulations or rulings promulgated under the laws) of the United States (or any political subdivision of or taxing authority in the United States), or any change in, or amendment to, an official position regarding the application or interpretation of such laws, regulations or rulings, which change or amendment is announced or becomes effective on or after the date of this Supplemental Indenture, the Company becomes or, based upon a written opinion of independent counsel selected by the Company, there is a substantial probability that the Company will become, obligated to pay additional amounts as described under Section 2.14 with respect to any series of the Securities, then the Company may at any time at its option redeem, in whole, but not in part, the applicable series of Securities on not less than 30 nor more than 60 days’ prior notice, at a redemption price equal to 100% of their principal amount, together with accrued and unpaid interest on the Securities to, but not including, the date fixed for redemption.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 COVENANTS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4.01. A</w:t>
      </w:r>
      <w:r>
        <w:rPr>
          <w:rFonts w:ascii="Times New Roman" w:cs="Times New Roman" w:eastAsia="Times New Roman" w:hAnsi="Times New Roman"/>
          <w:sz w:val="14"/>
          <w:szCs w:val="14"/>
          <w:b w:val="1"/>
          <w:bCs w:val="1"/>
          <w:color w:val="auto"/>
        </w:rPr>
        <w:t>DDITIONAL</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OVENANTS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addition to those Covenants set forth in Article 4 of the Base Indenture, the Company shall comply with the following covenants:</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 Limitation on Liens.</w:t>
      </w:r>
    </w:p>
    <w:p>
      <w:pPr>
        <w:spacing w:after="0" w:line="229"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The Company shall not, and shall not permit any of its Subsidiaries to, allow any Lien on any of the Company’s or its Subsidiaries’ property or assets (which includes Capital Stock) securing Indebtedness, unless the Lien secures the Securities equally and ratably with, or prior to, any other Indebtedness secured by such Lien, so long as such other Indebtedness is so secured, other than Permitted Liens.</w:t>
      </w:r>
    </w:p>
    <w:p>
      <w:pPr>
        <w:spacing w:after="0" w:line="176"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Notwithstanding the foregoing, the Company may, and may permit any of its Subsidiaries to, incur Liens securing Indebtedness without equally and ratably securing the Securities if, after giving effect to the incurrence of such Liens, the aggregate amount (without duplication) of the Indebtedness secured by Liens (other than Permitted Liens) on the property or assets (which includes Capital Stock) of the Company and its Subsidiaries shall not exceed the Permitted Amount at the time of the incurrence of such Liens (it being understood that Liens securing SpectraSite ABS Facility shall be deemed to be incurred pursuant to this paragraph). For the avoidance of doubt, “incur” means to create, incur, issue, assume, guarantee or otherwise become directly liable, contingently or otherwise.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24" w:name="page25"/>
    <w:bookmarkEnd w:id="24"/>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Repurchase of the Securities Upon a Change of Control Triggering Event.</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Upon the occurrence of a Change of Control Triggering Event, each Holder of Securities shall have the right to require the Company to repurchase all or any part, equal to €100,000 or an integral multiple of €1,000 thereafter, of that Holder’s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unpurchased portion of the Securities shall equal €100,000 or an integral multiple of €1,000 thereafter, pursuant to an offer (the “</w:t>
      </w:r>
      <w:r>
        <w:rPr>
          <w:rFonts w:ascii="Times New Roman" w:cs="Times New Roman" w:eastAsia="Times New Roman" w:hAnsi="Times New Roman"/>
          <w:sz w:val="18"/>
          <w:szCs w:val="18"/>
          <w:b w:val="1"/>
          <w:bCs w:val="1"/>
          <w:color w:val="auto"/>
        </w:rPr>
        <w:t>Change of Control Offer</w:t>
      </w:r>
      <w:r>
        <w:rPr>
          <w:rFonts w:ascii="Times New Roman" w:cs="Times New Roman" w:eastAsia="Times New Roman" w:hAnsi="Times New Roman"/>
          <w:sz w:val="18"/>
          <w:szCs w:val="18"/>
          <w:color w:val="auto"/>
        </w:rPr>
        <w:t>”) on the terms set forth in this Indenture at an offer price in cash equal to 101% of the aggregate principal amount of Securities repurchased plus accrued and unpaid interest on the Securities up to but excluding the applicable date of repurchase (the “</w:t>
      </w:r>
      <w:r>
        <w:rPr>
          <w:rFonts w:ascii="Times New Roman" w:cs="Times New Roman" w:eastAsia="Times New Roman" w:hAnsi="Times New Roman"/>
          <w:sz w:val="18"/>
          <w:szCs w:val="18"/>
          <w:b w:val="1"/>
          <w:bCs w:val="1"/>
          <w:color w:val="auto"/>
        </w:rPr>
        <w:t>Change of Control Payment</w:t>
      </w:r>
      <w:r>
        <w:rPr>
          <w:rFonts w:ascii="Times New Roman" w:cs="Times New Roman" w:eastAsia="Times New Roman" w:hAnsi="Times New Roman"/>
          <w:sz w:val="18"/>
          <w:szCs w:val="18"/>
          <w:color w:val="auto"/>
        </w:rPr>
        <w:t>”). Within 30 days following any Change of Control Triggering Event, if the Company had not, prior to the Change of Control Triggering Event, sent a redemption notice for all the Securities in connection with an optional redemption permitted by Section 3.02 hereof, the Company shall give a notice to each registered Holder briefly describing the transaction or transactions that constitute a Change of Control Triggering Event and offering to repurchase Securities on the date specified in such notice (the “</w:t>
      </w:r>
      <w:r>
        <w:rPr>
          <w:rFonts w:ascii="Times New Roman" w:cs="Times New Roman" w:eastAsia="Times New Roman" w:hAnsi="Times New Roman"/>
          <w:sz w:val="18"/>
          <w:szCs w:val="18"/>
          <w:b w:val="1"/>
          <w:bCs w:val="1"/>
          <w:color w:val="auto"/>
        </w:rPr>
        <w:t>Change of Control Payment Date</w:t>
      </w:r>
      <w:r>
        <w:rPr>
          <w:rFonts w:ascii="Times New Roman" w:cs="Times New Roman" w:eastAsia="Times New Roman" w:hAnsi="Times New Roman"/>
          <w:sz w:val="18"/>
          <w:szCs w:val="18"/>
          <w:color w:val="auto"/>
        </w:rPr>
        <w:t>”), which date shall be no earlier than 30 days and no later than 60 days from the date the notice is given, pursuant to the procedures required by this Indenture and described in such notice.</w:t>
      </w:r>
    </w:p>
    <w:p>
      <w:pPr>
        <w:spacing w:after="0" w:line="194"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 Company shall comply with the requirements of Rule 14e-1 under the Exchange Act and any other securities laws and regulations thereunder to the extent such laws and regulations are applicable to any Change of Control Offer. To the extent that the provisions of any securities laws or regulations conflict with the provisions of this Section 4.01(b), the Company shall comply with the applicable securities laws and regulations and will not be deemed to have breached its obligations under the provisions of this Section 4.01(b) by virtue of such conflict.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the Change of Control Payment Date, the Company shall, to the extent lawful:</w:t>
      </w:r>
    </w:p>
    <w:p>
      <w:pPr>
        <w:spacing w:after="0" w:line="117" w:lineRule="exact"/>
        <w:rPr>
          <w:sz w:val="20"/>
          <w:szCs w:val="20"/>
          <w:color w:val="auto"/>
        </w:rPr>
      </w:pPr>
    </w:p>
    <w:p>
      <w:pPr>
        <w:ind w:left="1120" w:hanging="261"/>
        <w:spacing w:after="0"/>
        <w:tabs>
          <w:tab w:leader="none" w:pos="1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Securities or portions thereof properly tendered pursuant to the Change of Control Offer;</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1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Payment in respect of all Securities or portions thereof properly tendered; and</w:t>
      </w:r>
    </w:p>
    <w:p>
      <w:pPr>
        <w:spacing w:after="0" w:line="53" w:lineRule="exact"/>
        <w:rPr>
          <w:rFonts w:ascii="Times New Roman" w:cs="Times New Roman" w:eastAsia="Times New Roman" w:hAnsi="Times New Roman"/>
          <w:sz w:val="18"/>
          <w:szCs w:val="18"/>
          <w:color w:val="auto"/>
        </w:rPr>
      </w:pPr>
    </w:p>
    <w:p>
      <w:pPr>
        <w:ind w:left="440" w:right="460" w:firstLine="419"/>
        <w:spacing w:after="0" w:line="282" w:lineRule="auto"/>
        <w:tabs>
          <w:tab w:leader="none" w:pos="111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Securities so accepted together with an Officers’ Certificate stating the aggregate principal amount of Securities or portions thereof being purchased by the Company.</w:t>
      </w:r>
    </w:p>
    <w:p>
      <w:pPr>
        <w:spacing w:after="0" w:line="162"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Paying Agent will promptly mail to each registered Holder of Securities so tendered the Change of Control Payment for such Securities, and the Trustee will promptly authenticate and mail (at the Company’s expense), or cause to be transferred by book entry, to each Holder a new Security equal in principal amount to any unpurchased portion of the Securities surrendered, if 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such new Security shall be in a principal amount of €100,000 or an integral multiple of €1,000 thereafter. Any Security so accepted for payment shall cease to accrue interest on and after the Change of Control Payment Date.</w:t>
      </w:r>
    </w:p>
    <w:p>
      <w:pPr>
        <w:spacing w:after="0" w:line="183"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This Section 4.01(b) shall be applicable, except as described in this Section 4.01(b), regardless of whether or not any other provisions of this Indenture are applicable.</w:t>
      </w:r>
    </w:p>
    <w:p>
      <w:pPr>
        <w:spacing w:after="0" w:line="16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 Company shall not be required to make a Change of Control Offer upon a Change of Control Triggering Event if a third party makes the Change of Control Offer in the manner, at the times and otherwise in compliance with the requirements set forth in this Section 4.01(b) applicable to a Change of Control Offer made by the Company and purchases all Securities properly tendered and not withdrawn under the Change of Control Offer.</w:t>
      </w:r>
    </w:p>
    <w:p>
      <w:pPr>
        <w:spacing w:after="0" w:line="180"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The Company may make a Change of Control Offer in advance of a Change of Control Triggering Event, and conditional upon the occurrence of such Change of Control Triggering Event, if a definitive agreement is in place for the Change of Control Triggering Event at the time of making the Change of Control Offer.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66" w:right="459" w:bottom="1440" w:gutter="0" w:footer="0" w:header="0"/>
        </w:sectPr>
      </w:pPr>
    </w:p>
    <w:bookmarkStart w:id="25" w:name="page26"/>
    <w:bookmarkEnd w:id="2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 MISCELLANEOUS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5.01. C</w:t>
      </w:r>
      <w:r>
        <w:rPr>
          <w:rFonts w:ascii="Times New Roman" w:cs="Times New Roman" w:eastAsia="Times New Roman" w:hAnsi="Times New Roman"/>
          <w:sz w:val="14"/>
          <w:szCs w:val="14"/>
          <w:b w:val="1"/>
          <w:bCs w:val="1"/>
          <w:color w:val="auto"/>
        </w:rPr>
        <w:t>ONFLICT OF</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NY</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ROVISION OF</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NDENTURE WITH</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RUST</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NDENTURE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CT</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If and to the extent that any provision of this Supplemental Indenture limits, qualifies or conflicts with another provision included in this Supplemental Indenture by operation of Sections 310 to 317, inclusive, of the Trust Indenture Act (an “incorporated provision”), such incorporated provision shall control.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5.02. D</w:t>
      </w:r>
      <w:r>
        <w:rPr>
          <w:rFonts w:ascii="Times New Roman" w:cs="Times New Roman" w:eastAsia="Times New Roman" w:hAnsi="Times New Roman"/>
          <w:sz w:val="14"/>
          <w:szCs w:val="14"/>
          <w:b w:val="1"/>
          <w:bCs w:val="1"/>
          <w:color w:val="auto"/>
        </w:rPr>
        <w:t>UPLICATE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RIGINALS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right="520" w:firstLine="440"/>
        <w:spacing w:after="0" w:line="266" w:lineRule="auto"/>
        <w:rPr>
          <w:sz w:val="20"/>
          <w:szCs w:val="20"/>
          <w:color w:val="auto"/>
        </w:rPr>
      </w:pPr>
      <w:r>
        <w:rPr>
          <w:rFonts w:ascii="Times New Roman" w:cs="Times New Roman" w:eastAsia="Times New Roman" w:hAnsi="Times New Roman"/>
          <w:sz w:val="18"/>
          <w:szCs w:val="18"/>
          <w:color w:val="auto"/>
        </w:rPr>
        <w:t>The parties may sign any number of copies of this Supplemental Indenture. Each signed copy shall be an original, but all of them together represent the same agreement. Delivery of an executed counterpart by facsimile shall be effective as delivery of a manually executed counterpart thereof.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5.03. N</w:t>
      </w:r>
      <w:r>
        <w:rPr>
          <w:rFonts w:ascii="Times New Roman" w:cs="Times New Roman" w:eastAsia="Times New Roman" w:hAnsi="Times New Roman"/>
          <w:sz w:val="14"/>
          <w:szCs w:val="14"/>
          <w:b w:val="1"/>
          <w:bCs w:val="1"/>
          <w:color w:val="auto"/>
        </w:rPr>
        <w:t>EW</w:t>
      </w:r>
      <w:r>
        <w:rPr>
          <w:rFonts w:ascii="Times New Roman" w:cs="Times New Roman" w:eastAsia="Times New Roman" w:hAnsi="Times New Roman"/>
          <w:sz w:val="18"/>
          <w:szCs w:val="18"/>
          <w:b w:val="1"/>
          <w:bCs w:val="1"/>
          <w:color w:val="auto"/>
        </w:rPr>
        <w:t xml:space="preserve"> Y</w:t>
      </w:r>
      <w:r>
        <w:rPr>
          <w:rFonts w:ascii="Times New Roman" w:cs="Times New Roman" w:eastAsia="Times New Roman" w:hAnsi="Times New Roman"/>
          <w:sz w:val="14"/>
          <w:szCs w:val="14"/>
          <w:b w:val="1"/>
          <w:bCs w:val="1"/>
          <w:color w:val="auto"/>
        </w:rPr>
        <w:t>ORK</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AW TO</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OVERN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THE INTERNAL LAW OF THE STATE OF NEW YORK SHALL GOVERN AND BE USED TO CONSTRUE THIS SUPPLEMENTAL INDENTURE AND THE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5.04. N</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DVERSE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NTERPRETATION OF</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This Supplemental Indenture and the Base Indenture may not be used to interpret another indenture, loan or debt agreement of the Company or its Subsidiaries or of any other Person. Any such indenture, loan or debt agreement may not be used to interpret this Supplemental Indenture or the Base Indenture.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5.05. S</w:t>
      </w:r>
      <w:r>
        <w:rPr>
          <w:rFonts w:ascii="Times New Roman" w:cs="Times New Roman" w:eastAsia="Times New Roman" w:hAnsi="Times New Roman"/>
          <w:sz w:val="14"/>
          <w:szCs w:val="14"/>
          <w:b w:val="1"/>
          <w:bCs w:val="1"/>
          <w:color w:val="auto"/>
        </w:rPr>
        <w:t>UCCESSORS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SSIGNS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4"/>
          <w:szCs w:val="14"/>
          <w:b w:val="1"/>
          <w:bCs w:val="1"/>
          <w:color w:val="auto"/>
        </w:rPr>
        <w:t>RUSTEE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AYING</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GENT</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OUND BY</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UPPLEMENTAL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NDENTURE</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All the covenants, stipulations, promises and agreements contained in this Supplemental Indenture by or on behalf of the Company shall bind its successors and assigns, whether so expressed or not. All the covenants, stipulations, promises and agreements contained in this Supplemental Indenture by or on behalf of the Trustee shall bind its successors and assigns, whether so expressed or not. All the covenants, stipulations, promises and agreements contained in this Supplemental Indenture by or on behalf of the Paying Agent shall bind its successors and assigns, whether so expressed or not.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5.06. S</w:t>
      </w:r>
      <w:r>
        <w:rPr>
          <w:rFonts w:ascii="Times New Roman" w:cs="Times New Roman" w:eastAsia="Times New Roman" w:hAnsi="Times New Roman"/>
          <w:sz w:val="14"/>
          <w:szCs w:val="14"/>
          <w:b w:val="1"/>
          <w:bCs w:val="1"/>
          <w:color w:val="auto"/>
        </w:rPr>
        <w:t>EVERABILITY</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If any provision of this Supplemental shall be held to be invalid, illegal or unenforceable under applicable law, then the remaining provisions hereof shall be construed as though such invalid, illegal or unenforceable provision were not contained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5.07. E</w:t>
      </w:r>
      <w:r>
        <w:rPr>
          <w:rFonts w:ascii="Times New Roman" w:cs="Times New Roman" w:eastAsia="Times New Roman" w:hAnsi="Times New Roman"/>
          <w:sz w:val="14"/>
          <w:szCs w:val="14"/>
          <w:b w:val="1"/>
          <w:bCs w:val="1"/>
          <w:color w:val="auto"/>
        </w:rPr>
        <w:t>FFECT OF</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EADINGS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The Article and Section headings in this Supplemental Indenture and the Table of Contents are for convenience only and shall not affect the construction hereof.</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The Remainder of This Page Intentionally Left Blank; Signature Page Follows</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40"/>
          </w:cols>
          <w:pgMar w:left="440" w:top="266" w:right="5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7"/>
          <w:szCs w:val="17"/>
          <w:color w:val="auto"/>
        </w:rPr>
        <w:t>, the parties hereto have caused this Supplemental Indenture to be duly executed as of the date first above written.</w:t>
      </w:r>
    </w:p>
    <w:p>
      <w:pPr>
        <w:spacing w:after="0" w:line="26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AMERICAN TOWER CORPORATION</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Ruth T. Dowling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17145</wp:posOffset>
            </wp:positionV>
            <wp:extent cx="25717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  Ruth T. Dowling</w:t>
      </w:r>
    </w:p>
    <w:p>
      <w:pPr>
        <w:spacing w:after="0" w:line="27" w:lineRule="exact"/>
        <w:rPr>
          <w:sz w:val="20"/>
          <w:szCs w:val="20"/>
          <w:color w:val="auto"/>
        </w:rPr>
      </w:pPr>
    </w:p>
    <w:p>
      <w:pPr>
        <w:ind w:left="6520"/>
        <w:spacing w:after="0"/>
        <w:tabs>
          <w:tab w:leader="none" w:pos="7120" w:val="left"/>
        </w:tabs>
        <w:rPr>
          <w:sz w:val="20"/>
          <w:szCs w:val="20"/>
          <w:color w:val="auto"/>
        </w:rPr>
      </w:pPr>
      <w:r>
        <w:rPr>
          <w:rFonts w:ascii="Times New Roman" w:cs="Times New Roman" w:eastAsia="Times New Roman" w:hAnsi="Times New Roman"/>
          <w:sz w:val="18"/>
          <w:szCs w:val="18"/>
          <w:color w:val="auto"/>
        </w:rPr>
        <w:t>Title:</w:t>
        <w:tab/>
        <w:t>Executive Vice President,</w:t>
      </w:r>
    </w:p>
    <w:p>
      <w:pPr>
        <w:spacing w:after="0" w:line="9"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Chief Administrative Officer,</w:t>
      </w:r>
    </w:p>
    <w:p>
      <w:pPr>
        <w:spacing w:after="0" w:line="9"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U.S. BANK TRUST COMPANY, NATIONAL</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ASSOCIATION, AS TRUSTEE</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Ivy L. Wegener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17145</wp:posOffset>
            </wp:positionV>
            <wp:extent cx="25717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  Ivy L. Wegener</w:t>
      </w:r>
    </w:p>
    <w:p>
      <w:pPr>
        <w:spacing w:after="0" w:line="27" w:lineRule="exact"/>
        <w:rPr>
          <w:sz w:val="20"/>
          <w:szCs w:val="20"/>
          <w:color w:val="auto"/>
        </w:rPr>
      </w:pPr>
    </w:p>
    <w:p>
      <w:pPr>
        <w:ind w:left="6520"/>
        <w:spacing w:after="0"/>
        <w:tabs>
          <w:tab w:leader="none" w:pos="71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U.S. BANK EUROPE DAC, UK BRANCH</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AS PAYING AGENT</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Shobita Choudhury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17145</wp:posOffset>
            </wp:positionV>
            <wp:extent cx="25717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  Shobita Choudhury</w:t>
      </w:r>
    </w:p>
    <w:p>
      <w:pPr>
        <w:spacing w:after="0" w:line="27" w:lineRule="exact"/>
        <w:rPr>
          <w:sz w:val="20"/>
          <w:szCs w:val="20"/>
          <w:color w:val="auto"/>
        </w:rPr>
      </w:pPr>
    </w:p>
    <w:p>
      <w:pPr>
        <w:ind w:left="6520"/>
        <w:spacing w:after="0"/>
        <w:tabs>
          <w:tab w:leader="none" w:pos="7120" w:val="left"/>
        </w:tabs>
        <w:rPr>
          <w:sz w:val="20"/>
          <w:szCs w:val="20"/>
          <w:color w:val="auto"/>
        </w:rPr>
      </w:pPr>
      <w:r>
        <w:rPr>
          <w:rFonts w:ascii="Times New Roman" w:cs="Times New Roman" w:eastAsia="Times New Roman" w:hAnsi="Times New Roman"/>
          <w:sz w:val="18"/>
          <w:szCs w:val="18"/>
          <w:color w:val="auto"/>
        </w:rPr>
        <w:t>Title:</w:t>
        <w:tab/>
        <w:t>Authorised Signatory</w:t>
      </w:r>
    </w:p>
    <w:p>
      <w:pPr>
        <w:spacing w:after="0" w:line="13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Supplemental Indenture</w:t>
      </w:r>
      <w:r>
        <w:rPr>
          <w:rFonts w:ascii="Times New Roman" w:cs="Times New Roman" w:eastAsia="Times New Roman" w:hAnsi="Times New Roman"/>
          <w:sz w:val="18"/>
          <w:szCs w:val="18"/>
          <w:color w:val="auto"/>
        </w:rPr>
        <w:t>]</w:t>
      </w:r>
    </w:p>
    <w:p>
      <w:pPr>
        <w:sectPr>
          <w:pgSz w:w="11900" w:h="16838" w:orient="portrait"/>
          <w:cols w:equalWidth="0" w:num="1">
            <w:col w:w="10220"/>
          </w:cols>
          <w:pgMar w:left="880" w:top="266" w:right="79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[Face of Security]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AMERICAN TOWER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No. _______</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[INSERT GLOBAL SECURITY LEGEND AS REQUIRED]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4.000% Senior Notes due 2033</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No. 03027X CS7</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ISIN No. XS3389205470</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COMMON CODE: 338920547</w:t>
      </w:r>
    </w:p>
    <w:p>
      <w:pPr>
        <w:spacing w:after="0" w:line="221" w:lineRule="exact"/>
        <w:rPr>
          <w:sz w:val="20"/>
          <w:szCs w:val="20"/>
          <w:color w:val="auto"/>
        </w:rPr>
      </w:pPr>
    </w:p>
    <w:p>
      <w:pPr>
        <w:ind w:right="400" w:firstLine="440"/>
        <w:spacing w:after="0" w:line="262" w:lineRule="auto"/>
        <w:rPr>
          <w:sz w:val="20"/>
          <w:szCs w:val="20"/>
          <w:color w:val="auto"/>
        </w:rPr>
      </w:pPr>
      <w:r>
        <w:rPr>
          <w:rFonts w:ascii="Times New Roman" w:cs="Times New Roman" w:eastAsia="Times New Roman" w:hAnsi="Times New Roman"/>
          <w:sz w:val="18"/>
          <w:szCs w:val="18"/>
          <w:color w:val="auto"/>
        </w:rPr>
        <w:t>American Tower Corporation,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for value received, hereby promises to pay to USB Nominees (UK) Limited, as nominee of U.S. Bank Europe DAC, as common depositary, or its registered assigns, the principal sum of      euros (€      ) on May 27, 2026 and to pay interest thereon, as provided on the reverse hereof, until the principal and any unpaid and accrued interest are paid or duly provided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6108065</wp:posOffset>
            </wp:positionH>
            <wp:positionV relativeFrom="paragraph">
              <wp:posOffset>-310515</wp:posOffset>
            </wp:positionV>
            <wp:extent cx="3429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Payment Date: September 1, with the first payment to be made on September 1, 2026.</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Regular Record Date: August 15.</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provisions on the back of this certificate are incorporated as if set forth on the face hereof.</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20"/>
          </w:cols>
          <w:pgMar w:left="440" w:top="266" w:right="439" w:bottom="1440" w:gutter="0" w:footer="0" w:header="0"/>
        </w:sectPr>
      </w:pPr>
    </w:p>
    <w:bookmarkStart w:id="28" w:name="page29"/>
    <w:bookmarkEnd w:id="28"/>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American Tower Corporation has caused this instrument to be duly signed.</w:t>
      </w:r>
    </w:p>
    <w:p>
      <w:pPr>
        <w:spacing w:after="0" w:line="25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AMERICAN TOWER CORPORATION</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27, 2026</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019"/>
          </w:cols>
          <w:pgMar w:left="440" w:top="266"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TRUSTEE’S CERTIFICATE OF AUTHENTICATION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is one of the Securities of the series designated therein referred to in the within-mentioned Indenture.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 as Trustee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17145</wp:posOffset>
            </wp:positionV>
            <wp:extent cx="23742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17145</wp:posOffset>
            </wp:positionV>
            <wp:extent cx="23742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019"/>
          </w:cols>
          <w:pgMar w:left="440" w:top="266" w:right="1440"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[REVERSE OF SECURITY]</w:t>
      </w:r>
    </w:p>
    <w:p>
      <w:pPr>
        <w:spacing w:after="0" w:line="22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u w:val="single" w:color="auto"/>
          <w:color w:val="auto"/>
        </w:rPr>
        <w:t>AMERICAN TOWER CORPORATION</w:t>
      </w:r>
    </w:p>
    <w:p>
      <w:pPr>
        <w:spacing w:after="0" w:line="11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4.000% Senior Notes due 2033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w:t>
      </w:r>
    </w:p>
    <w:p>
      <w:pPr>
        <w:spacing w:after="0" w:line="95" w:lineRule="exact"/>
        <w:rPr>
          <w:sz w:val="20"/>
          <w:szCs w:val="20"/>
          <w:color w:val="auto"/>
        </w:rPr>
      </w:pPr>
    </w:p>
    <w:p>
      <w:pPr>
        <w:ind w:firstLine="436"/>
        <w:spacing w:after="0" w:line="269" w:lineRule="auto"/>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Interest</w:t>
      </w:r>
      <w:r>
        <w:rPr>
          <w:rFonts w:ascii="Times New Roman" w:cs="Times New Roman" w:eastAsia="Times New Roman" w:hAnsi="Times New Roman"/>
          <w:sz w:val="17"/>
          <w:szCs w:val="17"/>
          <w:color w:val="auto"/>
        </w:rPr>
        <w:t>. American Tower Corporation, a Delaware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promises to pay interest on the principal amount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Security at the rate </w:t>
      </w:r>
      <w:r>
        <w:rPr>
          <w:rFonts w:ascii="Times New Roman" w:cs="Times New Roman" w:eastAsia="Times New Roman" w:hAnsi="Times New Roman"/>
          <w:sz w:val="17"/>
          <w:szCs w:val="17"/>
          <w:i w:val="1"/>
          <w:iCs w:val="1"/>
          <w:color w:val="auto"/>
        </w:rPr>
        <w:t>per annum</w:t>
      </w:r>
      <w:r>
        <w:rPr>
          <w:rFonts w:ascii="Times New Roman" w:cs="Times New Roman" w:eastAsia="Times New Roman" w:hAnsi="Times New Roman"/>
          <w:sz w:val="17"/>
          <w:szCs w:val="17"/>
          <w:color w:val="auto"/>
        </w:rPr>
        <w:t xml:space="preserve"> shown above. The Company will pay interest, payable annually in arrears, on September 1 of each year, with the first payment to be made on September 1, 2026 (except that, if any such date is not a Business Day, then payment may be made on the next succeeding Business Day and no interest shall accrue for the period after such date). Interest on the Securities will accrue on the principal amount from, and including, the most recent date to which interest has been paid or provided for or, if no interest has been paid, from, and including, May 27, 2026 in each case to, but excluding, the next Interest Payment Date or the Stated Maturity for the payment of principal on the Securities, as the case may be;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there is no existing Default in the payment of interest, the Company shall pay interest (including post-petition interest in any proceeding under any Bankruptcy Law) on overdue principal and premium, if any, from time to time on demand at a rate that is 1% per annum in excess of the rate then in effect; it shall pay interest (including post-petition interest in any proceeding under any Bankruptcy Law) on overdue installments of interest (without regard to any applicable grace periods) from time to time on demand at the same rate to the extent lawful. Interest shall be computed on the basis of the actual number of days in the period for which interest is being calculated and the actual number of days from and including the last date on which interest was paid on the Securities (or May 27, 2026 if no interest has been paid on the Securities), to but excluding the next scheduled Interest Payment Date. This payment convention is referred to as ACTUAL/ACTUAL (ICMA) as defined in the rulebook of the International Capital Market Association.</w:t>
      </w:r>
    </w:p>
    <w:p>
      <w:pPr>
        <w:spacing w:after="0" w:line="67" w:lineRule="exact"/>
        <w:rPr>
          <w:rFonts w:ascii="Times New Roman" w:cs="Times New Roman" w:eastAsia="Times New Roman" w:hAnsi="Times New Roman"/>
          <w:sz w:val="17"/>
          <w:szCs w:val="17"/>
          <w:color w:val="auto"/>
        </w:rPr>
      </w:pPr>
    </w:p>
    <w:p>
      <w:pPr>
        <w:ind w:left="620" w:hanging="184"/>
        <w:spacing w:after="0"/>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Maturity</w:t>
      </w:r>
      <w:r>
        <w:rPr>
          <w:rFonts w:ascii="Times New Roman" w:cs="Times New Roman" w:eastAsia="Times New Roman" w:hAnsi="Times New Roman"/>
          <w:sz w:val="18"/>
          <w:szCs w:val="18"/>
          <w:color w:val="auto"/>
        </w:rPr>
        <w:t>. The Securities will mature on September 1, 2033.</w:t>
      </w:r>
    </w:p>
    <w:p>
      <w:pPr>
        <w:spacing w:after="0" w:line="117" w:lineRule="exact"/>
        <w:rPr>
          <w:rFonts w:ascii="Times New Roman" w:cs="Times New Roman" w:eastAsia="Times New Roman" w:hAnsi="Times New Roman"/>
          <w:sz w:val="18"/>
          <w:szCs w:val="18"/>
          <w:color w:val="auto"/>
        </w:rPr>
      </w:pPr>
    </w:p>
    <w:p>
      <w:pPr>
        <w:ind w:firstLine="436"/>
        <w:spacing w:after="0" w:line="273" w:lineRule="auto"/>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Method of Payment</w:t>
      </w:r>
      <w:r>
        <w:rPr>
          <w:rFonts w:ascii="Times New Roman" w:cs="Times New Roman" w:eastAsia="Times New Roman" w:hAnsi="Times New Roman"/>
          <w:sz w:val="17"/>
          <w:szCs w:val="17"/>
          <w:color w:val="auto"/>
        </w:rPr>
        <w:t>. Except as provided in the Indenture (as defined below), the Company shall pay interest on the Securities to the persons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who are Holders of record of Securities at the close of business on the Regular Record Date set forth on the face of this Security next preceding the applicable Interest Payment Date. Holders must surrender Securities to a Paying Agent to collect the principal amount. The Company shall pay, in euros, all amounts due in cash with respect to the Securities, which amounts shall be paid (A) in the case this Security is a Global Security, by wire transfer of immediately available funds to the account designated by the Common Depositary for the Securities or its nominee; and (B) in the case this Security is a Physical Security, by mailing a check to the address of the relevant Holder set forth in the Security Register for the Securities. The Company shall pay, in cash, interest on any overdue amount (including, to the extent permitted by applicable law, overdue interest) at the rate borne by the Securities.</w:t>
      </w:r>
    </w:p>
    <w:p>
      <w:pPr>
        <w:spacing w:after="0" w:line="63" w:lineRule="exact"/>
        <w:rPr>
          <w:rFonts w:ascii="Times New Roman" w:cs="Times New Roman" w:eastAsia="Times New Roman" w:hAnsi="Times New Roman"/>
          <w:sz w:val="17"/>
          <w:szCs w:val="17"/>
          <w:color w:val="auto"/>
        </w:rPr>
      </w:pPr>
    </w:p>
    <w:p>
      <w:pPr>
        <w:ind w:right="220" w:firstLine="436"/>
        <w:spacing w:after="0" w:line="268" w:lineRule="auto"/>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Paying Agent and Registrar</w:t>
      </w:r>
      <w:r>
        <w:rPr>
          <w:rFonts w:ascii="Times New Roman" w:cs="Times New Roman" w:eastAsia="Times New Roman" w:hAnsi="Times New Roman"/>
          <w:sz w:val="18"/>
          <w:szCs w:val="18"/>
          <w:color w:val="auto"/>
        </w:rPr>
        <w:t>. Initially, U.S. Bank Europe DAC, UK Branch (the “</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shall act as Paying Agent, and U.S. 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 Company, National Association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shall act as Registrar. The Company may change any Paying Agent or Registrar upon prior written notice to the Paying Agent or the Trustee, respectively. The Company or any of its Subsidiaries may act in any such capacity.</w:t>
      </w:r>
    </w:p>
    <w:p>
      <w:pPr>
        <w:spacing w:after="0" w:line="62" w:lineRule="exact"/>
        <w:rPr>
          <w:rFonts w:ascii="Times New Roman" w:cs="Times New Roman" w:eastAsia="Times New Roman" w:hAnsi="Times New Roman"/>
          <w:sz w:val="18"/>
          <w:szCs w:val="18"/>
          <w:color w:val="auto"/>
        </w:rPr>
      </w:pPr>
    </w:p>
    <w:p>
      <w:pPr>
        <w:ind w:right="40" w:firstLine="436"/>
        <w:spacing w:after="0" w:line="255" w:lineRule="auto"/>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The Company issued the Securities under an indenture dated as of June 2, 2025 (as amended, supplemented or otherwise modified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time to time prior to the date hereof,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between the Company and the Trustee, as amended, supplemented or otherwise modified by the Supplemental Indenture No. 2 dated as of May 27, 2026 (the “</w:t>
      </w: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between the Company, the Trustee and the Paying Agent (the Base Indenture, as amended, supplemented or otherwise modified by the Supplemental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The terms of the Securities include those stated in the Indenture and those made part of the Indenture by reference to the Trust Indenture Act of 1939 (15 U.S. Code §§ 77aaa-77bbbb) (the “</w:t>
      </w:r>
      <w:r>
        <w:rPr>
          <w:rFonts w:ascii="Times New Roman" w:cs="Times New Roman" w:eastAsia="Times New Roman" w:hAnsi="Times New Roman"/>
          <w:sz w:val="18"/>
          <w:szCs w:val="18"/>
          <w:b w:val="1"/>
          <w:bCs w:val="1"/>
          <w:color w:val="auto"/>
        </w:rPr>
        <w:t>TIA</w:t>
      </w:r>
      <w:r>
        <w:rPr>
          <w:rFonts w:ascii="Times New Roman" w:cs="Times New Roman" w:eastAsia="Times New Roman" w:hAnsi="Times New Roman"/>
          <w:sz w:val="18"/>
          <w:szCs w:val="18"/>
          <w:color w:val="auto"/>
        </w:rPr>
        <w:t>”) as amended and in effect from time to time. The Securities are subject to all such terms, and Holders are referred to the Indenture and the TIA for a statement of such terms. To the extent any provision of this Security conflicts with the express provisions of the Indenture, the provisions of the Indenture shall govern and be controlling. The Securities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000"/>
          </w:cols>
          <w:pgMar w:left="440" w:top="270" w:right="459" w:bottom="1440" w:gutter="0" w:footer="0" w:header="0"/>
        </w:sectPr>
      </w:pPr>
    </w:p>
    <w:bookmarkStart w:id="31" w:name="page32"/>
    <w:bookmarkEnd w:id="31"/>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are general unsecured senior obligations of the Company. The Original Securities are limited to €750,000,000 aggregate principal amount, except as otherwise provided in the Indenture (except for Securities issued in substitution for destroyed, mutilated, lost or stolen Securities). Subject to the conditions set forth in the Indenture and without the consent of the Holders, the Company may issue Additional Securities. All Securities, including any Additional Securities, shall be treated as a single class of securities under the Indenture. Terms used herein without definition and that are defined in the Indenture have the meanings assigned to them in the Indenture.</w:t>
      </w:r>
    </w:p>
    <w:p>
      <w:pPr>
        <w:spacing w:after="0" w:line="71" w:lineRule="exact"/>
        <w:rPr>
          <w:sz w:val="20"/>
          <w:szCs w:val="20"/>
          <w:color w:val="auto"/>
        </w:rPr>
      </w:pPr>
    </w:p>
    <w:p>
      <w:pPr>
        <w:ind w:right="120" w:firstLine="436"/>
        <w:spacing w:after="0" w:line="286" w:lineRule="auto"/>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Optional Redemption</w:t>
      </w:r>
      <w:r>
        <w:rPr>
          <w:rFonts w:ascii="Times New Roman" w:cs="Times New Roman" w:eastAsia="Times New Roman" w:hAnsi="Times New Roman"/>
          <w:sz w:val="18"/>
          <w:szCs w:val="18"/>
          <w:color w:val="auto"/>
        </w:rPr>
        <w:t>. The Securities are redeemable at the Company’s election, in whole or in part, at any time and from time to time. If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redeems the Securities prior to the First Par Call Date, the Company will pay a redemption price equal to the greater of:</w:t>
      </w:r>
    </w:p>
    <w:p>
      <w:pPr>
        <w:spacing w:after="0" w:line="51" w:lineRule="exact"/>
        <w:rPr>
          <w:sz w:val="20"/>
          <w:szCs w:val="20"/>
          <w:color w:val="auto"/>
        </w:rPr>
      </w:pPr>
    </w:p>
    <w:p>
      <w:pPr>
        <w:ind w:left="700" w:hanging="264"/>
        <w:spacing w:after="0"/>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Securities to be redeemed then outstanding; and</w:t>
      </w:r>
    </w:p>
    <w:p>
      <w:pPr>
        <w:spacing w:after="0" w:line="117" w:lineRule="exact"/>
        <w:rPr>
          <w:rFonts w:ascii="Times New Roman" w:cs="Times New Roman" w:eastAsia="Times New Roman" w:hAnsi="Times New Roman"/>
          <w:sz w:val="18"/>
          <w:szCs w:val="18"/>
          <w:color w:val="auto"/>
        </w:rPr>
      </w:pPr>
    </w:p>
    <w:p>
      <w:pPr>
        <w:ind w:left="440" w:hanging="4"/>
        <w:spacing w:after="0" w:line="261" w:lineRule="auto"/>
        <w:tabs>
          <w:tab w:leader="none" w:pos="6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determined by an Independent Investment Banker, the sum of the present values of the remaining scheduled payments of principal and interest on the Securities to be redeemed that would be due if such Securities matured on the First Par Call Date (not including any portion of such payments of interest accrued to the date of redemption) discounted to the redemption date on an annual basis (ACTUAL/ACTUAL (ICMA)) at the applicable Comparable Government Bond Rate, plus 15 basis points;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in either of the above cases, accrued and unpaid interest to the date of redemption on the Securities to be redeemed.</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If the Company redeems the Securities on or after the First Par Call Date, the Company will pay a redemption price equal to 100% of the principal amount of the Securities to be redeemed plus accrued and unpaid interest to the redemption date.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actions and determinations in calculating the redemption price shall be conclusive and binding for all purposes, absent manifest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error.</w:t>
      </w:r>
    </w:p>
    <w:p>
      <w:pPr>
        <w:spacing w:after="0" w:line="207"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If the Company selects a redemption date that is on or after a Regular Record Date and on or before the related Interest Payment Date, the accrued and unpaid interest, if any, shall be paid to the person in whose name the Security is registered at the close of business on such Regular Record Date.</w:t>
      </w:r>
    </w:p>
    <w:p>
      <w:pPr>
        <w:spacing w:after="0" w:line="140" w:lineRule="exact"/>
        <w:rPr>
          <w:sz w:val="20"/>
          <w:szCs w:val="20"/>
          <w:color w:val="auto"/>
        </w:rPr>
      </w:pPr>
    </w:p>
    <w:p>
      <w:pPr>
        <w:ind w:right="420" w:firstLine="440"/>
        <w:spacing w:after="0" w:line="266" w:lineRule="auto"/>
        <w:rPr>
          <w:sz w:val="20"/>
          <w:szCs w:val="20"/>
          <w:color w:val="auto"/>
        </w:rPr>
      </w:pPr>
      <w:r>
        <w:rPr>
          <w:rFonts w:ascii="Times New Roman" w:cs="Times New Roman" w:eastAsia="Times New Roman" w:hAnsi="Times New Roman"/>
          <w:sz w:val="18"/>
          <w:szCs w:val="18"/>
          <w:color w:val="auto"/>
        </w:rPr>
        <w:t>The Company shall give a notice of redemption at least 10 days, but not more than 60 days, before the redemption date to each Holder of the Securities to be redeemed, except that redemption notices may be given more than 60 days prior to a redemption date if the notice is issued in connection with a defeasance of the Securities or a satisfaction and discharge of the Indenture.</w:t>
      </w:r>
    </w:p>
    <w:p>
      <w:pPr>
        <w:spacing w:after="0" w:line="176"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Unless the Company defaults in payment of the redemption price, on and after the redemption date, interest shall cease to accrue on the Securities or portions thereof called for redemption. Securities called for redemption become due on the date fixed for redemption.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purposes of the foregoing, the following terms have the following meanings: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Comparable Government Bond</w:t>
      </w:r>
      <w:r>
        <w:rPr>
          <w:rFonts w:ascii="Times New Roman" w:cs="Times New Roman" w:eastAsia="Times New Roman" w:hAnsi="Times New Roman"/>
          <w:sz w:val="18"/>
          <w:szCs w:val="18"/>
          <w:color w:val="auto"/>
        </w:rPr>
        <w:t>” means, in relation to any Comparable Government Bond Rate calculation a German government bond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Bundesanleihe</w:t>
      </w:r>
      <w:r>
        <w:rPr>
          <w:rFonts w:ascii="Times New Roman" w:cs="Times New Roman" w:eastAsia="Times New Roman" w:hAnsi="Times New Roman"/>
          <w:sz w:val="18"/>
          <w:szCs w:val="18"/>
          <w:color w:val="auto"/>
        </w:rPr>
        <w:t>) whose maturity is closest to the maturity of the applicable Securities, or if an Independent Investment Banker selected by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its discretion determines that such similar bond is not in issue, such other German government bond as such Independent Investment Banker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advice of three brokers of, and/or market makers in, German government bonds selected by such Independent Investment Banker, determine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appropriate for determining the Comparable Government Bond Rate.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0980"/>
          </w:cols>
          <w:pgMar w:left="440" w:top="270" w:right="479" w:bottom="1440" w:gutter="0" w:footer="0" w:header="0"/>
        </w:sectPr>
      </w:pPr>
    </w:p>
    <w:bookmarkStart w:id="32" w:name="page33"/>
    <w:bookmarkEnd w:id="32"/>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Comparable Government Bond Rate</w:t>
      </w:r>
      <w:r>
        <w:rPr>
          <w:rFonts w:ascii="Times New Roman" w:cs="Times New Roman" w:eastAsia="Times New Roman" w:hAnsi="Times New Roman"/>
          <w:sz w:val="18"/>
          <w:szCs w:val="18"/>
          <w:color w:val="auto"/>
        </w:rPr>
        <w:t>” means, with respect to any redemption date, the price, expressed as a percentage (rounded to three decimal places, with 0.0005 being rounded upwards), at which the gross redemption yield on the applicable Securities, if they were to be purchased at such price on the third Business Day prior to the date fixed for redemption, would be equal to the gross redemption yield on such Business Day of the Comparable Government Bond on the basis of the middle market price of the Comparable Government Bond prevailing at 11:00 a.m. (London time) on such Business Day as determined by an Independent Investment Banker selected by the Company.</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Par Call Date</w:t>
      </w:r>
      <w:r>
        <w:rPr>
          <w:rFonts w:ascii="Times New Roman" w:cs="Times New Roman" w:eastAsia="Times New Roman" w:hAnsi="Times New Roman"/>
          <w:sz w:val="18"/>
          <w:szCs w:val="18"/>
          <w:color w:val="auto"/>
        </w:rPr>
        <w:t>” means July 1, 2033.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Investment Banker</w:t>
      </w:r>
      <w:r>
        <w:rPr>
          <w:rFonts w:ascii="Times New Roman" w:cs="Times New Roman" w:eastAsia="Times New Roman" w:hAnsi="Times New Roman"/>
          <w:sz w:val="18"/>
          <w:szCs w:val="18"/>
          <w:color w:val="auto"/>
        </w:rPr>
        <w:t>” means one of the Reference Government Bond Dealers appointed by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Government Bond Dealer</w:t>
      </w:r>
      <w:r>
        <w:rPr>
          <w:rFonts w:ascii="Times New Roman" w:cs="Times New Roman" w:eastAsia="Times New Roman" w:hAnsi="Times New Roman"/>
          <w:sz w:val="18"/>
          <w:szCs w:val="18"/>
          <w:color w:val="auto"/>
        </w:rPr>
        <w:t>” means any of the primary European government securities dealers.</w:t>
      </w:r>
    </w:p>
    <w:p>
      <w:pPr>
        <w:spacing w:after="0" w:line="225" w:lineRule="exact"/>
        <w:rPr>
          <w:sz w:val="20"/>
          <w:szCs w:val="20"/>
          <w:color w:val="auto"/>
        </w:rPr>
      </w:pPr>
    </w:p>
    <w:p>
      <w:pPr>
        <w:ind w:left="620" w:hanging="184"/>
        <w:spacing w:after="0"/>
        <w:tabs>
          <w:tab w:leader="none" w:pos="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Mandatory Redemption. </w:t>
      </w:r>
      <w:r>
        <w:rPr>
          <w:rFonts w:ascii="Times New Roman" w:cs="Times New Roman" w:eastAsia="Times New Roman" w:hAnsi="Times New Roman"/>
          <w:sz w:val="18"/>
          <w:szCs w:val="18"/>
          <w:color w:val="auto"/>
        </w:rPr>
        <w:t>The Company shall not be required to make mandatory redemption payments with respect to the Securities.</w:t>
      </w:r>
    </w:p>
    <w:p>
      <w:pPr>
        <w:spacing w:after="0" w:line="117" w:lineRule="exact"/>
        <w:rPr>
          <w:rFonts w:ascii="Times New Roman" w:cs="Times New Roman" w:eastAsia="Times New Roman" w:hAnsi="Times New Roman"/>
          <w:sz w:val="18"/>
          <w:szCs w:val="18"/>
          <w:color w:val="auto"/>
        </w:rPr>
      </w:pPr>
    </w:p>
    <w:p>
      <w:pPr>
        <w:ind w:right="80" w:firstLine="436"/>
        <w:spacing w:after="0" w:line="268" w:lineRule="auto"/>
        <w:tabs>
          <w:tab w:leader="none" w:pos="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Repurchase at Option of Holder</w:t>
      </w:r>
      <w:r>
        <w:rPr>
          <w:rFonts w:ascii="Times New Roman" w:cs="Times New Roman" w:eastAsia="Times New Roman" w:hAnsi="Times New Roman"/>
          <w:sz w:val="18"/>
          <w:szCs w:val="18"/>
          <w:color w:val="auto"/>
        </w:rPr>
        <w:t>. Upon the occurrence of a Change of Control Triggering Event, and subject to certain conditions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Indenture, the Company shall be required to offer to purchase all of the outstanding Securities at a purchase price equal to 101% of the principal amount thereof, plus accrued and unpaid interest, if any, thereon to the date of repurchase.</w:t>
      </w:r>
    </w:p>
    <w:p>
      <w:pPr>
        <w:spacing w:after="0" w:line="62" w:lineRule="exact"/>
        <w:rPr>
          <w:rFonts w:ascii="Times New Roman" w:cs="Times New Roman" w:eastAsia="Times New Roman" w:hAnsi="Times New Roman"/>
          <w:sz w:val="18"/>
          <w:szCs w:val="18"/>
          <w:color w:val="auto"/>
        </w:rPr>
      </w:pPr>
    </w:p>
    <w:p>
      <w:pPr>
        <w:ind w:right="120" w:firstLine="436"/>
        <w:spacing w:after="0" w:line="259" w:lineRule="auto"/>
        <w:tabs>
          <w:tab w:leader="none" w:pos="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Notice of Redemption. </w:t>
      </w:r>
      <w:r>
        <w:rPr>
          <w:rFonts w:ascii="Times New Roman" w:cs="Times New Roman" w:eastAsia="Times New Roman" w:hAnsi="Times New Roman"/>
          <w:sz w:val="18"/>
          <w:szCs w:val="18"/>
          <w:color w:val="auto"/>
        </w:rPr>
        <w:t>Notice of redemption shall be given at least 10 days but not more than 60 days before the redemption date to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 whose Securities are to be redeemed, except that redemption notices may be given more than 60 days prior to a redemption date if the notice is issued in connection with Article 10 or Article 11 of the Base Indenture. Securities in denominations larger than €100,000 may be redeemed in part but only in whole multiples of €1,000, unless all of the Securities held by a Holder are to be redeemed. Unless the Company defaults in payment of the redemption price, on and after the redemption date interest shall cease to accrue on Securities or portions thereof called for redemption.</w:t>
      </w:r>
    </w:p>
    <w:p>
      <w:pPr>
        <w:spacing w:after="0" w:line="71" w:lineRule="exact"/>
        <w:rPr>
          <w:rFonts w:ascii="Times New Roman" w:cs="Times New Roman" w:eastAsia="Times New Roman" w:hAnsi="Times New Roman"/>
          <w:sz w:val="18"/>
          <w:szCs w:val="18"/>
          <w:color w:val="auto"/>
        </w:rPr>
      </w:pPr>
    </w:p>
    <w:p>
      <w:pPr>
        <w:ind w:firstLine="436"/>
        <w:spacing w:after="0" w:line="255" w:lineRule="auto"/>
        <w:tabs>
          <w:tab w:leader="none" w:pos="71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Denominations, Transfer, Exchange</w:t>
      </w:r>
      <w:r>
        <w:rPr>
          <w:rFonts w:ascii="Times New Roman" w:cs="Times New Roman" w:eastAsia="Times New Roman" w:hAnsi="Times New Roman"/>
          <w:sz w:val="18"/>
          <w:szCs w:val="18"/>
          <w:color w:val="auto"/>
        </w:rPr>
        <w:t>. The Securities are in registered form, without coupons, in denominations of €100,000 principal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integral multiples of €1,000 principal amount. The transfer of Securities may be registered and Securities may be exchanged as provided in the Indenture. The Registrar may require a Holder, among other things, to furnish appropriate endorsements and transfer documents. No service charge shall be made for any such registration of transfer or exchange, but the Company may require payment of a sum sufficient to cover any tax or similar governmental charge that may be imposed in connection with certain transfers or exchanges. The Company shall not be required to register the transfer of or exchange any Security selected for redemption, except for the unredeemed portion of any Security being redeemed in part. Also, the Company need not exchange or register the transfer of any Securities for a period of 10 days next preceding the first notice of redemption of Securities to be redeemed was first given.</w:t>
      </w:r>
    </w:p>
    <w:p>
      <w:pPr>
        <w:spacing w:after="0" w:line="76"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Persons Deemed Owners</w:t>
      </w:r>
      <w:r>
        <w:rPr>
          <w:rFonts w:ascii="Times New Roman" w:cs="Times New Roman" w:eastAsia="Times New Roman" w:hAnsi="Times New Roman"/>
          <w:sz w:val="18"/>
          <w:szCs w:val="18"/>
          <w:color w:val="auto"/>
        </w:rPr>
        <w:t>. The registered Holder of a Security shall be treated as the owner of such Security for all purposes.</w:t>
      </w:r>
    </w:p>
    <w:p>
      <w:pPr>
        <w:spacing w:after="0" w:line="117" w:lineRule="exact"/>
        <w:rPr>
          <w:rFonts w:ascii="Times New Roman" w:cs="Times New Roman" w:eastAsia="Times New Roman" w:hAnsi="Times New Roman"/>
          <w:sz w:val="18"/>
          <w:szCs w:val="18"/>
          <w:color w:val="auto"/>
        </w:rPr>
      </w:pPr>
    </w:p>
    <w:p>
      <w:pPr>
        <w:ind w:right="40" w:firstLine="436"/>
        <w:spacing w:after="0" w:line="268" w:lineRule="auto"/>
        <w:tabs>
          <w:tab w:leader="none" w:pos="71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Merger or Consolidation</w:t>
      </w:r>
      <w:r>
        <w:rPr>
          <w:rFonts w:ascii="Times New Roman" w:cs="Times New Roman" w:eastAsia="Times New Roman" w:hAnsi="Times New Roman"/>
          <w:sz w:val="18"/>
          <w:szCs w:val="18"/>
          <w:color w:val="auto"/>
        </w:rPr>
        <w:t>. The Company shall not consolidate with or merge with or into, or sell, transfer, lease, convey or otherwise dispose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all or substantially all of its property or assets to, another Person (including pursuant to a statutory arrangement), whether in a single transaction or series of related transactions, unless it complies with Article 8 of the Base Indenture.</w:t>
      </w:r>
    </w:p>
    <w:p>
      <w:pPr>
        <w:spacing w:after="0" w:line="62"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Amendments, Supplements and Waivers</w:t>
      </w:r>
      <w:r>
        <w:rPr>
          <w:rFonts w:ascii="Times New Roman" w:cs="Times New Roman" w:eastAsia="Times New Roman" w:hAnsi="Times New Roman"/>
          <w:sz w:val="18"/>
          <w:szCs w:val="18"/>
          <w:color w:val="auto"/>
        </w:rPr>
        <w:t>. The Indenture or the Securities may be amended or supplemented as provided in the Indenture.</w:t>
      </w:r>
    </w:p>
    <w:p>
      <w:pPr>
        <w:spacing w:after="0" w:line="117" w:lineRule="exact"/>
        <w:rPr>
          <w:rFonts w:ascii="Times New Roman" w:cs="Times New Roman" w:eastAsia="Times New Roman" w:hAnsi="Times New Roman"/>
          <w:sz w:val="18"/>
          <w:szCs w:val="18"/>
          <w:color w:val="auto"/>
        </w:rPr>
      </w:pPr>
    </w:p>
    <w:p>
      <w:pPr>
        <w:ind w:right="300" w:firstLine="436"/>
        <w:spacing w:after="0" w:line="268" w:lineRule="auto"/>
        <w:tabs>
          <w:tab w:leader="none" w:pos="71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Defaults and Remedies</w:t>
      </w:r>
      <w:r>
        <w:rPr>
          <w:rFonts w:ascii="Times New Roman" w:cs="Times New Roman" w:eastAsia="Times New Roman" w:hAnsi="Times New Roman"/>
          <w:sz w:val="18"/>
          <w:szCs w:val="18"/>
          <w:color w:val="auto"/>
        </w:rPr>
        <w:t>. The Events of Default relating to the Securities are defined in Section 5.01 of the Base Indenture. If any Event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Default occurs and is continuing, the Trustee or the Holders of at least 25% in principal amount of the then outstanding Securities may declare the principal, premium, if any, interest and any other monetary obligations on all the then outstanding Securities to be due and payable immediately.</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0980"/>
          </w:cols>
          <w:pgMar w:left="440" w:top="266" w:right="479" w:bottom="1440" w:gutter="0" w:footer="0" w:header="0"/>
        </w:sectPr>
      </w:pPr>
    </w:p>
    <w:bookmarkStart w:id="33" w:name="page34"/>
    <w:bookmarkEnd w:id="33"/>
    <w:p>
      <w:pPr>
        <w:ind w:right="3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in the case of an Event of Default arising from certain events of bankruptcy or insolvency, all outstanding Securities shall become due and payable immediately without further action or notice.</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Holders may not enforce the Indenture or the Securities except as provided in the Indenture. Subject to certain limitations, Holders of a majority in aggregate principal amount of the then outstanding Securities may direct the Trustee in its exercise of any trust or power. The Trustee may withhold from Holders of the Securities notice of any continuing Default (except a Default relating to the payment of principal, premium, if any, or interest) if it determines that withholding notice is in their interest. The Holders of a majority in aggregate principal amount of the Securities then outstanding by notice to the Trustee may on behalf of the Holders of all of the Securities waive any existing Default and its consequences under the Indenture except a continuing Default in payment of the principal of, premium, if any, or interest, if any, on, any of the Securities held by a non-consenting Holder. The Company is required to deliver to the Trustee annually a statement regarding compliance with the Indenture, and the Company is required upon becoming aware of any Default or Event of Default, to deliver to the Trustee a statement specifying such Default or Event of Default.</w:t>
      </w:r>
    </w:p>
    <w:p>
      <w:pPr>
        <w:spacing w:after="0" w:line="80" w:lineRule="exact"/>
        <w:rPr>
          <w:sz w:val="20"/>
          <w:szCs w:val="20"/>
          <w:color w:val="auto"/>
        </w:rPr>
      </w:pPr>
    </w:p>
    <w:p>
      <w:pPr>
        <w:ind w:right="460" w:firstLine="436"/>
        <w:spacing w:after="0" w:line="286" w:lineRule="auto"/>
        <w:tabs>
          <w:tab w:leader="none" w:pos="71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Trustee Dealings with the Company</w:t>
      </w:r>
      <w:r>
        <w:rPr>
          <w:rFonts w:ascii="Times New Roman" w:cs="Times New Roman" w:eastAsia="Times New Roman" w:hAnsi="Times New Roman"/>
          <w:sz w:val="18"/>
          <w:szCs w:val="18"/>
          <w:color w:val="auto"/>
        </w:rPr>
        <w:t>. The Trustee, in its individual or any other capacity, may make loans to, accept deposits from,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 services for the Company or its affiliates, and may otherwise deal with the Company or its affiliates, as if it were not the Trustee.</w:t>
      </w:r>
    </w:p>
    <w:p>
      <w:pPr>
        <w:spacing w:after="0" w:line="46" w:lineRule="exact"/>
        <w:rPr>
          <w:rFonts w:ascii="Times New Roman" w:cs="Times New Roman" w:eastAsia="Times New Roman" w:hAnsi="Times New Roman"/>
          <w:sz w:val="18"/>
          <w:szCs w:val="18"/>
          <w:color w:val="auto"/>
        </w:rPr>
      </w:pPr>
    </w:p>
    <w:p>
      <w:pPr>
        <w:ind w:right="40" w:firstLine="436"/>
        <w:spacing w:after="0" w:line="262" w:lineRule="auto"/>
        <w:tabs>
          <w:tab w:leader="none" w:pos="71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Recourse Against Others</w:t>
      </w:r>
      <w:r>
        <w:rPr>
          <w:rFonts w:ascii="Times New Roman" w:cs="Times New Roman" w:eastAsia="Times New Roman" w:hAnsi="Times New Roman"/>
          <w:sz w:val="18"/>
          <w:szCs w:val="18"/>
          <w:color w:val="auto"/>
        </w:rPr>
        <w:t>. A director, officer, employee, incorporator or stockholder, of the Company, as such, shall not have any liability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any obligations of the Company under the Securities or the Indenture or for any claim based on, in respect of, or by reason of, such obligations or their creation. Each Holder by accepting a Security waives and releases all such liability. The waiver and release are part of the consideration for the issuance of the Securities.</w:t>
      </w:r>
    </w:p>
    <w:p>
      <w:pPr>
        <w:spacing w:after="0" w:line="68" w:lineRule="exact"/>
        <w:rPr>
          <w:rFonts w:ascii="Times New Roman" w:cs="Times New Roman" w:eastAsia="Times New Roman" w:hAnsi="Times New Roman"/>
          <w:sz w:val="18"/>
          <w:szCs w:val="18"/>
          <w:color w:val="auto"/>
        </w:rPr>
      </w:pPr>
    </w:p>
    <w:p>
      <w:pPr>
        <w:ind w:right="520" w:firstLine="436"/>
        <w:spacing w:after="0" w:line="286" w:lineRule="auto"/>
        <w:tabs>
          <w:tab w:leader="none" w:pos="71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Authentication</w:t>
      </w:r>
      <w:r>
        <w:rPr>
          <w:rFonts w:ascii="Times New Roman" w:cs="Times New Roman" w:eastAsia="Times New Roman" w:hAnsi="Times New Roman"/>
          <w:sz w:val="18"/>
          <w:szCs w:val="18"/>
          <w:color w:val="auto"/>
        </w:rPr>
        <w:t>. This Security shall not be valid until authenticated by the manual, facsimile or electronic signature of the Trustee or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authenticating agent in accordance with the Indenture.</w:t>
      </w:r>
    </w:p>
    <w:p>
      <w:pPr>
        <w:spacing w:after="0" w:line="46" w:lineRule="exact"/>
        <w:rPr>
          <w:rFonts w:ascii="Times New Roman" w:cs="Times New Roman" w:eastAsia="Times New Roman" w:hAnsi="Times New Roman"/>
          <w:sz w:val="18"/>
          <w:szCs w:val="18"/>
          <w:color w:val="auto"/>
        </w:rPr>
      </w:pPr>
    </w:p>
    <w:p>
      <w:pPr>
        <w:jc w:val="both"/>
        <w:ind w:right="320" w:firstLine="436"/>
        <w:spacing w:after="0" w:line="268" w:lineRule="auto"/>
        <w:tabs>
          <w:tab w:leader="none" w:pos="71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Abbreviations</w:t>
      </w:r>
      <w:r>
        <w:rPr>
          <w:rFonts w:ascii="Times New Roman" w:cs="Times New Roman" w:eastAsia="Times New Roman" w:hAnsi="Times New Roman"/>
          <w:sz w:val="18"/>
          <w:szCs w:val="18"/>
          <w:color w:val="auto"/>
        </w:rPr>
        <w:t>. Customary abbreviations may be used in the name of a Holder or an assignee, such as: TEN COM (= tenants in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 ENT (= tenants by the entireties), JT TEN (= joint tenants with right of survivorship and not as tenants in common), CUST (= Custodian), and U/G/M/A (= Uniform Gifts to Minors Act).</w:t>
      </w:r>
    </w:p>
    <w:p>
      <w:pPr>
        <w:spacing w:after="0" w:line="62" w:lineRule="exact"/>
        <w:rPr>
          <w:rFonts w:ascii="Times New Roman" w:cs="Times New Roman" w:eastAsia="Times New Roman" w:hAnsi="Times New Roman"/>
          <w:sz w:val="18"/>
          <w:szCs w:val="18"/>
          <w:color w:val="auto"/>
        </w:rPr>
      </w:pPr>
    </w:p>
    <w:p>
      <w:pPr>
        <w:ind w:right="60" w:firstLine="436"/>
        <w:spacing w:after="0" w:line="259" w:lineRule="auto"/>
        <w:tabs>
          <w:tab w:leader="none" w:pos="71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CUSIP and ISIN Numbers and Common Codes</w:t>
      </w:r>
      <w:r>
        <w:rPr>
          <w:rFonts w:ascii="Times New Roman" w:cs="Times New Roman" w:eastAsia="Times New Roman" w:hAnsi="Times New Roman"/>
          <w:sz w:val="18"/>
          <w:szCs w:val="18"/>
          <w:color w:val="auto"/>
        </w:rPr>
        <w:t>. Pursuant to a recommendation promulgated by the Committee on Uniform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Identification Procedures, the Company has caused CUSIP and ISIN numbers and common codes to be printed on the Securities and the Trustee may use CUSIP and ISIN numbers and common codes in notices of redemption as a convenience to Holders. No representation is made as to the accuracy of such numbers either as printed on the Securities or as contained in any notice of redemption and reliance may be placed only on the other identification numbers placed thereon.</w:t>
      </w:r>
    </w:p>
    <w:p>
      <w:pPr>
        <w:spacing w:after="0" w:line="183"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COMPANY SHALL FURNISH TO ANY HOLDER UPON WRITTEN REQUEST AND WITHOUT CHARGE A COPY OF THE BASE INDENTURE OR THE SUPPLEMENTAL INDENTURE. REQUESTS MAY BE MADE TO:</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American Tower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222 Berkeley Street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Boston, MA 02116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Telephone No.: +1 (617) 375-7500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000"/>
          </w:cols>
          <w:pgMar w:left="440" w:top="270" w:right="45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OF ASSIGNMENT]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INSERT SOCIAL SECURITY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IDENTIFYING NUMBER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20567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05676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or type name and address)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20567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05676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20567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05676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within Security and all rights thereunder, and hereby irrevocably constitute and appoint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20567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05676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 to transfer the Security on the books of the Company with full power of substitution in the premises.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_____________________________________</w:t>
      </w:r>
    </w:p>
    <w:p>
      <w:pPr>
        <w:spacing w:after="0" w:line="252" w:lineRule="exact"/>
        <w:rPr>
          <w:sz w:val="20"/>
          <w:szCs w:val="20"/>
          <w:color w:val="auto"/>
        </w:rPr>
      </w:pPr>
    </w:p>
    <w:p>
      <w:pPr>
        <w:ind w:left="3420"/>
        <w:spacing w:after="0" w:line="261" w:lineRule="auto"/>
        <w:rPr>
          <w:sz w:val="20"/>
          <w:szCs w:val="20"/>
          <w:color w:val="auto"/>
        </w:rPr>
      </w:pPr>
      <w:r>
        <w:rPr>
          <w:rFonts w:ascii="Times New Roman" w:cs="Times New Roman" w:eastAsia="Times New Roman" w:hAnsi="Times New Roman"/>
          <w:sz w:val="18"/>
          <w:szCs w:val="18"/>
          <w:color w:val="auto"/>
        </w:rPr>
        <w:t>NOTICE: The signature on this assignment must correspond with the name as it appears upon the face of the within Security in every particular without alteration or enlargement or any change whatsoever and be guaranteed by a guarantor institution participating in the Securities Transfer Agents Medallion Program or in such other guarantee program acceptable to the Trustee.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Guarantee:_____________________________________</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0980"/>
          </w:cols>
          <w:pgMar w:left="440" w:top="270" w:right="479" w:bottom="1440" w:gutter="0" w:footer="0" w:header="0"/>
        </w:sectPr>
      </w:pPr>
    </w:p>
    <w:bookmarkStart w:id="35" w:name="page36"/>
    <w:bookmarkEnd w:id="35"/>
    <w:p>
      <w:pPr>
        <w:jc w:val="center"/>
        <w:ind w:right="-3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 of Holder to Elect Purchase</w:t>
      </w:r>
    </w:p>
    <w:p>
      <w:pPr>
        <w:spacing w:after="0" w:line="229"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If you want to elect to have only part of the Security purchased by the Company pursuant to Section 4.01(b) of the Supplemental Indenture, state the amount you elect to have purchased:</w:t>
      </w:r>
    </w:p>
    <w:p>
      <w:pPr>
        <w:spacing w:after="0" w:line="162" w:lineRule="exact"/>
        <w:rPr>
          <w:sz w:val="20"/>
          <w:szCs w:val="20"/>
          <w:color w:val="auto"/>
        </w:rPr>
      </w:pPr>
    </w:p>
    <w:p>
      <w:pPr>
        <w:ind w:left="4784"/>
        <w:spacing w:after="0"/>
        <w:rPr>
          <w:sz w:val="20"/>
          <w:szCs w:val="20"/>
          <w:color w:val="auto"/>
        </w:rPr>
      </w:pPr>
      <w:r>
        <w:rPr>
          <w:rFonts w:ascii="Times New Roman" w:cs="Times New Roman" w:eastAsia="Times New Roman" w:hAnsi="Times New Roman"/>
          <w:sz w:val="18"/>
          <w:szCs w:val="18"/>
          <w:color w:val="auto"/>
        </w:rPr>
        <w:t>€_______________</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Date:________________</w:t>
      </w:r>
    </w:p>
    <w:p>
      <w:pPr>
        <w:spacing w:after="0" w:line="225" w:lineRule="exact"/>
        <w:rPr>
          <w:sz w:val="20"/>
          <w:szCs w:val="20"/>
          <w:color w:val="auto"/>
        </w:rPr>
      </w:pPr>
    </w:p>
    <w:p>
      <w:pPr>
        <w:ind w:left="3584"/>
        <w:spacing w:after="0"/>
        <w:rPr>
          <w:sz w:val="20"/>
          <w:szCs w:val="20"/>
          <w:color w:val="auto"/>
        </w:rPr>
      </w:pPr>
      <w:r>
        <w:rPr>
          <w:rFonts w:ascii="Times New Roman" w:cs="Times New Roman" w:eastAsia="Times New Roman" w:hAnsi="Times New Roman"/>
          <w:sz w:val="18"/>
          <w:szCs w:val="18"/>
          <w:color w:val="auto"/>
        </w:rPr>
        <w:t>Your Signature:______________________________</w:t>
      </w:r>
    </w:p>
    <w:p>
      <w:pPr>
        <w:spacing w:after="0" w:line="27" w:lineRule="exact"/>
        <w:rPr>
          <w:sz w:val="20"/>
          <w:szCs w:val="20"/>
          <w:color w:val="auto"/>
        </w:rPr>
      </w:pPr>
    </w:p>
    <w:p>
      <w:pPr>
        <w:jc w:val="center"/>
        <w:ind w:right="-32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 exactly as your name appears on</w:t>
      </w:r>
    </w:p>
    <w:p>
      <w:pPr>
        <w:spacing w:after="0" w:line="9" w:lineRule="exact"/>
        <w:rPr>
          <w:sz w:val="20"/>
          <w:szCs w:val="20"/>
          <w:color w:val="auto"/>
        </w:rPr>
      </w:pPr>
    </w:p>
    <w:p>
      <w:pPr>
        <w:jc w:val="center"/>
        <w:ind w:right="-323"/>
        <w:spacing w:after="0"/>
        <w:rPr>
          <w:sz w:val="20"/>
          <w:szCs w:val="20"/>
          <w:color w:val="auto"/>
        </w:rPr>
      </w:pPr>
      <w:r>
        <w:rPr>
          <w:rFonts w:ascii="Times New Roman" w:cs="Times New Roman" w:eastAsia="Times New Roman" w:hAnsi="Times New Roman"/>
          <w:sz w:val="18"/>
          <w:szCs w:val="18"/>
          <w:i w:val="1"/>
          <w:iCs w:val="1"/>
          <w:color w:val="auto"/>
        </w:rPr>
        <w:t>the face of this Security</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3704"/>
        <w:spacing w:after="0"/>
        <w:rPr>
          <w:sz w:val="20"/>
          <w:szCs w:val="20"/>
          <w:color w:val="auto"/>
        </w:rPr>
      </w:pPr>
      <w:r>
        <w:rPr>
          <w:rFonts w:ascii="Times New Roman" w:cs="Times New Roman" w:eastAsia="Times New Roman" w:hAnsi="Times New Roman"/>
          <w:sz w:val="18"/>
          <w:szCs w:val="18"/>
          <w:color w:val="auto"/>
        </w:rPr>
        <w:t>Tax Identification No.:______________________</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Signature Guarantee*:___________________</w:t>
      </w:r>
    </w:p>
    <w:p>
      <w:pPr>
        <w:spacing w:after="0" w:line="225" w:lineRule="exact"/>
        <w:rPr>
          <w:sz w:val="20"/>
          <w:szCs w:val="20"/>
          <w:color w:val="auto"/>
        </w:rPr>
      </w:pPr>
    </w:p>
    <w:p>
      <w:pPr>
        <w:ind w:left="5364" w:right="1620" w:hanging="5364"/>
        <w:spacing w:after="0" w:line="454" w:lineRule="auto"/>
        <w:tabs>
          <w:tab w:leader="none" w:pos="13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 A-9</w:t>
      </w:r>
    </w:p>
    <w:p>
      <w:pPr>
        <w:sectPr>
          <w:pgSz w:w="11900" w:h="16838" w:orient="portrait"/>
          <w:cols w:equalWidth="0" w:num="1">
            <w:col w:w="10684"/>
          </w:cols>
          <w:pgMar w:left="436" w:top="266" w:right="779" w:bottom="1440" w:gutter="0" w:footer="0" w:header="0"/>
        </w:sectPr>
      </w:pPr>
    </w:p>
    <w:bookmarkStart w:id="36" w:name="page37"/>
    <w:bookmarkEnd w:id="36"/>
    <w:p>
      <w:pPr>
        <w:jc w:val="center"/>
        <w:ind w:right="16"/>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29"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u w:val="single" w:color="auto"/>
          <w:color w:val="auto"/>
        </w:rPr>
        <w:t>SCHEDULE OF EXCHANGES OF INTERESTS IN THE GLOBAL SECURITY*</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The initial principal amount of this Global Security is € . The following exchanges of a part of this Global Security for an interest in another</w:t>
      </w:r>
    </w:p>
    <w:p>
      <w:pPr>
        <w:spacing w:after="0" w:line="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Global Security or for Securities in certificated form, have been made:</w:t>
      </w:r>
    </w:p>
    <w:p>
      <w:pPr>
        <w:sectPr>
          <w:pgSz w:w="11900" w:h="16838" w:orient="portrait"/>
          <w:cols w:equalWidth="0" w:num="1">
            <w:col w:w="11024"/>
          </w:cols>
          <w:pgMar w:left="436" w:top="266" w:right="439" w:bottom="1440" w:gutter="0" w:footer="0" w:header="0"/>
        </w:sectPr>
      </w:pPr>
    </w:p>
    <w:p>
      <w:pPr>
        <w:spacing w:after="0" w:line="36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decrease in</w:t>
            </w:r>
          </w:p>
        </w:tc>
        <w:tc>
          <w:tcPr>
            <w:tcW w:w="0" w:type="dxa"/>
            <w:vAlign w:val="bottom"/>
          </w:tcPr>
          <w:p>
            <w:pPr>
              <w:spacing w:after="0"/>
              <w:rPr>
                <w:sz w:val="1"/>
                <w:szCs w:val="1"/>
                <w:color w:val="auto"/>
              </w:rPr>
            </w:pPr>
          </w:p>
        </w:tc>
      </w:tr>
      <w:tr>
        <w:trPr>
          <w:trHeight w:val="149"/>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of Exchange</w:t>
            </w:r>
          </w:p>
        </w:tc>
        <w:tc>
          <w:tcPr>
            <w:tcW w:w="158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 of</w:t>
            </w:r>
          </w:p>
        </w:tc>
        <w:tc>
          <w:tcPr>
            <w:tcW w:w="0" w:type="dxa"/>
            <w:vAlign w:val="bottom"/>
          </w:tcPr>
          <w:p>
            <w:pPr>
              <w:spacing w:after="0"/>
              <w:rPr>
                <w:sz w:val="1"/>
                <w:szCs w:val="1"/>
                <w:color w:val="auto"/>
              </w:rPr>
            </w:pPr>
          </w:p>
        </w:tc>
      </w:tr>
      <w:tr>
        <w:trPr>
          <w:trHeight w:val="180"/>
        </w:trPr>
        <w:tc>
          <w:tcPr>
            <w:tcW w:w="1080" w:type="dxa"/>
            <w:vAlign w:val="bottom"/>
            <w:tcBorders>
              <w:bottom w:val="single" w:sz="8" w:color="auto"/>
            </w:tcBorders>
            <w:vMerge w:val="continue"/>
          </w:tcPr>
          <w:p>
            <w:pPr>
              <w:spacing w:after="0"/>
              <w:rPr>
                <w:sz w:val="15"/>
                <w:szCs w:val="15"/>
                <w:color w:val="auto"/>
              </w:rPr>
            </w:pPr>
          </w:p>
        </w:tc>
        <w:tc>
          <w:tcPr>
            <w:tcW w:w="158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this Global Security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5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 of increase in</w:t>
            </w: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Principal Amount of</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 of</w:t>
            </w:r>
          </w:p>
        </w:tc>
        <w:tc>
          <w:tcPr>
            <w:tcW w:w="0" w:type="dxa"/>
            <w:vAlign w:val="bottom"/>
          </w:tcPr>
          <w:p>
            <w:pPr>
              <w:spacing w:after="0"/>
              <w:rPr>
                <w:sz w:val="1"/>
                <w:szCs w:val="1"/>
                <w:color w:val="auto"/>
              </w:rPr>
            </w:pPr>
          </w:p>
        </w:tc>
      </w:tr>
      <w:tr>
        <w:trPr>
          <w:trHeight w:val="148"/>
        </w:trPr>
        <w:tc>
          <w:tcPr>
            <w:tcW w:w="2540" w:type="dxa"/>
            <w:vAlign w:val="bottom"/>
            <w:gridSpan w:val="2"/>
            <w:vMerge w:val="continue"/>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this Global Security</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authorized officer of</w:t>
            </w:r>
          </w:p>
        </w:tc>
        <w:tc>
          <w:tcPr>
            <w:tcW w:w="0" w:type="dxa"/>
            <w:vAlign w:val="bottom"/>
          </w:tcPr>
          <w:p>
            <w:pPr>
              <w:spacing w:after="0"/>
              <w:rPr>
                <w:sz w:val="1"/>
                <w:szCs w:val="1"/>
                <w:color w:val="auto"/>
              </w:rPr>
            </w:pPr>
          </w:p>
        </w:tc>
      </w:tr>
      <w:tr>
        <w:trPr>
          <w:trHeight w:val="149"/>
        </w:trPr>
        <w:tc>
          <w:tcPr>
            <w:tcW w:w="25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 of</w:t>
            </w:r>
          </w:p>
        </w:tc>
        <w:tc>
          <w:tcPr>
            <w:tcW w:w="1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following such decrease</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Registrar or</w:t>
            </w:r>
          </w:p>
        </w:tc>
        <w:tc>
          <w:tcPr>
            <w:tcW w:w="0" w:type="dxa"/>
            <w:vAlign w:val="bottom"/>
          </w:tcPr>
          <w:p>
            <w:pPr>
              <w:spacing w:after="0"/>
              <w:rPr>
                <w:sz w:val="1"/>
                <w:szCs w:val="1"/>
                <w:color w:val="auto"/>
              </w:rPr>
            </w:pPr>
          </w:p>
        </w:tc>
      </w:tr>
      <w:tr>
        <w:trPr>
          <w:trHeight w:val="187"/>
        </w:trPr>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this Global Security</w:t>
            </w:r>
          </w:p>
        </w:tc>
        <w:tc>
          <w:tcPr>
            <w:tcW w:w="34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increase)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Paying Agent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764" w:space="100"/>
            <w:col w:w="6160"/>
          </w:cols>
          <w:pgMar w:left="436" w:top="266" w:right="439" w:bottom="1440" w:gutter="0" w:footer="0" w:header="0"/>
          <w:type w:val="continuous"/>
        </w:sectPr>
      </w:pPr>
    </w:p>
    <w:p>
      <w:pPr>
        <w:spacing w:after="0" w:line="241" w:lineRule="exact"/>
        <w:rPr>
          <w:sz w:val="20"/>
          <w:szCs w:val="20"/>
          <w:color w:val="auto"/>
        </w:rPr>
      </w:pPr>
    </w:p>
    <w:p>
      <w:pPr>
        <w:jc w:val="right"/>
        <w:ind w:left="5324" w:right="5280" w:hanging="5324"/>
        <w:spacing w:after="0" w:line="495" w:lineRule="auto"/>
        <w:tabs>
          <w:tab w:leader="none" w:pos="1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schedule should be included only if the Security is issued in global form. A-10</w:t>
      </w:r>
    </w:p>
    <w:p>
      <w:pPr>
        <w:sectPr>
          <w:pgSz w:w="11900" w:h="16838" w:orient="portrait"/>
          <w:cols w:equalWidth="0" w:num="1">
            <w:col w:w="11024"/>
          </w:cols>
          <w:pgMar w:left="436" w:top="266" w:right="439" w:bottom="1440" w:gutter="0" w:footer="0" w:header="0"/>
          <w:type w:val="continuous"/>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FORM OF LEGEND FOR GLOBAL 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Global Security authenticated and delivered hereunder shall bear a legend in substantially the following form:</w:t>
      </w:r>
    </w:p>
    <w:p>
      <w:pPr>
        <w:spacing w:after="0" w:line="11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INDENTURE HEREINAFTER REFERRED TO AND IS REGISTERED IN THE NAME OF THE COMMON DEPOSITARY OR A NOMINEE OF THE COMMON DEPOSITARY, WHICH SHALL BE TREATED BY THE COMPANY, THE TRUSTEE, THE PAYING AGENT AND ANY AGENT THEREOF AS OWNER AND HOLDER OF THIS SECURITY FOR ALL PURPOSES.</w:t>
      </w:r>
    </w:p>
    <w:p>
      <w:pPr>
        <w:spacing w:after="0" w:line="7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EUROCLEAR BANK, SA/NV, AS OPERATOR OF THE EUROCLEAR SYSTEM (“EUROCLEAR”) OR CLEARSTREAM BANKING, SOCIÉTÉ ANONYME (“CLEARSTREAM” AND, TOGETHER WITH EUROCLEAR, “EUROCLEAR/CLEARSTREAM”), TO THE COMPANY OR ITS AGENT FOR REGISTRATION OF TRANSFER, EXCHANGE OR PAYMENT, AND ANY CERTIFICATE ISSUED IS REGISTERED IN THE NAME OF THE COMMON DEPOSITARY OR IN SUCH OTHER NAME AS IS REQUESTED BY AN AUTHORIZED REPRESENTATIVE OF EUROCLEAR/CLEARSTREAM (AND ANY PAYMENT HEREON IS MADE TO THE COMMON DEPOSITARY OR TO SUCH OTHER ENTITY AS IS REQUESTED BY AN AUTHORIZED REPRESENTATIVE OF EUROCLEAR/CLEARSTREAM), ANY TRANSFER, PLEDGE OR OTHER USE HEREOF FOR VALUE OR OTHERWISE BY OR TO ANY PERSON IS WRONGFUL SINCE THE REGISTERED OWNER HEREOF, THE COMMON DEPOSITARY, HAS AN INTEREST HEREIN.</w:t>
      </w:r>
    </w:p>
    <w:p>
      <w:pPr>
        <w:spacing w:after="0" w:line="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TRANSFERS OF THIS GLOBAL SECURITY SHALL BE LIMITED TO TRANSFERS IN WHOLE, BUT NOT IN PART, TO NOMINEES OF EUROCLEAR/CLEARSTREAM OR TO A SUCCESSOR THEREOF OR SUCH SUCCESSOR’S NOMINEE.</w:t>
      </w:r>
    </w:p>
    <w:p>
      <w:pPr>
        <w:spacing w:after="0" w:line="9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0580"/>
          </w:cols>
          <w:pgMar w:left="880" w:top="266" w:right="4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6454775" cy="18859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5477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May 27,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Tower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222 Berkeley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 02116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We have acted as special counsel to American Tower Corporation, a Delaware corporation (the “Company”), in connection with its offering pursuant to a registration statement on Form S-3 (No. 333-287714), as amended as of its most recent effective date (May 19, 2026), insofar as it relates to the Securities (as defined below) (as determined for purposes of Rule 430B(f)(2) under the Securities Act of 1933, as amended (the “Securities Act”)) (as so amended, including the documents incorporated by reference therein but excluding Exhibit 25, the “Registration Statement”), and the prospectus dated June 2, 2025 (the “Base Prospectus”), as supplemented by the prospectus supplement thereto dated May 19, 2026 (the “Prospectus Supplement” and, together with the Base Prospectus, the “Prospectus”), of €750,000,000 aggregate principal amount of its 4.000% Senior Notes due 2033 (the “Securities”). The Securities were issued under an indenture dated as of June 2, 2025 (the “Base Indenture”) between the Company and U.S. Bank Trust Company, National Association, as trustee (the “Trustee”), as supplemented, with respect to the Securities, by Supplemental Indenture No. 2 thereto dated as of May 27, 2026 (the “Supplemental Indenture,” and, together with the Base Indenture, the “Indenture”) among the Company, the Trustee and U.S. Bank Europe DAC, UK Branch, as paying agent.</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arriving at the opinion expressed below, we have reviewed the following documents:</w:t>
      </w:r>
    </w:p>
    <w:p>
      <w:pPr>
        <w:spacing w:after="0" w:line="131" w:lineRule="exact"/>
        <w:rPr>
          <w:sz w:val="20"/>
          <w:szCs w:val="20"/>
          <w:color w:val="auto"/>
        </w:rPr>
      </w:pPr>
    </w:p>
    <w:p>
      <w:pPr>
        <w:ind w:left="960" w:hanging="532"/>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w:t>
      </w:r>
    </w:p>
    <w:p>
      <w:pPr>
        <w:spacing w:after="0" w:line="130" w:lineRule="exact"/>
        <w:rPr>
          <w:rFonts w:ascii="Times New Roman" w:cs="Times New Roman" w:eastAsia="Times New Roman" w:hAnsi="Times New Roman"/>
          <w:sz w:val="18"/>
          <w:szCs w:val="18"/>
          <w:color w:val="auto"/>
        </w:rPr>
      </w:pPr>
    </w:p>
    <w:p>
      <w:pPr>
        <w:ind w:left="960" w:right="560" w:hanging="532"/>
        <w:spacing w:after="0" w:line="282" w:lineRule="auto"/>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the Underwriting Agreement dated May 19, 2026 between the Company and the several underwriters named in Schedule A thereto;</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copies of the Base Indenture and the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171450</wp:posOffset>
            </wp:positionV>
            <wp:extent cx="4509135"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509135" cy="12890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American Tower Corporation, p. 2</w:t>
      </w:r>
    </w:p>
    <w:p>
      <w:pPr>
        <w:spacing w:after="0" w:line="279" w:lineRule="exact"/>
        <w:rPr>
          <w:sz w:val="20"/>
          <w:szCs w:val="20"/>
          <w:color w:val="auto"/>
        </w:rPr>
      </w:pPr>
    </w:p>
    <w:p>
      <w:pPr>
        <w:ind w:left="960" w:hanging="532"/>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facsimile copies of the Securities in global form as executed by the Company and authenticated by the Trustee; and</w:t>
      </w:r>
    </w:p>
    <w:p>
      <w:pPr>
        <w:spacing w:after="0" w:line="130" w:lineRule="exact"/>
        <w:rPr>
          <w:rFonts w:ascii="Times New Roman" w:cs="Times New Roman" w:eastAsia="Times New Roman" w:hAnsi="Times New Roman"/>
          <w:sz w:val="18"/>
          <w:szCs w:val="18"/>
          <w:color w:val="auto"/>
        </w:rPr>
      </w:pPr>
    </w:p>
    <w:p>
      <w:pPr>
        <w:ind w:left="960" w:right="180" w:hanging="532"/>
        <w:spacing w:after="0" w:line="282"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the Company’s Restated Certificate of Incorporation and Amended and Restated By-Laws certified by the Secretary of State of the State of Delaware and the corporate secretary of the Company, respectively.</w:t>
      </w:r>
    </w:p>
    <w:p>
      <w:pPr>
        <w:spacing w:after="0" w:line="162"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7"/>
          <w:szCs w:val="17"/>
          <w:color w:val="auto"/>
        </w:rPr>
        <w:t>In addition, we have reviewed the originals or copies certified or otherwise identified to our satisfaction of all such corporate records of the Company and such other documents, and we have made such investigations of law, as we have deemed appropriate as a basis for the opinion expressed below.</w:t>
      </w:r>
    </w:p>
    <w:p>
      <w:pPr>
        <w:spacing w:after="0" w:line="140" w:lineRule="exact"/>
        <w:rPr>
          <w:sz w:val="20"/>
          <w:szCs w:val="20"/>
          <w:color w:val="auto"/>
        </w:rPr>
      </w:pPr>
    </w:p>
    <w:p>
      <w:pPr>
        <w:jc w:val="both"/>
        <w:ind w:right="220" w:firstLine="440"/>
        <w:spacing w:after="0" w:line="266" w:lineRule="auto"/>
        <w:rPr>
          <w:sz w:val="20"/>
          <w:szCs w:val="20"/>
          <w:color w:val="auto"/>
        </w:rPr>
      </w:pPr>
      <w:r>
        <w:rPr>
          <w:rFonts w:ascii="Times New Roman" w:cs="Times New Roman" w:eastAsia="Times New Roman" w:hAnsi="Times New Roman"/>
          <w:sz w:val="18"/>
          <w:szCs w:val="18"/>
          <w:color w:val="auto"/>
        </w:rPr>
        <w:t>In rendering the opinion expressed below, we have assumed the authenticity of all documents submitted to us as originals and the conformity to the originals of all documents submitted to us as copies. In addition, we have assumed and have not verified the accuracy as to factual matters of each document we have reviewed.</w:t>
      </w:r>
    </w:p>
    <w:p>
      <w:pPr>
        <w:spacing w:after="0" w:line="176"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Based on the foregoing, and subject to the further assumptions and qualifications set forth below, it is our opinion that the Securities are the valid, binding and enforceable obligations of the Company, entitled to the benefits of the Indenture.</w:t>
      </w:r>
    </w:p>
    <w:p>
      <w:pPr>
        <w:spacing w:after="0" w:line="16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Insofar as the foregoing opinion relates to the validity, binding effect or enforceability of any agreement or obligation of the Company, (a) we have assumed that the Company and each other party to such agreement or obligation has satisfied those legal requirements that are applicable to it to the extent necessary to make such agreement or obligation enforceable against it (except that no such assumption is made as to the Company regarding matters of the law of the State of New York or the General Corporation Law of the State of Delaware that in our experience normally would be applicable to general business entities with respect to such agreement or obligation), (b) we express no opinion with respect to the effect of any mandatory choice of law rules and (c) such opinion is subject to applicable bankruptcy, insolvency and similar laws affecting creditors’ rights generally and to general principles of equity.</w:t>
      </w:r>
    </w:p>
    <w:p>
      <w:pPr>
        <w:spacing w:after="0" w:line="189"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We note that by statute, the law of the State of New York provides that a judgment or decree rendered in a currency other than the currency of the United States shall be converted into U.S. dollars at the rate of exchange prevailing on the date of entry of the judgment or decree. There is no corresponding Federal statute and no controlling Federal court decision on this issue. Accordingly, we express no opinion as to whether a Federal court would award a judgment in a currency other than U.S. dollars or, if it did so, whether it would order conversion of the judgment into U.S. dollars.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foregoing opinion is limited to the law of the State of New York and the General Corporation Law of the State of Delaware.</w:t>
      </w:r>
    </w:p>
    <w:p>
      <w:pPr>
        <w:sectPr>
          <w:pgSz w:w="11900" w:h="16838" w:orient="portrait"/>
          <w:cols w:equalWidth="0" w:num="1">
            <w:col w:w="11000"/>
          </w:cols>
          <w:pgMar w:left="440" w:top="270"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American Tower Corporation, p. 3</w:t>
      </w:r>
    </w:p>
    <w:p>
      <w:pPr>
        <w:spacing w:after="0" w:line="158"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We hereby consent to the use of our name in the Prospectus Supplement under the heading “Legal Matters” and in the Base Prospectus under the heading “Validity of the Securities,” as counsel for the Company that has passed on the validity of the Securities and to the filing of this opinion letter as Exhibit 5.1 to the Company’s Current Report on Form 8-K dated May 27, 2026. In giving such consent, we do not thereby admit that we are within the category of persons whose consent is required under Section 7 of the Securities Act or the rules and regulations of the Securities and Exchange Commission thereunder.</w:t>
      </w:r>
    </w:p>
    <w:p>
      <w:pPr>
        <w:spacing w:after="0" w:line="183" w:lineRule="exact"/>
        <w:rPr>
          <w:sz w:val="20"/>
          <w:szCs w:val="20"/>
          <w:color w:val="auto"/>
        </w:rPr>
      </w:pPr>
    </w:p>
    <w:p>
      <w:pPr>
        <w:ind w:right="40" w:firstLine="440"/>
        <w:spacing w:after="0" w:line="312" w:lineRule="auto"/>
        <w:rPr>
          <w:sz w:val="20"/>
          <w:szCs w:val="20"/>
          <w:color w:val="auto"/>
        </w:rPr>
      </w:pPr>
      <w:r>
        <w:rPr>
          <w:rFonts w:ascii="Times New Roman" w:cs="Times New Roman" w:eastAsia="Times New Roman" w:hAnsi="Times New Roman"/>
          <w:sz w:val="17"/>
          <w:szCs w:val="17"/>
          <w:color w:val="auto"/>
        </w:rPr>
        <w:t>The opinion expressed herein is rendered on and as of the date hereof, and we assume no obligation to advise you or any other person, or to make any investigations, as to any legal developments or factual matters arising subsequent to the date hereof that might affect the opinion expressed herein.</w:t>
      </w:r>
    </w:p>
    <w:p>
      <w:pPr>
        <w:spacing w:after="0" w:line="16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CLEARY GOTTLIEB STEEN &amp; HAMILTON LLP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Lesley Janzen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color w:val="auto"/>
        </w:rPr>
        <w:t>Lesley Janzen, a Partner</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
      <w:numFmt w:val="bullet"/>
      <w:start w:val="1"/>
    </w:lvl>
  </w:abstractNum>
  <w:abstractNum w:abstractNumId="2">
    <w:nsid w:val="431BD7B7"/>
    <w:multiLevelType w:val="hybridMultilevel"/>
    <w:lvl w:ilvl="0">
      <w:lvlJc w:val="left"/>
      <w:lvlText w:val="(%1)"/>
      <w:numFmt w:val="lowerRoman"/>
      <w:start w:val="2"/>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3"/>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4"/>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7"/>
    </w:lvl>
  </w:abstractNum>
  <w:abstractNum w:abstractNumId="11">
    <w:nsid w:val="2443A858"/>
    <w:multiLevelType w:val="hybridMultilevel"/>
    <w:lvl w:ilvl="0">
      <w:lvlJc w:val="left"/>
      <w:lvlText w:val="(%1)"/>
      <w:numFmt w:val="lowerLetter"/>
      <w:start w:val="1"/>
    </w:lvl>
  </w:abstractNum>
  <w:abstractNum w:abstractNumId="12">
    <w:nsid w:val="2D1D5AE9"/>
    <w:multiLevelType w:val="hybridMultilevel"/>
    <w:lvl w:ilvl="0">
      <w:lvlJc w:val="left"/>
      <w:lvlText w:val="(%1)"/>
      <w:numFmt w:val="decimal"/>
      <w:start w:val="14"/>
    </w:lvl>
  </w:abstractNum>
  <w:abstractNum w:abstractNumId="13">
    <w:nsid w:val="6763845E"/>
    <w:multiLevelType w:val="hybridMultilevel"/>
    <w:lvl w:ilvl="0">
      <w:lvlJc w:val="left"/>
      <w:lvlText w:val="(%1)"/>
      <w:numFmt w:val="lowerLetter"/>
      <w:start w:val="1"/>
    </w:lvl>
  </w:abstractNum>
  <w:abstractNum w:abstractNumId="14">
    <w:nsid w:val="75A2A8D4"/>
    <w:multiLevelType w:val="hybridMultilevel"/>
    <w:lvl w:ilvl="0">
      <w:lvlJc w:val="left"/>
      <w:lvlText w:val="(%1)"/>
      <w:numFmt w:val="lowerRoman"/>
      <w:start w:val="1"/>
    </w:lvl>
  </w:abstractNum>
  <w:abstractNum w:abstractNumId="15">
    <w:nsid w:val="8EDBDAB"/>
    <w:multiLevelType w:val="hybridMultilevel"/>
    <w:lvl w:ilvl="0">
      <w:lvlJc w:val="left"/>
      <w:lvlText w:val="(%1)"/>
      <w:numFmt w:val="lowerRoman"/>
      <w:start w:val="1"/>
    </w:lvl>
  </w:abstractNum>
  <w:abstractNum w:abstractNumId="16">
    <w:nsid w:val="79838CB2"/>
    <w:multiLevelType w:val="hybridMultilevel"/>
    <w:lvl w:ilvl="0">
      <w:lvlJc w:val="left"/>
      <w:lvlText w:val="(%1)"/>
      <w:numFmt w:val="lowerLetter"/>
      <w:start w:val="1"/>
    </w:lvl>
    <w:lvl w:ilvl="1">
      <w:lvlJc w:val="left"/>
      <w:lvlText w:val="(%2)"/>
      <w:numFmt w:val="lowerRoman"/>
      <w:start w:val="1"/>
    </w:lvl>
  </w:abstractNum>
  <w:abstractNum w:abstractNumId="17">
    <w:nsid w:val="4353D0CD"/>
    <w:multiLevelType w:val="hybridMultilevel"/>
    <w:lvl w:ilvl="0">
      <w:lvlJc w:val="left"/>
      <w:lvlText w:val="%1"/>
      <w:numFmt w:val="decimal"/>
      <w:start w:val="1"/>
    </w:lvl>
    <w:lvl w:ilvl="1">
      <w:lvlJc w:val="left"/>
      <w:lvlText w:val="(%2)"/>
      <w:numFmt w:val="lowerRoman"/>
      <w:start w:val="4"/>
    </w:lvl>
  </w:abstractNum>
  <w:abstractNum w:abstractNumId="18">
    <w:nsid w:val="B03E0C6"/>
    <w:multiLevelType w:val="hybridMultilevel"/>
    <w:lvl w:ilvl="0">
      <w:lvlJc w:val="left"/>
      <w:lvlText w:val="(%1)"/>
      <w:numFmt w:val="decimal"/>
      <w:start w:val="4"/>
    </w:lvl>
    <w:lvl w:ilvl="1">
      <w:lvlJc w:val="left"/>
      <w:lvlText w:val="(%2)"/>
      <w:numFmt w:val="lowerRoman"/>
      <w:start w:val="8"/>
    </w:lvl>
  </w:abstractNum>
  <w:abstractNum w:abstractNumId="19">
    <w:nsid w:val="189A769B"/>
    <w:multiLevelType w:val="hybridMultilevel"/>
    <w:lvl w:ilvl="0">
      <w:lvlJc w:val="left"/>
      <w:lvlText w:val="(%1)"/>
      <w:numFmt w:val="lowerLetter"/>
      <w:start w:val="3"/>
    </w:lvl>
  </w:abstractNum>
  <w:abstractNum w:abstractNumId="20">
    <w:nsid w:val="54E49EB4"/>
    <w:multiLevelType w:val="hybridMultilevel"/>
    <w:lvl w:ilvl="0">
      <w:lvlJc w:val="left"/>
      <w:lvlText w:val="(%1)"/>
      <w:numFmt w:val="lowerLetter"/>
      <w:start w:val="5"/>
    </w:lvl>
  </w:abstractNum>
  <w:abstractNum w:abstractNumId="21">
    <w:nsid w:val="71F32454"/>
    <w:multiLevelType w:val="hybridMultilevel"/>
    <w:lvl w:ilvl="0">
      <w:lvlJc w:val="left"/>
      <w:lvlText w:val="(%1)"/>
      <w:numFmt w:val="lowerLetter"/>
      <w:start w:val="1"/>
    </w:lvl>
    <w:lvl w:ilvl="1">
      <w:lvlJc w:val="left"/>
      <w:lvlText w:val="(%2)"/>
      <w:numFmt w:val="decimal"/>
      <w:start w:val="1"/>
    </w:lvl>
  </w:abstractNum>
  <w:abstractNum w:abstractNumId="22">
    <w:nsid w:val="2CA88611"/>
    <w:multiLevelType w:val="hybridMultilevel"/>
    <w:lvl w:ilvl="0">
      <w:lvlJc w:val="left"/>
      <w:lvlText w:val="(%1)"/>
      <w:numFmt w:val="lowerLetter"/>
      <w:start w:val="2"/>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1."/>
      <w:numFmt w:val="decimal"/>
      <w:start w:val="6"/>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decimal"/>
      <w:start w:val="7"/>
    </w:lvl>
  </w:abstractNum>
  <w:abstractNum w:abstractNumId="28">
    <w:nsid w:val="7C3DBD3D"/>
    <w:multiLevelType w:val="hybridMultilevel"/>
    <w:lvl w:ilvl="0">
      <w:lvlJc w:val="left"/>
      <w:lvlText w:val="%1."/>
      <w:numFmt w:val="decimal"/>
      <w:start w:val="15"/>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1)"/>
      <w:numFmt w:val="lowerLetter"/>
      <w:start w:val="1"/>
    </w:lvl>
  </w:abstractNum>
  <w:abstractNum w:abstractNumId="32">
    <w:nsid w:val="4516DDE9"/>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2026-05-27T07:03:02Z</dcterms:created>
  <dcterms:modified xsi:type="dcterms:W3CDTF">2026-05-27T07:03:02Z</dcterms:modified>
</cp:coreProperties>
</file>